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1"/>
        <w:gridCol w:w="7819"/>
      </w:tblGrid>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Assessment of Substance Use and Substance Use Disorders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Family History of Substance Use Problems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Instruments used separately to obtain family history of substance use problems including tobacco, alcohol, and other drugs.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The purpose of this measure is to obtain a family history of substance use problems by asking the respondent whether or not any first- or second-degree biological relatives or spouses/partners have a history of problems with tobacco, alcohol, and other drugs.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Current Age</w:t>
            </w:r>
            <w:r>
              <w:br/>
              <w:t>Gender</w:t>
            </w:r>
            <w:r>
              <w:br/>
              <w:t>Current Marital Status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Family Health History</w:t>
            </w:r>
            <w:r>
              <w:br/>
              <w:t>Core: Tier 2</w:t>
            </w:r>
            <w:r>
              <w:br/>
              <w:t>Assessment of Substance Use and Substance Use Disorders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Alcohol, Alcohol Use Disorder and Associated Disabilities Interview Schedule, AUDADIS, COGA, Collaborative Study on the Genetics of Alcoholism, Drugs, Family History, National Epidemiologic Survey on Alcohol and Related Conditions, NESARC, SAA, Substance Abuse, Substance Use, Tobacco, Tobacco Family History Assessment Module, Assessment of Substance Use and Substance Use Disorders</w:t>
            </w:r>
          </w:p>
        </w:tc>
      </w:tr>
    </w:tbl>
    <w:p w:rsidR="007C41F1" w:rsidRPr="00654EC5" w:rsidRDefault="007C41F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3"/>
        <w:gridCol w:w="7687"/>
      </w:tblGrid>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February 24, 2012</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Family History of Substance Use Problems - Tobacco</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The Expert Review Panel has not reviewed this measure yet.</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The Family History Assessment Module (FHAM) is a semi-structured diagnostic instrument intended for clinicians and researchers to assess psychiatric disorders among relatives of the respondent. The FHAM is based on the Diagnostic and Statistical Manual of Mental Disorders, Third Edition, Revised (DSM-III-R). The Tobacco FHAM supplements the FHAM to provide a brief smoking/tobacco use history of each first-degree relative and spouse/partner of the respondent. The Tobacco FHAM is adaptable to second-degree relatives (as demonstrated here in the recommended version). Information is obtained regarding frequency and quantity of lifetime tobacco use. The FHAM protocols were developed as part of the Collaborative Study on the Genetics of Alcoholism.</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The Tobacco Family History Assessment Module (FHAM) instructs that the questions be repeated for spouse(s)/partner(s) (current and previous) and first-</w:t>
            </w:r>
            <w:r w:rsidRPr="00654EC5">
              <w:lastRenderedPageBreak/>
              <w:t>degree relatives, including biological mother, biological father, full siblings, children, and stepparents. Given that the Tobacco FHAM questions are easily adaptable to any relative in the pedigree, the Working Group recommends that the questions should be repeated for second-degree biological relatives, including grandmothers, grandfathers, aunts, and uncles. The Working Group also recommends clarification on the sex and duration of spouse/mate/partner relationships. The original table of relative types in the Tobacco FHAM has made modified to reflect the Working Group recommendations.</w:t>
            </w:r>
          </w:p>
          <w:p w:rsidR="007C41F1" w:rsidRPr="00654EC5" w:rsidRDefault="007C41F1">
            <w:pPr>
              <w:pStyle w:val="NormalWeb"/>
            </w:pPr>
            <w:r w:rsidRPr="00654EC5">
              <w:t>This measure was previously included in the Alcohol, Tobacco, and Other Substances (ATOS) Supplemental Information as "Tobacco - Family History of Smoking" and was promoted to the Toolkit on February 24, 2012 by the Working Group on Assessment of Substance Use and Substance Use Disorders.</w:t>
            </w:r>
          </w:p>
          <w:p w:rsidR="007C41F1" w:rsidRPr="00654EC5" w:rsidRDefault="007C41F1">
            <w:pPr>
              <w:pStyle w:val="NormalWeb"/>
            </w:pPr>
            <w:r w:rsidRPr="00654EC5">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7C41F1" w:rsidRPr="00654EC5" w:rsidRDefault="007C41F1">
            <w:pPr>
              <w:pStyle w:val="NormalWeb"/>
            </w:pPr>
            <w:r w:rsidRPr="00654EC5">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I. I'd like to know about the smoking/tobacco use habits of your relatives. (SHOW CARD) Please look at the category under "I." Which description best describes your (RELATIVE'S) (smoking/tobacco use) habits during (his/her) lifetime? Please report about the form of tobacco that your relative used most frequently. If your relative is no longer alive, please answer for when s/he was alive. (SHOW CARD) CODE IN COL. A.</w:t>
            </w:r>
          </w:p>
          <w:p w:rsidR="007C41F1" w:rsidRPr="00654EC5" w:rsidRDefault="007C41F1">
            <w:pPr>
              <w:pStyle w:val="NormalWeb"/>
            </w:pPr>
            <w:r w:rsidRPr="00654EC5">
              <w:rPr>
                <w:rStyle w:val="Strong"/>
              </w:rPr>
              <w:t>SPOUSE/MATE/PARTNER #1 IS CURRENT SPOUSE/MATE/PARTNER.</w:t>
            </w:r>
          </w:p>
          <w:p w:rsidR="007C41F1" w:rsidRPr="00654EC5" w:rsidRDefault="007C41F1">
            <w:pPr>
              <w:pStyle w:val="NormalWeb"/>
            </w:pPr>
            <w:r w:rsidRPr="00654EC5">
              <w:rPr>
                <w:rStyle w:val="Strong"/>
              </w:rPr>
              <w:t>SPOUSE/MATE/PARTNER #2 IS A FORMER SPOUSE/MATE/PARTNER WITH WHOM THE RESPONDENT LIVED FOR 6 MONTHS OR LONGER.</w:t>
            </w:r>
          </w:p>
          <w:p w:rsidR="007C41F1" w:rsidRPr="00654EC5" w:rsidRDefault="007C41F1">
            <w:pPr>
              <w:pStyle w:val="NormalWeb"/>
            </w:pPr>
            <w:r w:rsidRPr="00654EC5">
              <w:rPr>
                <w:rStyle w:val="Strong"/>
              </w:rPr>
              <w:t>AUNTS AND UNCLES MUST BE FULL SISTERS/BROTHERS OF MOTHER OR FATHER.</w:t>
            </w:r>
          </w:p>
          <w:p w:rsidR="007C41F1" w:rsidRPr="00654EC5" w:rsidRDefault="007C41F1">
            <w:pPr>
              <w:pStyle w:val="NormalWeb"/>
            </w:pPr>
            <w:r w:rsidRPr="00654EC5">
              <w:rPr>
                <w:rStyle w:val="Strong"/>
              </w:rPr>
              <w:t xml:space="preserve">FULL BROTHER/SISTER MEANS A BROTHER/SISTER WITH THE </w:t>
            </w:r>
            <w:r w:rsidRPr="00654EC5">
              <w:rPr>
                <w:rStyle w:val="Strong"/>
              </w:rPr>
              <w:lastRenderedPageBreak/>
              <w:t>SAME FATHER AND MOTHER AS YOU.</w:t>
            </w:r>
          </w:p>
          <w:p w:rsidR="007C41F1" w:rsidRPr="00654EC5" w:rsidRDefault="007C41F1">
            <w:pPr>
              <w:pStyle w:val="NormalWeb"/>
            </w:pPr>
            <w:r w:rsidRPr="00654EC5">
              <w:rPr>
                <w:rStyle w:val="Strong"/>
              </w:rPr>
              <w:t>DO NOT INQUIRE ABOUT THOSE RELATIVES WHO ARE LESS THAN 10 YEARS OF AGE.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9"/>
              <w:gridCol w:w="917"/>
              <w:gridCol w:w="1117"/>
              <w:gridCol w:w="930"/>
              <w:gridCol w:w="573"/>
              <w:gridCol w:w="651"/>
              <w:gridCol w:w="566"/>
              <w:gridCol w:w="618"/>
            </w:tblGrid>
            <w:tr w:rsidR="007C41F1">
              <w:trPr>
                <w:tblCellSpacing w:w="15" w:type="dxa"/>
              </w:trPr>
              <w:tc>
                <w:tcPr>
                  <w:tcW w:w="2340" w:type="dxa"/>
                  <w:vMerge w:val="restart"/>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rPr>
                    <w:t>A</w:t>
                  </w:r>
                </w:p>
              </w:tc>
              <w:tc>
                <w:tcPr>
                  <w:tcW w:w="1008"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rPr>
                    <w:t>B</w:t>
                  </w:r>
                </w:p>
              </w:tc>
              <w:tc>
                <w:tcPr>
                  <w:tcW w:w="828"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rPr>
                    <w:t>C</w:t>
                  </w:r>
                </w:p>
              </w:tc>
              <w:tc>
                <w:tcPr>
                  <w:tcW w:w="2316" w:type="dxa"/>
                  <w:gridSpan w:val="4"/>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rPr>
                    <w:t>UNITS</w:t>
                  </w:r>
                </w:p>
              </w:tc>
            </w:tr>
            <w:tr w:rsidR="007C41F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Smoking</w:t>
                  </w:r>
                </w:p>
              </w:tc>
              <w:tc>
                <w:tcPr>
                  <w:tcW w:w="1008"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Frequency</w:t>
                  </w:r>
                </w:p>
              </w:tc>
              <w:tc>
                <w:tcPr>
                  <w:tcW w:w="828"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Quantity</w:t>
                  </w:r>
                </w:p>
              </w:tc>
              <w:tc>
                <w:tcPr>
                  <w:tcW w:w="576"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Cigs</w:t>
                  </w:r>
                </w:p>
              </w:tc>
              <w:tc>
                <w:tcPr>
                  <w:tcW w:w="588"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Cigar</w:t>
                  </w:r>
                </w:p>
              </w:tc>
              <w:tc>
                <w:tcPr>
                  <w:tcW w:w="56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Pipe</w:t>
                  </w:r>
                </w:p>
              </w:tc>
              <w:tc>
                <w:tcPr>
                  <w:tcW w:w="588"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rPr>
                      <w:i/>
                      <w:iCs/>
                      <w:u w:val="single"/>
                    </w:rPr>
                    <w:t>Snuff</w:t>
                  </w: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Spouse/Mate/Partner #1 (Opposite Sex)</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Spouse/Mate/Partner #2 (Opposite Sex)</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Spouse/Mate/Partner #1 (Same Sex)</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Spouse/Mate/Partner #2 (Same Sex)</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Father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Grandmother (Mother's Mother)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Grandmother (Father's Mother)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Grandfather (Mother's Father)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Grandfather (Father's Father)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Uncle #1 (Mother's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Uncle #2 (Mother's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Uncle #3 (Mother's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Uncle #4 (Mother's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lastRenderedPageBreak/>
                    <w:t>Biological, Maternal Uncle #5 (Mother's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Uncle #1 (Father's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Uncle #2 (Father's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Uncle #3 (Father's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Uncle #4 (Father's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Uncle #5 (Father's Brother)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Aunt #1 (Mother's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Aunt #2 (Mother's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Aunt #3 (Mother's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Aunt #4 (Mother's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Maternal Aunt #5 (Mother's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Aunt #1 (Father's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Aunt #2 (Father's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Aunt #3 (Father's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lastRenderedPageBreak/>
                    <w:t>Biological, Paternal Aunt #4 (Father's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Biological, Paternal Aunt #5 (Father's Sister)</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Brother #1</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Brother #2</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Brother #3</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Brother #4</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Brother #5</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Sister #1</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Sister #2</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Sister #3</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Sister #4</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Full Sister #5</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Child #1</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Child #2</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Child #3</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Child #4</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r w:rsidR="007C41F1">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Child #5</w:t>
                  </w:r>
                </w:p>
              </w:tc>
              <w:tc>
                <w:tcPr>
                  <w:tcW w:w="852" w:type="dxa"/>
                  <w:tcBorders>
                    <w:top w:val="outset" w:sz="6" w:space="0" w:color="auto"/>
                    <w:left w:val="outset" w:sz="6" w:space="0" w:color="auto"/>
                    <w:bottom w:val="outset" w:sz="6" w:space="0" w:color="auto"/>
                    <w:right w:val="outset" w:sz="6" w:space="0" w:color="auto"/>
                  </w:tcBorders>
                  <w:hideMark/>
                </w:tcPr>
                <w:p w:rsidR="007C41F1" w:rsidRPr="00654EC5" w:rsidRDefault="007C41F1"/>
              </w:tc>
              <w:tc>
                <w:tcPr>
                  <w:tcW w:w="100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82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76"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64"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c>
                <w:tcPr>
                  <w:tcW w:w="588" w:type="dxa"/>
                  <w:tcBorders>
                    <w:top w:val="outset" w:sz="6" w:space="0" w:color="auto"/>
                    <w:left w:val="outset" w:sz="6" w:space="0" w:color="auto"/>
                    <w:bottom w:val="outset" w:sz="6" w:space="0" w:color="auto"/>
                    <w:right w:val="outset" w:sz="6" w:space="0" w:color="auto"/>
                  </w:tcBorders>
                  <w:hideMark/>
                </w:tcPr>
                <w:p w:rsidR="007C41F1" w:rsidRDefault="007C41F1">
                  <w:pPr>
                    <w:rPr>
                      <w:sz w:val="20"/>
                      <w:szCs w:val="20"/>
                    </w:rPr>
                  </w:pPr>
                </w:p>
              </w:tc>
            </w:tr>
          </w:tbl>
          <w:p w:rsidR="007C41F1" w:rsidRPr="00654EC5" w:rsidRDefault="007C41F1">
            <w:pPr>
              <w:pStyle w:val="NormalWeb"/>
            </w:pPr>
            <w:r w:rsidRPr="00654EC5">
              <w:t xml:space="preserve">II. Please look at categories under II. Which category best describes how often your (RELATIVE) (smokes/smoked/used tobacco) </w:t>
            </w:r>
            <w:r w:rsidRPr="00654EC5">
              <w:rPr>
                <w:u w:val="single"/>
              </w:rPr>
              <w:t>on average</w:t>
            </w:r>
            <w:r w:rsidRPr="00654EC5">
              <w:t xml:space="preserve"> over (his/her) lifetime when (he/she) was smoking/using tobacco? Please give me the letter. CODE IN COL. B.</w:t>
            </w:r>
          </w:p>
          <w:p w:rsidR="007C41F1" w:rsidRPr="00654EC5" w:rsidRDefault="007C41F1">
            <w:pPr>
              <w:pStyle w:val="NormalWeb"/>
            </w:pPr>
            <w:r w:rsidRPr="00654EC5">
              <w:t>III. Please look at categories under III. Which letter describes your (RELATIVE'S) average daily amount of tobacco when (he/she) was (smoking/using tobacco)? Please give me the letter. CODE IN COL. C. Was this cigarettes, cigars, pipefuls or pouches or chews? SELECT UNIT.</w:t>
            </w:r>
          </w:p>
          <w:p w:rsidR="007C41F1" w:rsidRPr="00654EC5" w:rsidRDefault="007C41F1">
            <w:pPr>
              <w:pStyle w:val="NormalWeb"/>
            </w:pPr>
            <w:r w:rsidRPr="00654EC5">
              <w:rPr>
                <w:rStyle w:val="Strong"/>
                <w:u w:val="single"/>
              </w:rPr>
              <w:t>Card</w:t>
            </w:r>
          </w:p>
          <w:p w:rsidR="007C41F1" w:rsidRPr="00654EC5" w:rsidRDefault="007C41F1">
            <w:pPr>
              <w:pStyle w:val="NormalWeb"/>
            </w:pPr>
            <w:r w:rsidRPr="00654EC5">
              <w: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9"/>
              <w:gridCol w:w="279"/>
            </w:tblGrid>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Never smoked or used tobacco regularly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A</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Used to smoke or use but quit successfully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B</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 xml:space="preserve">Current smoker or user/continued to </w:t>
                  </w:r>
                  <w:r w:rsidRPr="00654EC5">
                    <w:lastRenderedPageBreak/>
                    <w:t>smoke or use</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lastRenderedPageBreak/>
                    <w:t>C</w:t>
                  </w:r>
                </w:p>
              </w:tc>
            </w:tr>
          </w:tbl>
          <w:p w:rsidR="007C41F1" w:rsidRPr="00654EC5" w:rsidRDefault="007C41F1">
            <w:pPr>
              <w:pStyle w:val="NormalWeb"/>
            </w:pPr>
            <w:r w:rsidRPr="00654EC5">
              <w:t>II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9"/>
              <w:gridCol w:w="279"/>
            </w:tblGrid>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Every day or nearly every day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D</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Once or twice a week</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E</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Less often</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F</w:t>
                  </w:r>
                </w:p>
              </w:tc>
            </w:tr>
          </w:tbl>
          <w:p w:rsidR="007C41F1" w:rsidRPr="00654EC5" w:rsidRDefault="007C41F1">
            <w:pPr>
              <w:pStyle w:val="NormalWeb"/>
            </w:pPr>
            <w:r w:rsidRPr="00654EC5">
              <w:t>III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9"/>
              <w:gridCol w:w="279"/>
            </w:tblGrid>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Smoked 1–5 per day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G</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6–10 per day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H</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11–20 per day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I</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21–40 per day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J</w:t>
                  </w:r>
                </w:p>
              </w:tc>
            </w:tr>
            <w:tr w:rsidR="007C41F1">
              <w:trPr>
                <w:tblCellSpacing w:w="15" w:type="dxa"/>
              </w:trPr>
              <w:tc>
                <w:tcPr>
                  <w:tcW w:w="4224" w:type="dxa"/>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More than 40 per day</w:t>
                  </w:r>
                </w:p>
              </w:tc>
              <w:tc>
                <w:tcPr>
                  <w:tcW w:w="0" w:type="auto"/>
                  <w:tcBorders>
                    <w:top w:val="outset" w:sz="6" w:space="0" w:color="auto"/>
                    <w:left w:val="outset" w:sz="6" w:space="0" w:color="auto"/>
                    <w:bottom w:val="outset" w:sz="6" w:space="0" w:color="auto"/>
                    <w:right w:val="outset" w:sz="6" w:space="0" w:color="auto"/>
                  </w:tcBorders>
                  <w:hideMark/>
                </w:tcPr>
                <w:p w:rsidR="007C41F1" w:rsidRPr="00654EC5" w:rsidRDefault="007C41F1">
                  <w:pPr>
                    <w:pStyle w:val="NormalWeb"/>
                  </w:pPr>
                  <w:r w:rsidRPr="00654EC5">
                    <w:t>K</w:t>
                  </w:r>
                </w:p>
              </w:tc>
            </w:tr>
          </w:tbl>
          <w:p w:rsidR="007C41F1" w:rsidRDefault="007C41F1"/>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The Tobacco Family History Assessment Module (FHAM) was chosen because it has been used in a large, multisite high-risk family study of alcoholism, the Collaborative Study on the Genetics of Alcoholism (COGA). The questions from this protocol are low burden and have more than one mode of administration.</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Collaborative Study on the Genetics of Alcoholism. Tobacco Family History Assessment Module. Questions I–III. Available from: https://zork.wustl.edu/niaaa/fham_iam/fham_scr_var.pdf (accessed 11/3/2011).</w:t>
            </w:r>
          </w:p>
          <w:p w:rsidR="007C41F1" w:rsidRPr="00654EC5" w:rsidRDefault="007C41F1">
            <w:pPr>
              <w:pStyle w:val="NormalWeb"/>
            </w:pPr>
            <w:r w:rsidRPr="00654EC5">
              <w:t>Permission to use this instrument has been provided by the Collaborative Study on the Genetics of Alcoholism (COGA), supported by the National Institutes of Health Grant U10AA08401 from the National Institute on Alcohol Abuse and Alcoholism.</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Adult</w:t>
            </w:r>
            <w:r w:rsidRPr="00654EC5">
              <w:br/>
              <w:t>Senior</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English</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Adults aged 18 years and older</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The interviewer must be trained and found to be competent (i.e., tested by an expert) in the completion of personal interviews.</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None</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4"/>
              <w:gridCol w:w="3040"/>
              <w:gridCol w:w="930"/>
              <w:gridCol w:w="1277"/>
            </w:tblGrid>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Source</w:t>
                  </w:r>
                </w:p>
              </w:tc>
            </w:tr>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lastRenderedPageBreak/>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Family Medical History Smoking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2958513</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hyperlink r:id="rId4" w:history="1">
                    <w:r>
                      <w:rPr>
                        <w:rStyle w:val="Hyperlink"/>
                      </w:rPr>
                      <w:t>CDE Browser</w:t>
                    </w:r>
                  </w:hyperlink>
                </w:p>
              </w:tc>
            </w:tr>
          </w:tbl>
          <w:p w:rsidR="007C41F1" w:rsidRDefault="007C41F1"/>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None</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Interviewer-administered questionnaire</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None</w:t>
            </w:r>
          </w:p>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76"/>
              <w:gridCol w:w="1065"/>
            </w:tblGrid>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Required</w:t>
                  </w:r>
                </w:p>
              </w:tc>
            </w:tr>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No</w:t>
                  </w:r>
                </w:p>
              </w:tc>
            </w:tr>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No</w:t>
                  </w:r>
                </w:p>
              </w:tc>
            </w:tr>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No</w:t>
                  </w:r>
                </w:p>
              </w:tc>
            </w:tr>
            <w:tr w:rsidR="007C41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t>No</w:t>
                  </w:r>
                </w:p>
              </w:tc>
            </w:tr>
          </w:tbl>
          <w:p w:rsidR="007C41F1" w:rsidRDefault="007C41F1"/>
        </w:tc>
      </w:tr>
      <w:tr w:rsidR="007C41F1">
        <w:tc>
          <w:tcPr>
            <w:tcW w:w="0" w:type="auto"/>
            <w:tcBorders>
              <w:top w:val="outset" w:sz="6" w:space="0" w:color="auto"/>
              <w:left w:val="outset" w:sz="6" w:space="0" w:color="auto"/>
              <w:bottom w:val="outset" w:sz="6" w:space="0" w:color="auto"/>
              <w:right w:val="outset" w:sz="6" w:space="0" w:color="auto"/>
            </w:tcBorders>
            <w:vAlign w:val="center"/>
            <w:hideMark/>
          </w:tcPr>
          <w:p w:rsidR="007C41F1" w:rsidRDefault="007C41F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C41F1" w:rsidRPr="00654EC5" w:rsidRDefault="007C41F1">
            <w:pPr>
              <w:pStyle w:val="NormalWeb"/>
            </w:pPr>
            <w:r w:rsidRPr="00654EC5">
              <w:t>The Expert Review Panel has not reviewed this measure yet.</w:t>
            </w:r>
          </w:p>
        </w:tc>
      </w:tr>
    </w:tbl>
    <w:p w:rsidR="007C41F1" w:rsidRDefault="007C41F1"/>
    <w:sectPr w:rsidR="007C4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C5"/>
    <w:rsid w:val="00566C94"/>
    <w:rsid w:val="00654EC5"/>
    <w:rsid w:val="007C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613566-4324-4F03-B643-20C35101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2958513&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9354</CharactersWithSpaces>
  <SharedDoc>false</SharedDoc>
  <HLinks>
    <vt:vector size="6" baseType="variant">
      <vt:variant>
        <vt:i4>6684797</vt:i4>
      </vt:variant>
      <vt:variant>
        <vt:i4>0</vt:i4>
      </vt:variant>
      <vt:variant>
        <vt:i4>0</vt:i4>
      </vt:variant>
      <vt:variant>
        <vt:i4>5</vt:i4>
      </vt:variant>
      <vt:variant>
        <vt:lpwstr>https://cdebrowser.nci.nih.gov/CDEBrowser/search?elementDetails=9&amp;FirstTimer=0&amp;PageId=ElementDetailsGroup&amp;publicId=2958513&amp;version=1.0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2016-11-17T19:08:00Z</dcterms:created>
  <dcterms:modified xsi:type="dcterms:W3CDTF">2016-11-17T19:08:00Z</dcterms:modified>
</cp:coreProperties>
</file>