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64F8C61" Type="http://schemas.openxmlformats.org/officeDocument/2006/relationships/officeDocument" Target="/word/document.xml" /><Relationship Id="coreR464F8C6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520502</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Substance-specific Intermediate Phenotypes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Motives - Alcohol, Tobacco, and Other Substances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Instruments used separately to assess the motives (reasons) for drinking alcohol, smoking cigarettes, or using drugs.</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The purpose of this measure is to assess motives (reasons) for drinking alcohol, smoking cigarettes, or using drugs, by asking the respondent questions about his/her thoughts and motivations for such actions.</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Sex Assigned at Birth [11601]</w:t>
              <w:br w:type="textWrapping"/>
              <w:t>Gender Identity [11801]</w:t>
              <w:br w:type="textWrapping"/>
              <w:t>Alcohol - Lifetime Use [30101]</w:t>
              <w:br w:type="textWrapping"/>
              <w:t>Cigarette Smoking Status - Adolescent [30603]</w:t>
              <w:br w:type="textWrapping"/>
              <w:t>Cigarette Smoking Status - Adult [30604]</w:t>
              <w:br w:type="textWrapping"/>
              <w:t>Substances - Lifetime Use [31102]</w:t>
              <w:br w:type="textWrapping"/>
              <w:t xml:space="preserve">Current Age [10102]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Alcohol - 30-Day Quantity and Frequency [30301]</w:t>
              <w:br w:type="textWrapping"/>
              <w:t>Alcohol - Lifetime Abuse and Dependence [30501]</w:t>
              <w:br w:type="textWrapping"/>
              <w:t>Alcohol - Lifetime Use Disorder [30502]</w:t>
              <w:br w:type="textWrapping"/>
              <w:t>Tobacco - 30-Day Quantity and Frequency - Adolescent [30801]</w:t>
              <w:br w:type="textWrapping"/>
              <w:t>Tobacco - 30-Day Quantity and Frequency - Adult [30802]</w:t>
              <w:br w:type="textWrapping"/>
              <w:t>Tobacco - 30-Day Quantity and Frequency - Adolescent [30803]</w:t>
              <w:br w:type="textWrapping"/>
              <w:t>Tobacco - 30-Day Quantity and Frequency - Adult [30804]</w:t>
              <w:br w:type="textWrapping"/>
              <w:t>Cigarette Nicotine Dependence [31001]</w:t>
              <w:br w:type="textWrapping"/>
              <w:t>Substances - 30-Day Frequency [31301]</w:t>
              <w:br w:type="textWrapping"/>
              <w:t>Substances - 30-Day Frequency [31302]</w:t>
              <w:br w:type="textWrapping"/>
              <w:t>Substances - Lifetime Abuse and Dependence [31401]</w:t>
              <w:br w:type="textWrapping"/>
              <w:t>Substances - Lifetime Abuse and Dependence [31402]</w:t>
              <w:br w:type="textWrapping"/>
              <w:t>Screening and Severity of Substance Use Problems - Adults - Alcohol - Past 12 Months [510201]</w:t>
              <w:br w:type="textWrapping"/>
              <w:t>Screening and Severity of Substance Use Problems - Adolescents [510202]</w:t>
              <w:br w:type="textWrapping"/>
              <w:t>Screening and Severity of Substance Use Problems - Adults - Alcohol - Lifetime [510203]</w:t>
              <w:br w:type="textWrapping"/>
              <w:t>Screening and Severity of Substance Use Problems - Adults - Drugs [510204]</w:t>
              <w:br w:type="textWrapping"/>
              <w:t>Patterns of Substance Use - Adolescents [510301]</w:t>
              <w:br w:type="textWrapping"/>
              <w:t>Patterns of Substance Use - Adults [510302]</w:t>
              <w:br w:type="textWrapping"/>
              <w:t>Patterns of Substance Use - Adolescents [510303]</w:t>
              <w:br w:type="textWrapping"/>
              <w:t>Patterns of Substance Use - Adults - Binge-Drinking [510304]</w:t>
              <w:br w:type="textWrapping"/>
              <w:t xml:space="preserve">Substances - Lifetime Substance Use Disorder [31601]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February 24, 2012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February 24, 2012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May 08, 2025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Motives - Alcohol, Tobacco, and Other Substances - Specific - Alcohol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Drinking Motives Questionnaire Revised (DMQ-R)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addiction; alcohol; Brief Wisconsin Inventory of Smoking Dependence Motives; Brief WISDM; cigarette; conformity; coping; craving; desire; DMQ-R; Drinking Motives Questionnaire Revised; Drugs; enhancement; illicit drugs; marijuana; Marijuana Motives Measure; MMM; nicotine; SAA; social; substance use disorder; tobacco; urge; substance-specific intermediate phenotypes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ind w:left="0" w:right="0"/>
            </w:pPr>
            <w:r>
              <w:rPr>
                <w:rFonts w:ascii="Arial" w:hAnsi="Arial"/>
                <w:sz w:val="21"/>
              </w:rPr>
              <w:t xml:space="preserve">The Drinking Motives Questionnaire Revised (DMQ-R) consists of 20 questions about the respondents reasons for drinking alcohol, falling into one of four categories for social, coping, enhancement, and conformity motives. The respondent is asked to respond to each question via a five-item scale ranging from 1 for "almost never/never" to 5 for "almost always/always." </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The Working Group recommends that investigators incorporate two Drinking Motives Questionnaire Revised (DMQ-R) subscales (coping and enhancement) as core items to obtain general information on a variety of substances. The full version of the DMQ-R in this follow-up protocol can be used to obtain detailed information on alcohol. Note that the coping and enhancement subscales are repeated from the core DMQ-R items. The coping, enhancement, and social subscales could be used with adolescent or adult populations, but the conformity subscale is only recommended for adolescents because endorsement of peer pressure items declines with age (Cooper 1994).</w:t>
            </w:r>
          </w:p>
          <w:p>
            <w:pPr>
              <w:spacing w:before="240" w:after="240"/>
              <w:ind w:left="0" w:right="0"/>
              <w:rPr>
                <w:rFonts w:ascii="Arial" w:hAnsi="Arial"/>
                <w:sz w:val="21"/>
              </w:rPr>
            </w:pPr>
            <w:r>
              <w:rPr>
                <w:rFonts w:ascii="Arial" w:hAnsi="Arial"/>
                <w:sz w:val="21"/>
              </w:rPr>
              <w:t>These questions are only asked if a respondent had affirmatively answered one of the alcohol category questions in the "Alcohol - Lifetime Use" measure.</w:t>
            </w:r>
          </w:p>
          <w:p>
            <w:pPr>
              <w:spacing w:before="240" w:after="240"/>
              <w:ind w:left="0" w:right="0"/>
              <w:rPr>
                <w:rFonts w:ascii="Arial" w:hAnsi="Arial"/>
                <w:sz w:val="21"/>
              </w:rPr>
            </w:pPr>
            <w:r>
              <w:rPr>
                <w:rFonts w:ascii="Arial" w:hAnsi="Arial"/>
                <w:sz w:val="21"/>
              </w:rPr>
              <w:t>The Substance-specific Intermediate Phenotypes Working Group acknowledges that the following questions may gather sensitive information relating to the use of substances and/or illegal conduct. If the information is released, it might be damaging to an individuals employability, lead to social stigmatization, or lead to other consequences.</w:t>
            </w:r>
          </w:p>
          <w:p>
            <w:pPr>
              <w:spacing w:before="240" w:after="240"/>
              <w:ind w:left="0" w:right="0"/>
              <w:rPr>
                <w:rFonts w:ascii="Arial" w:hAnsi="Arial"/>
                <w:sz w:val="21"/>
              </w:rPr>
            </w:pPr>
            <w:r>
              <w:rPr>
                <w:rFonts w:ascii="Arial" w:hAnsi="Arial"/>
                <w:sz w:val="21"/>
              </w:rPr>
              <w:t>Most researchers assure confidentiality as part of their informed consent process, as required by their institutional review boards. Further assurance of confidentiality may be obtained by applying to the National Institutes of Health (NIH) for a Certificate of Confidentiality, which helps researchers protect the privacy of human research participants. The procedures for the Certificate of Confidentiality can be found at the Grants Policy website of NIH: http://grants1.nih.gov/grants/policy/coc/index.htm.</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i w:val="1"/>
                <w:sz w:val="21"/>
              </w:rPr>
              <w:t>Here is a list of reasons people give for drinking alcohol. Thinking of all the times you drink, how often would you say that you drink for each of the following reasons?</w:t>
            </w:r>
          </w:p>
          <w:p>
            <w:pPr>
              <w:spacing w:before="240" w:after="240"/>
              <w:ind w:left="0" w:right="0"/>
              <w:rPr>
                <w:rFonts w:ascii="Arial" w:hAnsi="Arial"/>
                <w:sz w:val="21"/>
              </w:rPr>
            </w:pPr>
            <w:r>
              <w:rPr>
                <w:rFonts w:ascii="Arial" w:hAnsi="Arial"/>
                <w:i w:val="1"/>
                <w:sz w:val="21"/>
              </w:rPr>
              <w:t>There are no right or wrong answers to these questions.</w:t>
            </w:r>
          </w:p>
          <w:p>
            <w:pPr>
              <w:spacing w:before="240" w:after="240"/>
              <w:ind w:left="0" w:right="0"/>
              <w:rPr>
                <w:rFonts w:ascii="Arial" w:hAnsi="Arial"/>
                <w:sz w:val="21"/>
              </w:rPr>
            </w:pPr>
            <w:r>
              <w:rPr>
                <w:rFonts w:ascii="Arial" w:hAnsi="Arial"/>
                <w:i w:val="1"/>
                <w:sz w:val="21"/>
              </w:rPr>
              <w:t xml:space="preserve">If you no longer use alcohol, please answer for when you used to drink. </w:t>
            </w:r>
          </w:p>
          <w:p>
            <w:pPr>
              <w:spacing w:before="240" w:after="240"/>
              <w:ind w:left="0" w:right="0"/>
              <w:rPr>
                <w:rFonts w:ascii="Arial" w:hAnsi="Arial"/>
                <w:sz w:val="21"/>
              </w:rPr>
            </w:pPr>
            <w:r>
              <w:rPr>
                <w:rFonts w:ascii="Arial" w:hAnsi="Arial"/>
                <w:sz w:val="21"/>
              </w:rPr>
              <w:t>1. To forget your worries</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 xml:space="preserve">4 [ ] most of the time </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sz w:val="21"/>
              </w:rPr>
              <w:t>2. Because your friends pressure you to drink</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4 [ ] most of the time</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sz w:val="21"/>
              </w:rPr>
              <w:t>3. Because it helps you enjoy a party</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 xml:space="preserve">4 [ ] most of the time </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sz w:val="21"/>
              </w:rPr>
              <w:t>4. Because it helps you when you feel depressed or nervous</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 xml:space="preserve">4 [ ] most of the time </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sz w:val="21"/>
              </w:rPr>
              <w:t>5. To be sociable</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 xml:space="preserve">4 [ ] most of the time </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sz w:val="21"/>
              </w:rPr>
              <w:t>6. To cheer up when you are in a bad mood</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 xml:space="preserve">4 [ ] most of the time </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sz w:val="21"/>
              </w:rPr>
              <w:t>7. Because you like the feeling</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 xml:space="preserve">4 [ ] most of the time </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sz w:val="21"/>
              </w:rPr>
              <w:t xml:space="preserve">8. So that others wont kid you about </w:t>
            </w:r>
            <w:r>
              <w:rPr>
                <w:rFonts w:ascii="Arial" w:hAnsi="Arial"/>
                <w:i w:val="1"/>
                <w:sz w:val="21"/>
              </w:rPr>
              <w:t xml:space="preserve">not </w:t>
            </w:r>
            <w:r>
              <w:rPr>
                <w:rFonts w:ascii="Arial" w:hAnsi="Arial"/>
                <w:sz w:val="21"/>
              </w:rPr>
              <w:t>drinking</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 xml:space="preserve">4 [ ] most of the time </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sz w:val="21"/>
              </w:rPr>
              <w:t>9. Because its exciting</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 xml:space="preserve">4 [ ] most of the time </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sz w:val="21"/>
              </w:rPr>
              <w:t>10. To get high</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 xml:space="preserve">4 [ ] most of the time </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sz w:val="21"/>
              </w:rPr>
              <w:t>11. Because it makes social gatherings more fun</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 xml:space="preserve">4 [ ] most of the time </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sz w:val="21"/>
              </w:rPr>
              <w:t>12. To fit in with a group you like</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 xml:space="preserve">4 [ ] most of the time </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sz w:val="21"/>
              </w:rPr>
              <w:t>13. Because it gives you a pleasant feeling</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 xml:space="preserve">4 [ ] most of the time </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sz w:val="21"/>
              </w:rPr>
              <w:t>14. Because it improves parties and celebrations</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 xml:space="preserve">4 [ ] most of the time </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sz w:val="21"/>
              </w:rPr>
              <w:t>15. Because you feel more self-confident or sure of yourself</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 xml:space="preserve">4 [ ] most of the time </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sz w:val="21"/>
              </w:rPr>
              <w:t>16. To celebrate a special occasion with friends</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 xml:space="preserve">4 [ ] most of the time </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sz w:val="21"/>
              </w:rPr>
              <w:t>17. To forget about your problems</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 xml:space="preserve">4 [ ] most of the time </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sz w:val="21"/>
              </w:rPr>
              <w:t>18. Because its fun</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 xml:space="preserve">4 [ ] most of the time </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sz w:val="21"/>
              </w:rPr>
              <w:t>19. To be liked</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4 [ ] most of the time</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sz w:val="21"/>
              </w:rPr>
              <w:t>20. So you wont feel left out</w:t>
            </w:r>
          </w:p>
          <w:p>
            <w:pPr>
              <w:spacing w:before="240" w:after="240"/>
              <w:ind w:left="0" w:right="0"/>
              <w:rPr>
                <w:rFonts w:ascii="Arial" w:hAnsi="Arial"/>
                <w:sz w:val="21"/>
              </w:rPr>
            </w:pPr>
            <w:r>
              <w:rPr>
                <w:rFonts w:ascii="Arial" w:hAnsi="Arial"/>
                <w:sz w:val="21"/>
              </w:rPr>
              <w:t>1 [ ] almost never/never</w:t>
            </w:r>
          </w:p>
          <w:p>
            <w:pPr>
              <w:spacing w:before="240" w:after="240"/>
              <w:ind w:left="0" w:right="0"/>
              <w:rPr>
                <w:rFonts w:ascii="Arial" w:hAnsi="Arial"/>
                <w:sz w:val="21"/>
              </w:rPr>
            </w:pPr>
            <w:r>
              <w:rPr>
                <w:rFonts w:ascii="Arial" w:hAnsi="Arial"/>
                <w:sz w:val="21"/>
              </w:rPr>
              <w:t>2 [ ] some of the time</w:t>
            </w:r>
          </w:p>
          <w:p>
            <w:pPr>
              <w:spacing w:before="240" w:after="240"/>
              <w:ind w:left="0" w:right="0"/>
              <w:rPr>
                <w:rFonts w:ascii="Arial" w:hAnsi="Arial"/>
                <w:sz w:val="21"/>
              </w:rPr>
            </w:pPr>
            <w:r>
              <w:rPr>
                <w:rFonts w:ascii="Arial" w:hAnsi="Arial"/>
                <w:sz w:val="21"/>
              </w:rPr>
              <w:t>3 [ ] half of the time</w:t>
            </w:r>
          </w:p>
          <w:p>
            <w:pPr>
              <w:spacing w:before="240" w:after="240"/>
              <w:ind w:left="0" w:right="0"/>
              <w:rPr>
                <w:rFonts w:ascii="Arial" w:hAnsi="Arial"/>
                <w:sz w:val="21"/>
              </w:rPr>
            </w:pPr>
            <w:r>
              <w:rPr>
                <w:rFonts w:ascii="Arial" w:hAnsi="Arial"/>
                <w:sz w:val="21"/>
              </w:rPr>
              <w:t xml:space="preserve">4 [ ] most of the time </w:t>
            </w:r>
          </w:p>
          <w:p>
            <w:pPr>
              <w:spacing w:before="240" w:after="240"/>
              <w:ind w:left="0" w:right="0"/>
              <w:rPr>
                <w:rFonts w:ascii="Arial" w:hAnsi="Arial"/>
                <w:sz w:val="21"/>
              </w:rPr>
            </w:pPr>
            <w:r>
              <w:rPr>
                <w:rFonts w:ascii="Arial" w:hAnsi="Arial"/>
                <w:sz w:val="21"/>
              </w:rPr>
              <w:t>5 [ ] almost always/always</w:t>
            </w:r>
          </w:p>
          <w:p>
            <w:pPr>
              <w:spacing w:before="240" w:after="240"/>
              <w:ind w:left="0" w:right="0"/>
              <w:rPr>
                <w:rFonts w:ascii="Arial" w:hAnsi="Arial"/>
                <w:sz w:val="21"/>
              </w:rPr>
            </w:pPr>
            <w:r>
              <w:rPr>
                <w:rFonts w:ascii="Arial" w:hAnsi="Arial"/>
                <w:b w:val="1"/>
                <w:sz w:val="21"/>
              </w:rPr>
              <w:t>Scoring Procedure and Interpretation</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4170" w:type="dxa"/>
                  <w:vAlign w:val="top"/>
                </w:tcPr>
                <w:p>
                  <w:pPr>
                    <w:spacing w:before="240" w:after="240"/>
                    <w:ind w:left="0" w:right="0"/>
                    <w:rPr>
                      <w:rFonts w:ascii="Arial" w:hAnsi="Arial"/>
                      <w:sz w:val="21"/>
                    </w:rPr>
                  </w:pPr>
                  <w:r>
                    <w:rPr>
                      <w:rFonts w:ascii="Arial" w:hAnsi="Arial"/>
                      <w:b w:val="1"/>
                      <w:sz w:val="21"/>
                    </w:rPr>
                    <w:t>DMQ-R subscale</w:t>
                  </w:r>
                </w:p>
              </w:tc>
              <w:tc>
                <w:tcPr>
                  <w:tcW w:w="4170" w:type="dxa"/>
                  <w:vAlign w:val="top"/>
                </w:tcPr>
                <w:p>
                  <w:pPr>
                    <w:spacing w:before="240" w:after="240"/>
                    <w:ind w:left="0" w:right="0"/>
                    <w:rPr>
                      <w:rFonts w:ascii="Arial" w:hAnsi="Arial"/>
                      <w:sz w:val="21"/>
                    </w:rPr>
                  </w:pPr>
                  <w:r>
                    <w:rPr>
                      <w:rFonts w:ascii="Arial" w:hAnsi="Arial"/>
                      <w:b w:val="1"/>
                      <w:sz w:val="21"/>
                    </w:rPr>
                    <w:t>Scoring procedure</w:t>
                  </w:r>
                </w:p>
              </w:tc>
            </w:tr>
            <w:tr>
              <w:tc>
                <w:tcPr>
                  <w:tcW w:w="4170" w:type="dxa"/>
                  <w:vAlign w:val="top"/>
                </w:tcPr>
                <w:p>
                  <w:pPr>
                    <w:spacing w:before="240" w:after="240"/>
                    <w:ind w:left="0" w:right="0"/>
                    <w:rPr>
                      <w:rFonts w:ascii="Arial" w:hAnsi="Arial"/>
                      <w:sz w:val="21"/>
                    </w:rPr>
                  </w:pPr>
                  <w:r>
                    <w:rPr>
                      <w:rFonts w:ascii="Arial" w:hAnsi="Arial"/>
                      <w:sz w:val="21"/>
                    </w:rPr>
                    <w:t>Social Motives</w:t>
                  </w:r>
                </w:p>
              </w:tc>
              <w:tc>
                <w:tcPr>
                  <w:tcW w:w="4170" w:type="dxa"/>
                  <w:vAlign w:val="top"/>
                </w:tcPr>
                <w:p>
                  <w:pPr>
                    <w:spacing w:before="240" w:after="240"/>
                    <w:ind w:left="0" w:right="0"/>
                    <w:rPr>
                      <w:rFonts w:ascii="Arial" w:hAnsi="Arial"/>
                      <w:sz w:val="21"/>
                    </w:rPr>
                  </w:pPr>
                  <w:r>
                    <w:rPr>
                      <w:rFonts w:ascii="Arial" w:hAnsi="Arial"/>
                      <w:sz w:val="21"/>
                    </w:rPr>
                    <w:t>Mean of items 3, 5, 11, 14, and 16</w:t>
                  </w:r>
                </w:p>
              </w:tc>
            </w:tr>
            <w:tr>
              <w:tc>
                <w:tcPr>
                  <w:tcW w:w="4170" w:type="dxa"/>
                  <w:vAlign w:val="top"/>
                </w:tcPr>
                <w:p>
                  <w:pPr>
                    <w:spacing w:before="240" w:after="240"/>
                    <w:ind w:left="0" w:right="0"/>
                    <w:rPr>
                      <w:rFonts w:ascii="Arial" w:hAnsi="Arial"/>
                      <w:sz w:val="21"/>
                    </w:rPr>
                  </w:pPr>
                  <w:r>
                    <w:rPr>
                      <w:rFonts w:ascii="Arial" w:hAnsi="Arial"/>
                      <w:sz w:val="21"/>
                    </w:rPr>
                    <w:t>Coping Motives</w:t>
                  </w:r>
                </w:p>
              </w:tc>
              <w:tc>
                <w:tcPr>
                  <w:tcW w:w="4170" w:type="dxa"/>
                  <w:vAlign w:val="top"/>
                </w:tcPr>
                <w:p>
                  <w:pPr>
                    <w:spacing w:before="240" w:after="240"/>
                    <w:ind w:left="0" w:right="0"/>
                    <w:rPr>
                      <w:rFonts w:ascii="Arial" w:hAnsi="Arial"/>
                      <w:sz w:val="21"/>
                    </w:rPr>
                  </w:pPr>
                  <w:r>
                    <w:rPr>
                      <w:rFonts w:ascii="Arial" w:hAnsi="Arial"/>
                      <w:sz w:val="21"/>
                    </w:rPr>
                    <w:t>Mean of items 1, 4, 6, 15, and 17</w:t>
                  </w:r>
                </w:p>
              </w:tc>
            </w:tr>
            <w:tr>
              <w:tc>
                <w:tcPr>
                  <w:tcW w:w="4170" w:type="dxa"/>
                  <w:vAlign w:val="top"/>
                </w:tcPr>
                <w:p>
                  <w:pPr>
                    <w:spacing w:before="240" w:after="240"/>
                    <w:ind w:left="0" w:right="0"/>
                    <w:rPr>
                      <w:rFonts w:ascii="Arial" w:hAnsi="Arial"/>
                      <w:sz w:val="21"/>
                    </w:rPr>
                  </w:pPr>
                  <w:r>
                    <w:rPr>
                      <w:rFonts w:ascii="Arial" w:hAnsi="Arial"/>
                      <w:sz w:val="21"/>
                    </w:rPr>
                    <w:t>Enhancement Motives</w:t>
                  </w:r>
                </w:p>
              </w:tc>
              <w:tc>
                <w:tcPr>
                  <w:tcW w:w="4170" w:type="dxa"/>
                  <w:vAlign w:val="top"/>
                </w:tcPr>
                <w:p>
                  <w:pPr>
                    <w:spacing w:before="240" w:after="240"/>
                    <w:ind w:left="0" w:right="0"/>
                    <w:rPr>
                      <w:rFonts w:ascii="Arial" w:hAnsi="Arial"/>
                      <w:sz w:val="21"/>
                    </w:rPr>
                  </w:pPr>
                  <w:r>
                    <w:rPr>
                      <w:rFonts w:ascii="Arial" w:hAnsi="Arial"/>
                      <w:sz w:val="21"/>
                    </w:rPr>
                    <w:t>Mean of items 7, 9, 10, 13, and 18</w:t>
                  </w:r>
                </w:p>
              </w:tc>
            </w:tr>
            <w:tr>
              <w:tc>
                <w:tcPr>
                  <w:tcW w:w="4170" w:type="dxa"/>
                  <w:vAlign w:val="top"/>
                </w:tcPr>
                <w:p>
                  <w:pPr>
                    <w:spacing w:before="240" w:after="240"/>
                    <w:ind w:left="0" w:right="0"/>
                    <w:rPr>
                      <w:rFonts w:ascii="Arial" w:hAnsi="Arial"/>
                      <w:sz w:val="21"/>
                    </w:rPr>
                  </w:pPr>
                  <w:r>
                    <w:rPr>
                      <w:rFonts w:ascii="Arial" w:hAnsi="Arial"/>
                      <w:sz w:val="21"/>
                    </w:rPr>
                    <w:t>Conformity Motives</w:t>
                  </w:r>
                </w:p>
              </w:tc>
              <w:tc>
                <w:tcPr>
                  <w:tcW w:w="4170" w:type="dxa"/>
                  <w:vAlign w:val="top"/>
                </w:tcPr>
                <w:p>
                  <w:pPr>
                    <w:spacing w:before="240" w:after="240"/>
                    <w:ind w:left="0" w:right="0"/>
                    <w:rPr>
                      <w:rFonts w:ascii="Arial" w:hAnsi="Arial"/>
                      <w:sz w:val="21"/>
                    </w:rPr>
                  </w:pPr>
                  <w:r>
                    <w:rPr>
                      <w:rFonts w:ascii="Arial" w:hAnsi="Arial"/>
                      <w:sz w:val="21"/>
                    </w:rPr>
                    <w:t>Mean of items 2, 8, 12, 19, and 20</w:t>
                  </w:r>
                </w:p>
              </w:tc>
            </w:tr>
            <w:tr>
              <w:tc>
                <w:tcPr>
                  <w:tcW w:w="4170" w:type="dxa"/>
                  <w:vAlign w:val="top"/>
                </w:tcPr>
                <w:p>
                  <w:pPr>
                    <w:spacing w:before="240" w:after="240"/>
                    <w:ind w:left="0" w:right="0"/>
                    <w:rPr>
                      <w:rFonts w:ascii="Arial" w:hAnsi="Arial"/>
                      <w:sz w:val="21"/>
                    </w:rPr>
                  </w:pPr>
                  <w:r>
                    <w:rPr>
                      <w:rFonts w:ascii="Arial" w:hAnsi="Arial"/>
                      <w:sz w:val="21"/>
                    </w:rPr>
                    <w:t>Total Score</w:t>
                  </w:r>
                </w:p>
              </w:tc>
              <w:tc>
                <w:tcPr>
                  <w:tcW w:w="4170" w:type="dxa"/>
                  <w:vAlign w:val="top"/>
                </w:tcPr>
                <w:p>
                  <w:pPr>
                    <w:spacing w:before="240" w:after="240"/>
                    <w:ind w:left="0" w:right="0"/>
                    <w:rPr>
                      <w:rFonts w:ascii="Arial" w:hAnsi="Arial"/>
                      <w:sz w:val="21"/>
                    </w:rPr>
                  </w:pPr>
                  <w:r>
                    <w:rPr>
                      <w:rFonts w:ascii="Arial" w:hAnsi="Arial"/>
                      <w:sz w:val="21"/>
                    </w:rPr>
                    <w:t>Sum of means for the four subscales</w:t>
                  </w:r>
                </w:p>
              </w:tc>
            </w:tr>
          </w:tbl>
          <w:p>
            <w:pPr>
              <w:spacing w:before="240" w:after="240"/>
              <w:ind w:left="0" w:right="0"/>
              <w:rPr>
                <w:rFonts w:ascii="Arial" w:hAnsi="Arial"/>
                <w:sz w:val="21"/>
              </w:rPr>
            </w:pPr>
            <w:r>
              <w:rPr>
                <w:rFonts w:ascii="Arial" w:hAnsi="Arial"/>
                <w:sz w:val="21"/>
              </w:rPr>
              <w:t>The scoring scheme reflects factors identified in the original publication. Factor structure may differ in individual studies.</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ind w:left="0" w:right="0"/>
            </w:pPr>
            <w:r>
              <w:rPr>
                <w:rFonts w:ascii="Arial" w:hAnsi="Arial"/>
                <w:sz w:val="21"/>
              </w:rPr>
              <w:t xml:space="preserve">The Drinking Motives Questionnaire Revised (DMQ-R) is a well-validated and widely used instrument in both clinical and research settings. The instrument was used initially as an interview in a study of adolescents (Cooper 1994), but it has since been validated in adult populations. </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Cooper, M. L. (1994). Motivations for alcohol use among adolescents: Development and validation of a four-factor model. </w:t>
            </w:r>
            <w:r>
              <w:rPr>
                <w:rFonts w:ascii="Arial" w:hAnsi="Arial"/>
                <w:i w:val="1"/>
                <w:sz w:val="21"/>
              </w:rPr>
              <w:t>Psychological Assessment, 6</w:t>
            </w:r>
            <w:r>
              <w:rPr>
                <w:rFonts w:ascii="Arial" w:hAnsi="Arial"/>
                <w:sz w:val="21"/>
              </w:rPr>
              <w:t>(2), 117–128.</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Lifestage</w:t>
            </w:r>
          </w:p>
        </w:tc>
        <w:tc>
          <w:tcPr>
            <w:tcW w:w="0" w:type="auto"/>
            <w:vAlign w:val="center"/>
          </w:tcPr>
          <w:p>
            <w:pPr>
              <w:ind w:left="0" w:right="0"/>
            </w:pPr>
            <w:r>
              <w:rPr>
                <w:rFonts w:ascii="Arial" w:hAnsi="Arial"/>
                <w:sz w:val="21"/>
              </w:rPr>
              <w:t>Adult</w:t>
              <w:br w:type="textWrapping"/>
              <w:t>Adolescent</w:t>
              <w:br w:type="textWrapping"/>
              <w:t xml:space="preserve">Senior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ind w:left="0" w:right="0"/>
            </w:pPr>
            <w:r>
              <w:rPr>
                <w:rFonts w:ascii="Arial" w:hAnsi="Arial"/>
                <w:sz w:val="21"/>
              </w:rPr>
              <w:t xml:space="preserve">Adolescents and adults aged 13 years and older </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ind w:left="0" w:right="0"/>
            </w:pPr>
            <w:r>
              <w:rPr>
                <w:rFonts w:ascii="Arial" w:hAnsi="Arial"/>
                <w:sz w:val="21"/>
              </w:rPr>
              <w:t xml:space="preserve">The interviewer must be trained and found to be competent to conduct personal interviews with individuals from the general population. The interviewer should be trained to prompt respondents further if a "dont know" response is provided. </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ind w:left="0" w:right="0"/>
            </w:pPr>
            <w:r>
              <w:rPr>
                <w:rFonts w:ascii="Arial" w:hAnsi="Arial"/>
                <w:sz w:val="21"/>
              </w:rPr>
              <w:t xml:space="preserve">None </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Human Phenotype Ontology</w:t>
                  </w:r>
                </w:p>
              </w:tc>
              <w:tc>
                <w:tcPr>
                  <w:tcW w:w="0" w:type="auto"/>
                  <w:vAlign w:val="center"/>
                </w:tcPr>
                <w:p>
                  <w:pPr>
                    <w:spacing w:before="240" w:after="240"/>
                    <w:ind w:left="0" w:right="0"/>
                    <w:rPr>
                      <w:rFonts w:ascii="Arial" w:hAnsi="Arial"/>
                      <w:sz w:val="21"/>
                    </w:rPr>
                  </w:pPr>
                  <w:r>
                    <w:rPr>
                      <w:rFonts w:ascii="Arial" w:hAnsi="Arial"/>
                      <w:sz w:val="21"/>
                    </w:rPr>
                    <w:t>Addictive behavior</w:t>
                  </w:r>
                </w:p>
              </w:tc>
              <w:tc>
                <w:tcPr>
                  <w:tcW w:w="0" w:type="auto"/>
                  <w:vAlign w:val="center"/>
                </w:tcPr>
                <w:p>
                  <w:pPr>
                    <w:spacing w:before="240" w:after="240"/>
                    <w:ind w:left="0" w:right="0"/>
                    <w:rPr>
                      <w:rFonts w:ascii="Arial" w:hAnsi="Arial"/>
                      <w:sz w:val="21"/>
                    </w:rPr>
                  </w:pPr>
                  <w:r>
                    <w:rPr>
                      <w:rFonts w:ascii="Arial" w:hAnsi="Arial"/>
                      <w:sz w:val="21"/>
                    </w:rPr>
                    <w:t>HP:0030858</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"https://hpo.jax.org/app/browse/term/&lt;INSERT_ID&gt;"</w:instrText>
                  </w:r>
                  <w:r>
                    <w:rPr>
                      <w:rFonts w:ascii="Arial" w:hAnsi="Arial"/>
                      <w:sz w:val="21"/>
                    </w:rPr>
                    <w:fldChar w:fldCharType="separate"/>
                  </w:r>
                  <w:r>
                    <w:rPr>
                      <w:rStyle w:val="C2"/>
                      <w:rFonts w:ascii="Arial" w:hAnsi="Arial"/>
                      <w:sz w:val="21"/>
                    </w:rPr>
                    <w:t>HPO</w:t>
                  </w:r>
                  <w:r>
                    <w:rPr>
                      <w:rStyle w:val="C2"/>
                      <w:rFonts w:ascii="Arial" w:hAnsi="Arial"/>
                      <w:sz w:val="21"/>
                    </w:rPr>
                    <w:fldChar w:fldCharType="end"/>
                  </w:r>
                </w:p>
              </w:tc>
            </w:tr>
            <w:tr>
              <w:tc>
                <w:tcPr>
                  <w:tcW w:w="0" w:type="auto"/>
                  <w:vAlign w:val="center"/>
                </w:tcPr>
                <w:p>
                  <w:pPr>
                    <w:spacing w:before="240" w:after="240"/>
                    <w:ind w:left="0" w:right="0"/>
                    <w:rPr>
                      <w:rFonts w:ascii="Arial" w:hAnsi="Arial"/>
                      <w:sz w:val="21"/>
                    </w:rPr>
                  </w:pPr>
                  <w:r>
                    <w:rPr>
                      <w:rFonts w:ascii="Arial" w:hAnsi="Arial"/>
                      <w:sz w:val="21"/>
                    </w:rPr>
                    <w:t>caDSR Form</w:t>
                  </w:r>
                </w:p>
              </w:tc>
              <w:tc>
                <w:tcPr>
                  <w:tcW w:w="0" w:type="auto"/>
                  <w:vAlign w:val="center"/>
                </w:tcPr>
                <w:p>
                  <w:pPr>
                    <w:spacing w:before="240" w:after="240"/>
                    <w:ind w:left="0" w:right="0"/>
                    <w:rPr>
                      <w:rFonts w:ascii="Arial" w:hAnsi="Arial"/>
                      <w:sz w:val="21"/>
                    </w:rPr>
                  </w:pPr>
                  <w:r>
                    <w:rPr>
                      <w:rFonts w:ascii="Arial" w:hAnsi="Arial"/>
                      <w:sz w:val="21"/>
                    </w:rPr>
                    <w:t>PhenX PX520502 - Motives Alcohol Tobacco And Other Subsspecificalcoh</w:t>
                  </w:r>
                </w:p>
              </w:tc>
              <w:tc>
                <w:tcPr>
                  <w:tcW w:w="0" w:type="auto"/>
                  <w:vAlign w:val="center"/>
                </w:tcPr>
                <w:p>
                  <w:pPr>
                    <w:spacing w:before="240" w:after="240"/>
                    <w:ind w:left="0" w:right="0"/>
                    <w:rPr>
                      <w:rFonts w:ascii="Arial" w:hAnsi="Arial"/>
                      <w:sz w:val="21"/>
                    </w:rPr>
                  </w:pPr>
                  <w:r>
                    <w:rPr>
                      <w:rFonts w:ascii="Arial" w:hAnsi="Arial"/>
                      <w:sz w:val="21"/>
                    </w:rPr>
                    <w:t>6226772</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"https://cadsr.cancer.gov/onedata/dmdirect/NIH/NCI/CO/FRMDD?filter=FRMDD.ITEM_ID=&lt;INSERT_ID&gt;%20and%20ver_nr=1"</w:instrText>
                  </w:r>
                  <w:r>
                    <w:rPr>
                      <w:rFonts w:ascii="Arial" w:hAnsi="Arial"/>
                      <w:sz w:val="21"/>
                    </w:rPr>
                    <w:fldChar w:fldCharType="separate"/>
                  </w:r>
                  <w:r>
                    <w:rPr>
                      <w:rStyle w:val="C2"/>
                      <w:rFonts w:ascii="Arial" w:hAnsi="Arial"/>
                      <w:sz w:val="21"/>
                    </w:rPr>
                    <w:t>caDSR Form</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Comeau, N., Stewart, S. H., &amp; Loba, P. (2001). The relations of trait anxiety, anxiety sensitivity, and sensation seeking to adolescents motivations for alcohol, cigarette, and marijuana use. </w:t>
            </w:r>
            <w:r>
              <w:rPr>
                <w:rFonts w:ascii="Arial" w:hAnsi="Arial"/>
                <w:i w:val="1"/>
                <w:sz w:val="21"/>
              </w:rPr>
              <w:t>Addictive Behaviors, 26</w:t>
            </w:r>
            <w:r>
              <w:rPr>
                <w:rFonts w:ascii="Arial" w:hAnsi="Arial"/>
                <w:sz w:val="21"/>
              </w:rPr>
              <w:t>(6)</w:t>
            </w:r>
            <w:r>
              <w:rPr>
                <w:rFonts w:ascii="Arial" w:hAnsi="Arial"/>
                <w:i w:val="1"/>
                <w:sz w:val="21"/>
              </w:rPr>
              <w:t>,</w:t>
            </w:r>
            <w:r>
              <w:rPr>
                <w:rFonts w:ascii="Arial" w:hAnsi="Arial"/>
                <w:sz w:val="21"/>
              </w:rPr>
              <w:t xml:space="preserve"> 803-825.</w:t>
            </w:r>
          </w:p>
          <w:p>
            <w:pPr>
              <w:spacing w:before="240" w:after="240"/>
              <w:ind w:left="0" w:right="0"/>
              <w:rPr>
                <w:rFonts w:ascii="Arial" w:hAnsi="Arial"/>
                <w:sz w:val="21"/>
              </w:rPr>
            </w:pPr>
            <w:r>
              <w:rPr>
                <w:rFonts w:ascii="Arial" w:hAnsi="Arial"/>
                <w:sz w:val="21"/>
              </w:rPr>
              <w:t xml:space="preserve">Cooper, M. L., Russell, M., Skinner, J. B., &amp; Windle, M. (1992). Development and validation of a three-dimensional measure of drinking motives. </w:t>
            </w:r>
            <w:r>
              <w:rPr>
                <w:rFonts w:ascii="Arial" w:hAnsi="Arial"/>
                <w:i w:val="1"/>
                <w:sz w:val="21"/>
              </w:rPr>
              <w:t>Psychological Assessment,</w:t>
            </w:r>
            <w:r>
              <w:rPr>
                <w:rFonts w:ascii="Arial" w:hAnsi="Arial"/>
                <w:sz w:val="21"/>
              </w:rPr>
              <w:t xml:space="preserve"> </w:t>
            </w:r>
            <w:r>
              <w:rPr>
                <w:rFonts w:ascii="Arial" w:hAnsi="Arial"/>
                <w:i w:val="1"/>
                <w:sz w:val="21"/>
              </w:rPr>
              <w:t>4</w:t>
            </w:r>
            <w:r>
              <w:rPr>
                <w:rFonts w:ascii="Arial" w:hAnsi="Arial"/>
                <w:sz w:val="21"/>
              </w:rPr>
              <w:t xml:space="preserve">(2), 123–132. </w:t>
            </w:r>
          </w:p>
          <w:p>
            <w:pPr>
              <w:spacing w:before="240" w:after="240"/>
              <w:ind w:left="0" w:right="0"/>
              <w:rPr>
                <w:rFonts w:ascii="Arial" w:hAnsi="Arial"/>
                <w:sz w:val="21"/>
              </w:rPr>
            </w:pPr>
            <w:r>
              <w:rPr>
                <w:rFonts w:ascii="Arial" w:hAnsi="Arial"/>
                <w:sz w:val="21"/>
              </w:rPr>
              <w:t xml:space="preserve">Kuntsche, E., Knibbe, R., Gmel, G., &amp; Engels, R. (2005). Why do young people drink? A review of drinking motives. </w:t>
            </w:r>
            <w:r>
              <w:rPr>
                <w:rFonts w:ascii="Arial" w:hAnsi="Arial"/>
                <w:i w:val="1"/>
                <w:sz w:val="21"/>
              </w:rPr>
              <w:t>Clinical Psychology Review,</w:t>
            </w:r>
            <w:r>
              <w:rPr>
                <w:rFonts w:ascii="Arial" w:hAnsi="Arial"/>
                <w:sz w:val="21"/>
              </w:rPr>
              <w:t xml:space="preserve"> </w:t>
            </w:r>
            <w:r>
              <w:rPr>
                <w:rFonts w:ascii="Arial" w:hAnsi="Arial"/>
                <w:i w:val="1"/>
                <w:sz w:val="21"/>
              </w:rPr>
              <w:t>25</w:t>
            </w:r>
            <w:r>
              <w:rPr>
                <w:rFonts w:ascii="Arial" w:hAnsi="Arial"/>
                <w:sz w:val="21"/>
              </w:rPr>
              <w:t>(7), 841–861.</w:t>
            </w:r>
          </w:p>
          <w:p>
            <w:pPr>
              <w:spacing w:before="240" w:after="240"/>
              <w:ind w:left="0" w:right="0"/>
              <w:rPr>
                <w:rFonts w:ascii="Arial" w:hAnsi="Arial"/>
                <w:sz w:val="21"/>
              </w:rPr>
            </w:pPr>
            <w:r>
              <w:rPr>
                <w:rFonts w:ascii="Arial" w:hAnsi="Arial"/>
                <w:sz w:val="21"/>
              </w:rPr>
              <w:t xml:space="preserve">Kuntsche, E., Knibbe, R., Gmel, G., &amp; Engels, R. (2006). Replication and validation of the Drinking Motive Questionnaire Revised (DMQ-R, Cooper, 1994) among adolescents in Switzerland. </w:t>
            </w:r>
            <w:r>
              <w:rPr>
                <w:rFonts w:ascii="Arial" w:hAnsi="Arial"/>
                <w:i w:val="1"/>
                <w:sz w:val="21"/>
              </w:rPr>
              <w:t>European Addiction Research, 12</w:t>
            </w:r>
            <w:r>
              <w:rPr>
                <w:rFonts w:ascii="Arial" w:hAnsi="Arial"/>
                <w:sz w:val="21"/>
              </w:rPr>
              <w:t xml:space="preserve">, 161-168. </w:t>
            </w:r>
          </w:p>
          <w:p>
            <w:pPr>
              <w:spacing w:before="240" w:after="240"/>
              <w:ind w:left="0" w:right="0"/>
              <w:rPr>
                <w:rFonts w:ascii="Arial" w:hAnsi="Arial"/>
                <w:sz w:val="21"/>
              </w:rPr>
            </w:pPr>
            <w:r>
              <w:rPr>
                <w:rFonts w:ascii="Arial" w:hAnsi="Arial"/>
                <w:sz w:val="21"/>
              </w:rPr>
              <w:t xml:space="preserve">Kuntsche, E., Steward, S. H., &amp; Cooper, M. L. (2008). How stable is the motive-alcohol use link? A cross-national validation of the Drinking Motive Questionnaire Revised among adolescents from Switzerland, Canada, and the United States. </w:t>
            </w:r>
            <w:r>
              <w:rPr>
                <w:rFonts w:ascii="Arial" w:hAnsi="Arial"/>
                <w:i w:val="1"/>
                <w:sz w:val="21"/>
              </w:rPr>
              <w:t>Journal of Studies on Alcohol and Drugs, 69</w:t>
            </w:r>
            <w:r>
              <w:rPr>
                <w:rFonts w:ascii="Arial" w:hAnsi="Arial"/>
                <w:sz w:val="21"/>
              </w:rPr>
              <w:t>(3)</w:t>
            </w:r>
            <w:r>
              <w:rPr>
                <w:rFonts w:ascii="Arial" w:hAnsi="Arial"/>
                <w:i w:val="1"/>
                <w:sz w:val="21"/>
              </w:rPr>
              <w:t>,</w:t>
            </w:r>
            <w:r>
              <w:rPr>
                <w:rFonts w:ascii="Arial" w:hAnsi="Arial"/>
                <w:sz w:val="21"/>
              </w:rPr>
              <w:t xml:space="preserve"> 388-396.</w:t>
            </w:r>
          </w:p>
          <w:p>
            <w:pPr>
              <w:spacing w:before="240" w:after="240"/>
              <w:ind w:left="0" w:right="0"/>
              <w:rPr>
                <w:rFonts w:ascii="Arial" w:hAnsi="Arial"/>
                <w:sz w:val="21"/>
              </w:rPr>
            </w:pPr>
            <w:r>
              <w:rPr>
                <w:rFonts w:ascii="Arial" w:hAnsi="Arial"/>
                <w:sz w:val="21"/>
              </w:rPr>
              <w:t xml:space="preserve">Stewart, S. H., Zeitlin, S. B., &amp; Samoluk, S. B. (1996). Examination of a three-dimensional drinking motives questionnaire in a young adult university student sample. </w:t>
            </w:r>
            <w:r>
              <w:rPr>
                <w:rFonts w:ascii="Arial" w:hAnsi="Arial"/>
                <w:i w:val="1"/>
                <w:sz w:val="21"/>
              </w:rPr>
              <w:t>Behaviour Research and Therapy, 34</w:t>
            </w:r>
            <w:r>
              <w:rPr>
                <w:rFonts w:ascii="Arial" w:hAnsi="Arial"/>
                <w:sz w:val="21"/>
              </w:rPr>
              <w:t>(1), 61-71.</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or 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ind w:left="0" w:right="0"/>
            </w:pPr>
            <w:r>
              <w:rPr>
                <w:rFonts w:ascii="Arial" w:hAnsi="Arial"/>
                <w:sz w:val="21"/>
              </w:rPr>
              <w:t xml:space="preserve">None </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2025-06-24T15:04:23Z</dcterms:created>
  <cp:lastModifiedBy>Williams, David</cp:lastModifiedBy>
  <dcterms:modified xsi:type="dcterms:W3CDTF">2025-06-24T15:04:23Z</dcterms:modified>
  <cp:revision>1</cp:revision>
</cp:coreProperties>
</file>