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148E0B" Type="http://schemas.openxmlformats.org/officeDocument/2006/relationships/officeDocument" Target="/word/document.xml" /><Relationship Id="coreR3148E0B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tbl>
      <w:tblPr>
        <w:tblW w:w="5000" w:type="pct"/>
        <w:tblInd w:w="0" w:type="dxa"/>
        <w:tblBorders>
          <w:top w:val="single" w:sz="6" w:space="0" w:shadow="0" w:frame="0" w:color="000000"/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  <w:insideH w:val="single" w:sz="6" w:space="0" w:shadow="0" w:frame="0" w:color="000000"/>
          <w:insideV w:val="single" w:sz="6" w:space="0" w:shadow="0" w:fram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/>
      <w:tr>
        <w:tc>
          <w:tcPr>
            <w:tcW w:w="0" w:type="auto"/>
            <w:gridSpan w:val="2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7"/>
              </w:rPr>
            </w:pPr>
            <w:r>
              <w:rPr>
                <w:rFonts w:ascii="Arial" w:hAnsi="Arial"/>
                <w:b w:val="1"/>
                <w:sz w:val="27"/>
              </w:rPr>
              <w:t>About the Measure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Protocol Id</w:t>
            </w:r>
          </w:p>
        </w:tc>
        <w:tc>
          <w:tcPr>
            <w:tcW w:w="0" w:type="auto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710601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Domain: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 xml:space="preserve">Tobacco Regulatory Research - Host: Social/Cognitive 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Measure: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 xml:space="preserve">Hedonic Tone or Response to Pleasurable Situations 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Definition: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 xml:space="preserve">A self-report measure to determine anhedonia or an individual’s inability to experience pleasure. 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Purpose: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 xml:space="preserve">This scale is designed to measure the degree to which a person is able to experience pleasure or the anticipation of a pleasurable experience. Anhedonia can serve as a baseline, trait-like variable, as well as a state that can be influenced by tobacco use. 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Essential PhenX Protocols: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Related PhenX Protocols: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>Personality Traits [121101]</w:t>
              <w:br w:type="textWrapping"/>
              <w:t>Disinhibiting Behaviors - Impulsivity - Adolescent and Adult [180401]</w:t>
              <w:br w:type="textWrapping"/>
              <w:t>Disinhibiting Behaviors - Impulsivity - Child [180402]</w:t>
              <w:br w:type="textWrapping"/>
              <w:t xml:space="preserve">Response Inhibition (Go/NoGo Task) [530701] 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Measure Release Date: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 xml:space="preserve">February 20, 2015 </w:t>
            </w:r>
          </w:p>
        </w:tc>
      </w:tr>
    </w:tbl>
    <w:p>
      <w:pPr>
        <w:spacing w:before="0" w:after="0"/>
        <w:ind w:firstLine="0" w:left="0" w:right="0"/>
      </w:pPr>
      <w:r>
        <w:br w:type="textWrapping"/>
      </w:r>
    </w:p>
    <w:tbl>
      <w:tblPr>
        <w:tblW w:w="5000" w:type="pct"/>
        <w:tblInd w:w="0" w:type="dxa"/>
        <w:tblBorders>
          <w:top w:val="single" w:sz="6" w:space="0" w:shadow="0" w:frame="0" w:color="000000"/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  <w:insideH w:val="single" w:sz="6" w:space="0" w:shadow="0" w:frame="0" w:color="000000"/>
          <w:insideV w:val="single" w:sz="6" w:space="0" w:shadow="0" w:fram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/>
      <w:tr>
        <w:tc>
          <w:tcPr>
            <w:tcW w:w="0" w:type="auto"/>
            <w:gridSpan w:val="2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7"/>
              </w:rPr>
            </w:pPr>
            <w:r>
              <w:rPr>
                <w:rFonts w:ascii="Arial" w:hAnsi="Arial"/>
                <w:b w:val="1"/>
                <w:sz w:val="27"/>
              </w:rPr>
              <w:t>About the Protocol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Protocol Release Date: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 xml:space="preserve">February 20, 2015 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Protocol Review Date: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 xml:space="preserve">February 20, 2015 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PhenX Protocol Name: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 xml:space="preserve">Hedonic Tone or Response to Pleasurable Situations 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Protocol Name From Source: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 xml:space="preserve">The Snaith-Hamilton Pleasure Scale (SHAPS) 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Protocol Availability: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 xml:space="preserve">Available 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Keywords: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 xml:space="preserve">personality; anhedonia; emotion regulation; emotions; pleasure; depression; pleasurable acts; withdrawal; affect; reward value 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Description:</w:t>
            </w:r>
          </w:p>
        </w:tc>
        <w:tc>
          <w:tcPr>
            <w:tcW w:w="0" w:type="auto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The Snaith-Hamilton Pleasure Scale (SHAPS) is a self-administered, paper-and-pencil questionnaire with 14 items assessing four domains of pleasure response/hedonic experience: interest/pastimes, social interaction, sensory experience, and food/drink.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Specific Instructions:</w:t>
            </w:r>
          </w:p>
        </w:tc>
        <w:tc>
          <w:tcPr>
            <w:tcW w:w="0" w:type="auto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The work group acknowledges this protocol is in English (United Kingdom) and recommends adjusting for English (United States) as needed.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Protocol:</w:t>
            </w:r>
          </w:p>
        </w:tc>
        <w:tc>
          <w:tcPr>
            <w:tcW w:w="0" w:type="auto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This questionnaire is designed to measure your ability to experience pleasure in the last few days. It is important to read each statement very carefully. Tick one of the boxes [ ] to indicate how much you agree or disagree with each statement.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1. I would enjoy my favourite television or radio programme: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Strongly disagree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Disagree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Agree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Strongly agree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2. I would enjoy being with my family or close friends: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Definitely agree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Agree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Disagree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Strongly disagree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3. I would find pleasure in my hobbies and pastimes: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Strongly disagree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Disagree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Agree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Strongly agree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4. I would be able to enjoy my favourite meal: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Definitely agree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Agree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Disagree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Strongly disagree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5. I would enjoy a warm bath or refreshing shower: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Definitely agree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Agree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Disagree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Strongly disagree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6. I would find pleasure in the scent of flowers or the smell of a fresh sea breeze or freshly baked bread: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Strongly disagree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Disagree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Agree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Strongly agree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7. I would enjoy seeing other people’s smiling faces: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Definitely agree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Agree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Disagree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Strongly disagree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8. I would enjoy looking smart when I have made an effort with my appearance: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Strongly disagree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Disagree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Agree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Strongly agree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9. I would enjoy reading a book, magazine or newspaper: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Definitely agree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Agree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Disagree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Strongly disagree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10. I would enjoy a cup of tea or coffee or my favourite drink: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Strongly disagree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Disagree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Agree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Strongly agree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11. I would find pleasure in small things, e.g., bright sunny day, a telephone call from a friend: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Strongly disagree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Disagree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Agree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Strongly agree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12. I would be able to enjoy a beautiful landscape or view: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Definitely agree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Agree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Disagree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Strongly disagree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13. I would get pleasure from helping others: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Strongly disagree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Disagree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Agree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Strongly agree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14. I would feel pleasure when I receive praise from other people: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Definitely agree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Agree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Disagree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Strongly disagree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Scoring: Either of the Disagree responses receives a score of 1 and either of the Agree responses receives a score of 0. The SHAPS is scored as the sum of the 14 items so that total scores ranged from 0 to 14. A higher total SHAPS score indicated higher levels of anhedonia. A cut-off score of 2 provides the best discrimination between "normal" and "abnormal" level of hedonic tone.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Selection Rationale:</w:t>
            </w:r>
          </w:p>
        </w:tc>
        <w:tc>
          <w:tcPr>
            <w:tcW w:w="0" w:type="auto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Anhedonia, the inability to experience pleasure in normally pleasurable acts, is associated with smoking cessation outcomes. Emotional regulation, and specifically anhedonia, may be a core dimension of depression that is associated with cessation failure. Further, animal studies have implicated anhedonia in response to drug withdrawal, and it is linked to drug self-administration.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Source:</w:t>
            </w:r>
          </w:p>
        </w:tc>
        <w:tc>
          <w:tcPr>
            <w:tcW w:w="0" w:type="auto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Snaith, R. P., Hamilton, M., Morley, S., Humayan, A., Hargreaves, D., &amp; Trigwell, P. (1995). A scale for the assessment of hedonic tone the Snaith-Hamilton Pleasure Scale. </w:t>
            </w:r>
            <w:r>
              <w:rPr>
                <w:rFonts w:ascii="Arial" w:hAnsi="Arial"/>
                <w:i w:val="1"/>
                <w:sz w:val="21"/>
              </w:rPr>
              <w:t>British Journal of Psychiatry</w:t>
            </w:r>
            <w:r>
              <w:rPr>
                <w:rFonts w:ascii="Arial" w:hAnsi="Arial"/>
                <w:sz w:val="21"/>
              </w:rPr>
              <w:t xml:space="preserve">, </w:t>
            </w:r>
            <w:r>
              <w:rPr>
                <w:rFonts w:ascii="Arial" w:hAnsi="Arial"/>
                <w:i w:val="1"/>
                <w:sz w:val="21"/>
              </w:rPr>
              <w:t>167</w:t>
            </w:r>
            <w:r>
              <w:rPr>
                <w:rFonts w:ascii="Arial" w:hAnsi="Arial"/>
                <w:sz w:val="21"/>
              </w:rPr>
              <w:t>(1), 99-103.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Language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 xml:space="preserve">English 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Participant:</w:t>
            </w:r>
          </w:p>
        </w:tc>
        <w:tc>
          <w:tcPr>
            <w:tcW w:w="0" w:type="auto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Adults 18 and older; not valid with the blind.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Personnel and Training Required:</w:t>
            </w:r>
          </w:p>
        </w:tc>
        <w:tc>
          <w:tcPr>
            <w:tcW w:w="0" w:type="auto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None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Equipment Needs:</w:t>
            </w:r>
          </w:p>
        </w:tc>
        <w:tc>
          <w:tcPr>
            <w:tcW w:w="0" w:type="auto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None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Standards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General References:</w:t>
            </w:r>
          </w:p>
        </w:tc>
        <w:tc>
          <w:tcPr>
            <w:tcW w:w="0" w:type="auto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Dawkins, L., Powell, J. H., Pickering, A., Powell, J. &amp; West, R. (2009). Patterns of change in withdrawal symptoms, desire to smoke, reward motivation and response inhibition across 3 months of smoking abstinence. </w:t>
            </w:r>
            <w:r>
              <w:rPr>
                <w:rFonts w:ascii="Arial" w:hAnsi="Arial"/>
                <w:i w:val="1"/>
                <w:sz w:val="21"/>
              </w:rPr>
              <w:t>Addiction, 104</w:t>
            </w:r>
            <w:r>
              <w:rPr>
                <w:rFonts w:ascii="Arial" w:hAnsi="Arial"/>
                <w:sz w:val="21"/>
              </w:rPr>
              <w:t>, 850-858.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Dawkins, L., Powell, J. H., West, R., Powell, J., &amp; Pickering, A. (2006). A double-blind placebo controlled experimental study of nicotine: I-Effects on incentive motivation. </w:t>
            </w:r>
            <w:r>
              <w:rPr>
                <w:rFonts w:ascii="Arial" w:hAnsi="Arial"/>
                <w:i w:val="1"/>
                <w:sz w:val="21"/>
              </w:rPr>
              <w:t>Psychopharmacology, 189</w:t>
            </w:r>
            <w:r>
              <w:rPr>
                <w:rFonts w:ascii="Arial" w:hAnsi="Arial"/>
                <w:sz w:val="21"/>
              </w:rPr>
              <w:t>, 355-367.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Leventhal, A. M., Chasson, G. S., Tapia, E., Miller, E. K., &amp; Pettit, J. W. (2006). Measuring hedonic capacity in depression: A psychometric analysis of three anhedonia scales. </w:t>
            </w:r>
            <w:r>
              <w:rPr>
                <w:rFonts w:ascii="Arial" w:hAnsi="Arial"/>
                <w:i w:val="1"/>
                <w:sz w:val="21"/>
              </w:rPr>
              <w:t>Journal of Clinical Psychology, 62</w:t>
            </w:r>
            <w:r>
              <w:rPr>
                <w:rFonts w:ascii="Arial" w:hAnsi="Arial"/>
                <w:sz w:val="21"/>
              </w:rPr>
              <w:t>, 1545-1558.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Snaith, R. P., Hamilton, M., Morley, S., Humayan, A., Hargreaves, D., &amp; Trigwell, P. (1995). A scale for the assessment of hedonic tone the Snaith-Hamilton Pleasure 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Scale. </w:t>
            </w:r>
            <w:r>
              <w:rPr>
                <w:rFonts w:ascii="Arial" w:hAnsi="Arial"/>
                <w:i w:val="1"/>
                <w:sz w:val="21"/>
              </w:rPr>
              <w:t>British Journal of Psychiatry, 167</w:t>
            </w:r>
            <w:r>
              <w:rPr>
                <w:rFonts w:ascii="Arial" w:hAnsi="Arial"/>
                <w:sz w:val="21"/>
              </w:rPr>
              <w:t>(1), 99-103.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Mode of Administration: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 xml:space="preserve">Self-administered questionnaire 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Derived Variables:</w:t>
            </w:r>
          </w:p>
        </w:tc>
        <w:tc>
          <w:tcPr>
            <w:tcW w:w="0" w:type="auto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None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Requirements:</w:t>
            </w:r>
          </w:p>
        </w:tc>
        <w:tc>
          <w:tcPr>
            <w:tcW w:w="0" w:type="auto"/>
            <w:vAlign w:val="center"/>
          </w:tcPr>
          <w:tbl>
            <w:tblPr>
              <w:tblW w:w="0" w:type="auto"/>
              <w:tblInd w:w="0" w:type="dxa"/>
              <w:tblBorders>
                <w:top w:val="single" w:sz="6" w:space="0" w:shadow="0" w:frame="0" w:color="000000"/>
                <w:left w:val="single" w:sz="6" w:space="0" w:shadow="0" w:frame="0" w:color="000000"/>
                <w:bottom w:val="single" w:sz="6" w:space="0" w:shadow="0" w:frame="0" w:color="000000"/>
                <w:right w:val="single" w:sz="6" w:space="0" w:shadow="0" w:frame="0" w:color="000000"/>
                <w:insideH w:val="single" w:sz="6" w:space="0" w:shadow="0" w:frame="0" w:color="000000"/>
                <w:insideV w:val="single" w:sz="6" w:space="0" w:shadow="0" w:fram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/>
            <w:tr>
              <w:tc>
                <w:tcPr>
                  <w:tcW w:w="0" w:type="auto"/>
                  <w:vAlign w:val="center"/>
                </w:tcPr>
                <w:p>
                  <w:pPr>
                    <w:spacing w:before="240" w:after="240"/>
                    <w:ind w:left="0" w:right="0"/>
                    <w:rPr>
                      <w:rFonts w:ascii="Arial" w:hAnsi="Arial"/>
                      <w:sz w:val="21"/>
                    </w:rPr>
                  </w:pPr>
                  <w:r>
                    <w:rPr>
                      <w:rFonts w:ascii="Arial" w:hAnsi="Arial"/>
                      <w:b w:val="1"/>
                      <w:sz w:val="21"/>
                    </w:rPr>
                    <w:t>Requirement Category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before="240" w:after="240"/>
                    <w:ind w:left="0" w:right="0"/>
                    <w:rPr>
                      <w:rFonts w:ascii="Arial" w:hAnsi="Arial"/>
                      <w:sz w:val="21"/>
                    </w:rPr>
                  </w:pPr>
                  <w:r>
                    <w:rPr>
                      <w:rFonts w:ascii="Arial" w:hAnsi="Arial"/>
                      <w:b w:val="1"/>
                      <w:sz w:val="21"/>
                    </w:rPr>
                    <w:t>Required (Yes/No)</w:t>
                  </w:r>
                </w:p>
              </w:tc>
            </w:tr>
            <w:tr>
              <w:tc>
                <w:tcPr>
                  <w:tcW w:w="0" w:type="auto"/>
                  <w:vAlign w:val="center"/>
                </w:tcPr>
                <w:p>
                  <w:pPr>
                    <w:spacing w:before="240" w:after="240"/>
                    <w:ind w:left="0" w:right="0"/>
                    <w:rPr>
                      <w:rFonts w:ascii="Arial" w:hAnsi="Arial"/>
                      <w:sz w:val="21"/>
                    </w:rPr>
                  </w:pPr>
                  <w:r>
                    <w:rPr>
                      <w:rFonts w:ascii="Arial" w:hAnsi="Arial"/>
                      <w:b w:val="1"/>
                      <w:sz w:val="21"/>
                    </w:rPr>
                    <w:t>Major equipment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before="240" w:after="240"/>
                    <w:ind w:left="0" w:right="0"/>
                    <w:rPr>
                      <w:rFonts w:ascii="Arial" w:hAnsi="Arial"/>
                      <w:sz w:val="21"/>
                    </w:rPr>
                  </w:pPr>
                  <w:r>
                    <w:rPr>
                      <w:rFonts w:ascii="Arial" w:hAnsi="Arial"/>
                      <w:sz w:val="21"/>
                    </w:rPr>
                    <w:t>No</w:t>
                  </w:r>
                </w:p>
              </w:tc>
            </w:tr>
            <w:tr>
              <w:tc>
                <w:tcPr>
                  <w:tcW w:w="0" w:type="auto"/>
                  <w:vAlign w:val="center"/>
                </w:tcPr>
                <w:p>
                  <w:pPr>
                    <w:spacing w:before="240" w:after="240"/>
                    <w:ind w:left="0" w:right="0"/>
                    <w:rPr>
                      <w:rFonts w:ascii="Arial" w:hAnsi="Arial"/>
                      <w:sz w:val="21"/>
                    </w:rPr>
                  </w:pPr>
                  <w:r>
                    <w:rPr>
                      <w:rFonts w:ascii="Arial" w:hAnsi="Arial"/>
                      <w:b w:val="1"/>
                      <w:sz w:val="21"/>
                    </w:rPr>
                    <w:t>Specialized training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before="240" w:after="240"/>
                    <w:ind w:left="0" w:right="0"/>
                    <w:rPr>
                      <w:rFonts w:ascii="Arial" w:hAnsi="Arial"/>
                      <w:sz w:val="21"/>
                    </w:rPr>
                  </w:pPr>
                  <w:r>
                    <w:rPr>
                      <w:rFonts w:ascii="Arial" w:hAnsi="Arial"/>
                      <w:sz w:val="21"/>
                    </w:rPr>
                    <w:t>No</w:t>
                  </w:r>
                </w:p>
              </w:tc>
            </w:tr>
            <w:tr>
              <w:tc>
                <w:tcPr>
                  <w:tcW w:w="0" w:type="auto"/>
                  <w:vAlign w:val="center"/>
                </w:tcPr>
                <w:p>
                  <w:pPr>
                    <w:spacing w:before="240" w:after="240"/>
                    <w:ind w:left="0" w:right="0"/>
                    <w:rPr>
                      <w:rFonts w:ascii="Arial" w:hAnsi="Arial"/>
                      <w:sz w:val="21"/>
                    </w:rPr>
                  </w:pPr>
                  <w:r>
                    <w:rPr>
                      <w:rFonts w:ascii="Arial" w:hAnsi="Arial"/>
                      <w:b w:val="1"/>
                      <w:sz w:val="21"/>
                    </w:rPr>
                    <w:t>Specialized requirements for biospecimen collection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before="240" w:after="240"/>
                    <w:ind w:left="0" w:right="0"/>
                    <w:rPr>
                      <w:rFonts w:ascii="Arial" w:hAnsi="Arial"/>
                      <w:sz w:val="21"/>
                    </w:rPr>
                  </w:pPr>
                  <w:r>
                    <w:rPr>
                      <w:rFonts w:ascii="Arial" w:hAnsi="Arial"/>
                      <w:sz w:val="21"/>
                    </w:rPr>
                    <w:t>No</w:t>
                  </w:r>
                </w:p>
              </w:tc>
            </w:tr>
            <w:tr>
              <w:tc>
                <w:tcPr>
                  <w:tcW w:w="0" w:type="auto"/>
                  <w:vAlign w:val="center"/>
                </w:tcPr>
                <w:p>
                  <w:pPr>
                    <w:spacing w:before="240" w:after="240"/>
                    <w:ind w:left="0" w:right="0"/>
                    <w:rPr>
                      <w:rFonts w:ascii="Arial" w:hAnsi="Arial"/>
                      <w:sz w:val="21"/>
                    </w:rPr>
                  </w:pPr>
                  <w:r>
                    <w:rPr>
                      <w:rFonts w:ascii="Arial" w:hAnsi="Arial"/>
                      <w:b w:val="1"/>
                      <w:sz w:val="21"/>
                    </w:rPr>
                    <w:t>Average time of greater than 15 minutes in an unaffected individual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before="240" w:after="240"/>
                    <w:ind w:left="0" w:right="0"/>
                    <w:rPr>
                      <w:rFonts w:ascii="Arial" w:hAnsi="Arial"/>
                      <w:sz w:val="21"/>
                    </w:rPr>
                  </w:pPr>
                  <w:r>
                    <w:rPr>
                      <w:rFonts w:ascii="Arial" w:hAnsi="Arial"/>
                      <w:sz w:val="21"/>
                    </w:rPr>
                    <w:t>No</w:t>
                  </w:r>
                </w:p>
              </w:tc>
            </w:tr>
          </w:tbl>
          <w:p>
            <w:pPr>
              <w:ind w:left="0" w:right="0"/>
            </w:pP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Annotations for Specific Conditions: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>None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Process and Review: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 xml:space="preserve">Not applicable. </w:t>
            </w:r>
          </w:p>
        </w:tc>
      </w:tr>
    </w:tbl>
    <w:p>
      <w:pPr>
        <w:spacing w:before="240" w:after="240"/>
        <w:ind w:firstLine="0" w:left="0" w:right="0"/>
      </w:pP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2024-04-23T17:00:11Z</dcterms:created>
  <cp:lastModifiedBy>Williams (He/Him), David</cp:lastModifiedBy>
  <dcterms:modified xsi:type="dcterms:W3CDTF">2024-04-23T17:00:11Z</dcterms:modified>
  <cp:revision>1</cp:revision>
</cp:coreProperties>
</file>