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B6DB422" Type="http://schemas.openxmlformats.org/officeDocument/2006/relationships/officeDocument" Target="/word/document.xml" /><Relationship Id="coreRB6DB422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tbl>
      <w:tblPr>
        <w:tblW w:w="5000" w:type="pct"/>
        <w:tblInd w:w="0" w:type="dxa"/>
        <w:tblBorders>
          <w:top w:val="single" w:sz="6" w:space="0" w:shadow="0" w:frame="0" w:color="000000"/>
          <w:left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  <w:insideH w:val="single" w:sz="6" w:space="0" w:shadow="0" w:frame="0" w:color="000000"/>
          <w:insideV w:val="single" w:sz="6" w:space="0" w:shadow="0" w:fram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/>
      <w:tr>
        <w:tc>
          <w:tcPr>
            <w:tcW w:w="0" w:type="auto"/>
            <w:gridSpan w:val="2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7"/>
              </w:rPr>
            </w:pPr>
            <w:r>
              <w:rPr>
                <w:rFonts w:ascii="Arial" w:hAnsi="Arial"/>
                <w:b w:val="1"/>
                <w:sz w:val="27"/>
              </w:rPr>
              <w:t>About the Measure</w:t>
            </w: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Protocol Id</w:t>
            </w:r>
          </w:p>
        </w:tc>
        <w:tc>
          <w:tcPr>
            <w:tcW w:w="0" w:type="auto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720601</w:t>
            </w: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Domain:</w:t>
            </w:r>
          </w:p>
        </w:tc>
        <w:tc>
          <w:tcPr>
            <w:tcW w:w="0" w:type="auto"/>
            <w:vAlign w:val="center"/>
          </w:tcPr>
          <w:p>
            <w:pPr>
              <w:ind w:left="0" w:right="0"/>
            </w:pPr>
            <w:r>
              <w:rPr>
                <w:rFonts w:ascii="Arial" w:hAnsi="Arial"/>
                <w:sz w:val="21"/>
              </w:rPr>
              <w:t xml:space="preserve">Tobacco Regulatory Research - Host: Biobehavioral </w:t>
            </w: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Measure:</w:t>
            </w:r>
          </w:p>
        </w:tc>
        <w:tc>
          <w:tcPr>
            <w:tcW w:w="0" w:type="auto"/>
            <w:vAlign w:val="center"/>
          </w:tcPr>
          <w:p>
            <w:pPr>
              <w:ind w:left="0" w:right="0"/>
            </w:pPr>
            <w:r>
              <w:rPr>
                <w:rFonts w:ascii="Arial" w:hAnsi="Arial"/>
                <w:sz w:val="21"/>
              </w:rPr>
              <w:t xml:space="preserve">Flavor Preference - e-cigarettes </w:t>
            </w: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Definition:</w:t>
            </w:r>
          </w:p>
        </w:tc>
        <w:tc>
          <w:tcPr>
            <w:tcW w:w="0" w:type="auto"/>
            <w:vAlign w:val="center"/>
          </w:tcPr>
          <w:p>
            <w:pPr>
              <w:ind w:left="0" w:right="0"/>
            </w:pPr>
            <w:r>
              <w:rPr>
                <w:rFonts w:ascii="Arial" w:hAnsi="Arial"/>
                <w:sz w:val="21"/>
              </w:rPr>
              <w:t xml:space="preserve">These questions ask about flavor preference in e-cigarette use in adults and youth. </w:t>
            </w: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Purpose:</w:t>
            </w:r>
          </w:p>
        </w:tc>
        <w:tc>
          <w:tcPr>
            <w:tcW w:w="0" w:type="auto"/>
            <w:vAlign w:val="center"/>
          </w:tcPr>
          <w:p>
            <w:pPr>
              <w:ind w:left="0" w:right="0"/>
            </w:pPr>
            <w:r>
              <w:rPr>
                <w:rFonts w:ascii="Arial" w:hAnsi="Arial"/>
                <w:sz w:val="21"/>
              </w:rPr>
              <w:t xml:space="preserve">To determine flavor preferences among adults and youth using e-cigarettes. </w:t>
            </w: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Essential PhenX Protocols:</w:t>
            </w:r>
          </w:p>
        </w:tc>
        <w:tc>
          <w:tcPr>
            <w:tcW w:w="0" w:type="auto"/>
            <w:vAlign w:val="center"/>
          </w:tcPr>
          <w:p>
            <w:pPr>
              <w:ind w:left="0" w:right="0"/>
            </w:pPr>
            <w:r>
              <w:rPr>
                <w:rFonts w:ascii="Arial" w:hAnsi="Arial"/>
                <w:sz w:val="21"/>
              </w:rPr>
              <w:t>Current Age [10101]</w:t>
              <w:br w:type="textWrapping"/>
              <w:t xml:space="preserve">Cigarette Smoking Status - Adult [30604] </w:t>
            </w: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Related PhenX Protocols:</w:t>
            </w:r>
          </w:p>
        </w:tc>
        <w:tc>
          <w:tcPr>
            <w:tcW w:w="0" w:type="auto"/>
            <w:vAlign w:val="center"/>
          </w:tcPr>
          <w:p>
            <w:pPr>
              <w:ind w:left="0" w:right="0"/>
            </w:pP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Measure Release Date:</w:t>
            </w:r>
          </w:p>
        </w:tc>
        <w:tc>
          <w:tcPr>
            <w:tcW w:w="0" w:type="auto"/>
            <w:vAlign w:val="center"/>
          </w:tcPr>
          <w:p>
            <w:pPr>
              <w:ind w:left="0" w:right="0"/>
            </w:pPr>
            <w:r>
              <w:rPr>
                <w:rFonts w:ascii="Arial" w:hAnsi="Arial"/>
                <w:sz w:val="21"/>
              </w:rPr>
              <w:t xml:space="preserve">February 20, 2015 </w:t>
            </w:r>
          </w:p>
        </w:tc>
      </w:tr>
    </w:tbl>
    <w:p>
      <w:pPr>
        <w:spacing w:before="0" w:after="0"/>
        <w:ind w:firstLine="0" w:left="0" w:right="0"/>
      </w:pPr>
      <w:r>
        <w:br w:type="textWrapping"/>
      </w:r>
    </w:p>
    <w:tbl>
      <w:tblPr>
        <w:tblW w:w="5000" w:type="pct"/>
        <w:tblInd w:w="0" w:type="dxa"/>
        <w:tblBorders>
          <w:top w:val="single" w:sz="6" w:space="0" w:shadow="0" w:frame="0" w:color="000000"/>
          <w:left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  <w:insideH w:val="single" w:sz="6" w:space="0" w:shadow="0" w:frame="0" w:color="000000"/>
          <w:insideV w:val="single" w:sz="6" w:space="0" w:shadow="0" w:fram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/>
      <w:tr>
        <w:tc>
          <w:tcPr>
            <w:tcW w:w="0" w:type="auto"/>
            <w:gridSpan w:val="2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7"/>
              </w:rPr>
            </w:pPr>
            <w:r>
              <w:rPr>
                <w:rFonts w:ascii="Arial" w:hAnsi="Arial"/>
                <w:b w:val="1"/>
                <w:sz w:val="27"/>
              </w:rPr>
              <w:t>About the Protocol</w:t>
            </w: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Protocol Release Date:</w:t>
            </w:r>
          </w:p>
        </w:tc>
        <w:tc>
          <w:tcPr>
            <w:tcW w:w="0" w:type="auto"/>
            <w:vAlign w:val="center"/>
          </w:tcPr>
          <w:p>
            <w:pPr>
              <w:ind w:left="0" w:right="0"/>
            </w:pPr>
            <w:r>
              <w:rPr>
                <w:rFonts w:ascii="Arial" w:hAnsi="Arial"/>
                <w:sz w:val="21"/>
              </w:rPr>
              <w:t xml:space="preserve">February 20, 2015 </w:t>
            </w: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Protocol Review Date:</w:t>
            </w:r>
          </w:p>
        </w:tc>
        <w:tc>
          <w:tcPr>
            <w:tcW w:w="0" w:type="auto"/>
            <w:vAlign w:val="center"/>
          </w:tcPr>
          <w:p>
            <w:pPr>
              <w:ind w:left="0" w:right="0"/>
            </w:pPr>
            <w:r>
              <w:rPr>
                <w:rFonts w:ascii="Arial" w:hAnsi="Arial"/>
                <w:sz w:val="21"/>
              </w:rPr>
              <w:t xml:space="preserve">February 20, 2015 </w:t>
            </w: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PhenX Protocol Name:</w:t>
            </w:r>
          </w:p>
        </w:tc>
        <w:tc>
          <w:tcPr>
            <w:tcW w:w="0" w:type="auto"/>
            <w:vAlign w:val="center"/>
          </w:tcPr>
          <w:p>
            <w:pPr>
              <w:ind w:left="0" w:right="0"/>
            </w:pPr>
            <w:r>
              <w:rPr>
                <w:rFonts w:ascii="Arial" w:hAnsi="Arial"/>
                <w:sz w:val="21"/>
              </w:rPr>
              <w:t xml:space="preserve">Flavor Preference - e-cigarettes - Adult </w:t>
            </w: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Keywords:</w:t>
            </w:r>
          </w:p>
        </w:tc>
        <w:tc>
          <w:tcPr>
            <w:tcW w:w="0" w:type="auto"/>
            <w:vAlign w:val="center"/>
          </w:tcPr>
          <w:p>
            <w:pPr>
              <w:ind w:left="0" w:right="0"/>
            </w:pPr>
            <w:r>
              <w:rPr>
                <w:rFonts w:ascii="Arial" w:hAnsi="Arial"/>
                <w:sz w:val="21"/>
              </w:rPr>
              <w:t xml:space="preserve">flavor preference - e-cigarettes - adult; Population Assessment of Tobacco and Health; PATH; e-cigarettes; smoking preferences; flavor preference; e-cigarette flavors; e-cigarette usage; youth e-cigarette usage; flavor; youth; flavors </w:t>
            </w: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Description:</w:t>
            </w:r>
          </w:p>
        </w:tc>
        <w:tc>
          <w:tcPr>
            <w:tcW w:w="0" w:type="auto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This is a 6-item adult questionnaire to determine flavor preference when using e-cigarette products.</w:t>
            </w: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Specific Instructions:</w:t>
            </w:r>
          </w:p>
        </w:tc>
        <w:tc>
          <w:tcPr>
            <w:tcW w:w="0" w:type="auto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Determine age and e-cigarette smoking status prior to administration. 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*ECIGFILL = e-cigarettes, e-cigarette cartridges, e-liquid (depends on what type of e-cigarette participant endorsed using).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Although this question only asks about the use of cigarettes, the Biobehavioral Working Group feels that these questions can be asked about other tobacco products including e-cigarettes, hookah, and snuff. Specify each product you are looking for (e.g., cigarettes, cigars [large cigars, cigarillos, and little filtered cigars], pipes, hookah, e-cigarettes, smokeless tobacco, dissolvables, bidis, and kreteks).</w:t>
            </w: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Protocol:</w:t>
            </w:r>
          </w:p>
        </w:tc>
        <w:tc>
          <w:tcPr>
            <w:tcW w:w="0" w:type="auto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1. When you first started using e-cigarettes, were they flavored to taste like menthol, mint, clove, spice, fruit, chocolate, alcoholic drinks, candy or other sweets?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1 Yes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2 No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-8 Don’t Know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-7 Refused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2. Which flavor did you first start using? If multiple flavors were mixed together, choose all that apply.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1 Menthol or mint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2 Clove or spice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3 Fruit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4 Chocolate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5 An alcoholic drink (such as wine, cognac, margarita or other cocktails)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6 Candy or other sweets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7 Some other flavor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-8 Don’t Know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-7 Refused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3. In the past 30 days, [were/was] any of the [ECIGFILL2]* you used flavored to taste like menthol, mint, clove, spice, fruit, chocolate, alcoholic drinks, candy or other sweets?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1 Yes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2 No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-8 Don’t Know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-7 Refused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4. Which flavors have you used in the past 30 days? Choose all that apply.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1 Menthol or mint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2 Clove or spice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3 Fruit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4 Chocolate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5 An alcoholic drink (such as wine, cognac, margarita or other cocktails)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6 Candy or other sweets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7 Some other flavor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-8 Don’t Know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-7 Refused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5. [Is/was] [your regular brand/the last brand] you [use/used] flavored to taste like menthol, mint, clove, spice, fruit, chocolate, alcoholic drinks, candy or other sweets?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1 Yes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2 No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-8 Don’t Know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-7 Refused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6. Which flavor [is/was] it? If multiple flavors were mixed together, choose all that apply.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1 Menthol or mint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2 Clove or spice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3 Fruit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4 Chocolate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5 An alcoholic drink (such as wine, cognac, margarita or other cocktails)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6 Candy or other sweets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7 Some other flavor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-8 Don’t Know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-7 Refused</w:t>
            </w: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Selection Rationale:</w:t>
            </w:r>
          </w:p>
        </w:tc>
        <w:tc>
          <w:tcPr>
            <w:tcW w:w="0" w:type="auto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These items are from the Population Assessment of Tobacco and Health (PATH) Wave 2 survey and are validated measures of adult and youth flavor preferences.</w:t>
            </w: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Source:</w:t>
            </w:r>
          </w:p>
        </w:tc>
        <w:tc>
          <w:tcPr>
            <w:tcW w:w="0" w:type="auto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Population Assessment of Tobacco and Health (PATH) Study, Adult Extended Interview, June 18, 2013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http://www.reginfo.gov/public/do/PRAICList?ref_nbr=201307-0925-001</w:t>
            </w: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Language</w:t>
            </w:r>
          </w:p>
        </w:tc>
        <w:tc>
          <w:tcPr>
            <w:tcW w:w="0" w:type="auto"/>
            <w:vAlign w:val="center"/>
          </w:tcPr>
          <w:p>
            <w:pPr>
              <w:ind w:left="0" w:right="0"/>
            </w:pPr>
            <w:r>
              <w:rPr>
                <w:rFonts w:ascii="Arial" w:hAnsi="Arial"/>
                <w:sz w:val="21"/>
              </w:rPr>
              <w:t xml:space="preserve">English </w:t>
            </w: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Participant:</w:t>
            </w:r>
          </w:p>
        </w:tc>
        <w:tc>
          <w:tcPr>
            <w:tcW w:w="0" w:type="auto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Adult protocol: age 18+ </w:t>
            </w: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Personnel and Training Required:</w:t>
            </w:r>
          </w:p>
        </w:tc>
        <w:tc>
          <w:tcPr>
            <w:tcW w:w="0" w:type="auto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None</w:t>
            </w: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Equipment Needs:</w:t>
            </w:r>
          </w:p>
        </w:tc>
        <w:tc>
          <w:tcPr>
            <w:tcW w:w="0" w:type="auto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None</w:t>
            </w: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Standards</w:t>
            </w:r>
          </w:p>
        </w:tc>
        <w:tc>
          <w:tcPr>
            <w:tcW w:w="0" w:type="auto"/>
            <w:vAlign w:val="center"/>
          </w:tcPr>
          <w:p>
            <w:pPr>
              <w:ind w:left="0" w:right="0"/>
            </w:pP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General References:</w:t>
            </w:r>
          </w:p>
        </w:tc>
        <w:tc>
          <w:tcPr>
            <w:tcW w:w="0" w:type="auto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Grana, R. A., &amp; Ling, P. M (2014). "Smoking revolution": A content analysis of electronic cigarette retail websites. </w:t>
            </w:r>
            <w:r>
              <w:rPr>
                <w:rFonts w:ascii="Arial" w:hAnsi="Arial"/>
                <w:i w:val="1"/>
                <w:sz w:val="21"/>
              </w:rPr>
              <w:t>American Journal of Preventive Medicine, 46</w:t>
            </w:r>
            <w:r>
              <w:rPr>
                <w:rFonts w:ascii="Arial" w:hAnsi="Arial"/>
                <w:sz w:val="21"/>
              </w:rPr>
              <w:t>(4), 395-403. doi: 10.1016/j.amepre.2013.12.010.</w:t>
            </w: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Mode of Administration:</w:t>
            </w:r>
          </w:p>
        </w:tc>
        <w:tc>
          <w:tcPr>
            <w:tcW w:w="0" w:type="auto"/>
            <w:vAlign w:val="center"/>
          </w:tcPr>
          <w:p>
            <w:pPr>
              <w:ind w:left="0" w:right="0"/>
            </w:pPr>
            <w:r>
              <w:rPr>
                <w:rFonts w:ascii="Arial" w:hAnsi="Arial"/>
                <w:sz w:val="21"/>
              </w:rPr>
              <w:t xml:space="preserve">Interviewer-administered questionnaire </w:t>
            </w: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Derived Variables:</w:t>
            </w:r>
          </w:p>
        </w:tc>
        <w:tc>
          <w:tcPr>
            <w:tcW w:w="0" w:type="auto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None</w:t>
            </w: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Requirements:</w:t>
            </w:r>
          </w:p>
        </w:tc>
        <w:tc>
          <w:tcPr>
            <w:tcW w:w="0" w:type="auto"/>
            <w:vAlign w:val="center"/>
          </w:tcPr>
          <w:tbl>
            <w:tblPr>
              <w:tblW w:w="0" w:type="auto"/>
              <w:tblInd w:w="0" w:type="dxa"/>
              <w:tblBorders>
                <w:top w:val="single" w:sz="6" w:space="0" w:shadow="0" w:frame="0" w:color="000000"/>
                <w:left w:val="single" w:sz="6" w:space="0" w:shadow="0" w:frame="0" w:color="000000"/>
                <w:bottom w:val="single" w:sz="6" w:space="0" w:shadow="0" w:frame="0" w:color="000000"/>
                <w:right w:val="single" w:sz="6" w:space="0" w:shadow="0" w:frame="0" w:color="000000"/>
                <w:insideH w:val="single" w:sz="6" w:space="0" w:shadow="0" w:frame="0" w:color="000000"/>
                <w:insideV w:val="single" w:sz="6" w:space="0" w:shadow="0" w:fram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/>
            <w:tr>
              <w:tc>
                <w:tcPr>
                  <w:tcW w:w="0" w:type="auto"/>
                  <w:vAlign w:val="center"/>
                </w:tcPr>
                <w:p>
                  <w:pPr>
                    <w:spacing w:before="240" w:after="240"/>
                    <w:ind w:left="0" w:right="0"/>
                    <w:rPr>
                      <w:rFonts w:ascii="Arial" w:hAnsi="Arial"/>
                      <w:sz w:val="21"/>
                    </w:rPr>
                  </w:pPr>
                  <w:r>
                    <w:rPr>
                      <w:rFonts w:ascii="Arial" w:hAnsi="Arial"/>
                      <w:b w:val="1"/>
                      <w:sz w:val="21"/>
                    </w:rPr>
                    <w:t>Requirement Category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spacing w:before="240" w:after="240"/>
                    <w:ind w:left="0" w:right="0"/>
                    <w:rPr>
                      <w:rFonts w:ascii="Arial" w:hAnsi="Arial"/>
                      <w:sz w:val="21"/>
                    </w:rPr>
                  </w:pPr>
                  <w:r>
                    <w:rPr>
                      <w:rFonts w:ascii="Arial" w:hAnsi="Arial"/>
                      <w:b w:val="1"/>
                      <w:sz w:val="21"/>
                    </w:rPr>
                    <w:t>Required (Yes/No)</w:t>
                  </w:r>
                </w:p>
              </w:tc>
            </w:tr>
            <w:tr>
              <w:tc>
                <w:tcPr>
                  <w:tcW w:w="0" w:type="auto"/>
                  <w:vAlign w:val="center"/>
                </w:tcPr>
                <w:p>
                  <w:pPr>
                    <w:spacing w:before="240" w:after="240"/>
                    <w:ind w:left="0" w:right="0"/>
                    <w:rPr>
                      <w:rFonts w:ascii="Arial" w:hAnsi="Arial"/>
                      <w:sz w:val="21"/>
                    </w:rPr>
                  </w:pPr>
                  <w:r>
                    <w:rPr>
                      <w:rFonts w:ascii="Arial" w:hAnsi="Arial"/>
                      <w:b w:val="1"/>
                      <w:sz w:val="21"/>
                    </w:rPr>
                    <w:t>Major equipment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spacing w:before="240" w:after="240"/>
                    <w:ind w:left="0" w:right="0"/>
                    <w:rPr>
                      <w:rFonts w:ascii="Arial" w:hAnsi="Arial"/>
                      <w:sz w:val="21"/>
                    </w:rPr>
                  </w:pPr>
                  <w:r>
                    <w:rPr>
                      <w:rFonts w:ascii="Arial" w:hAnsi="Arial"/>
                      <w:sz w:val="21"/>
                    </w:rPr>
                    <w:t>No</w:t>
                  </w:r>
                </w:p>
              </w:tc>
            </w:tr>
            <w:tr>
              <w:tc>
                <w:tcPr>
                  <w:tcW w:w="0" w:type="auto"/>
                  <w:vAlign w:val="center"/>
                </w:tcPr>
                <w:p>
                  <w:pPr>
                    <w:spacing w:before="240" w:after="240"/>
                    <w:ind w:left="0" w:right="0"/>
                    <w:rPr>
                      <w:rFonts w:ascii="Arial" w:hAnsi="Arial"/>
                      <w:sz w:val="21"/>
                    </w:rPr>
                  </w:pPr>
                  <w:r>
                    <w:rPr>
                      <w:rFonts w:ascii="Arial" w:hAnsi="Arial"/>
                      <w:b w:val="1"/>
                      <w:sz w:val="21"/>
                    </w:rPr>
                    <w:t>Specialized training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spacing w:before="240" w:after="240"/>
                    <w:ind w:left="0" w:right="0"/>
                    <w:rPr>
                      <w:rFonts w:ascii="Arial" w:hAnsi="Arial"/>
                      <w:sz w:val="21"/>
                    </w:rPr>
                  </w:pPr>
                  <w:r>
                    <w:rPr>
                      <w:rFonts w:ascii="Arial" w:hAnsi="Arial"/>
                      <w:sz w:val="21"/>
                    </w:rPr>
                    <w:t>No</w:t>
                  </w:r>
                </w:p>
              </w:tc>
            </w:tr>
            <w:tr>
              <w:tc>
                <w:tcPr>
                  <w:tcW w:w="0" w:type="auto"/>
                  <w:vAlign w:val="center"/>
                </w:tcPr>
                <w:p>
                  <w:pPr>
                    <w:spacing w:before="240" w:after="240"/>
                    <w:ind w:left="0" w:right="0"/>
                    <w:rPr>
                      <w:rFonts w:ascii="Arial" w:hAnsi="Arial"/>
                      <w:sz w:val="21"/>
                    </w:rPr>
                  </w:pPr>
                  <w:r>
                    <w:rPr>
                      <w:rFonts w:ascii="Arial" w:hAnsi="Arial"/>
                      <w:b w:val="1"/>
                      <w:sz w:val="21"/>
                    </w:rPr>
                    <w:t>Specialized requirements for biospecimen collection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spacing w:before="240" w:after="240"/>
                    <w:ind w:left="0" w:right="0"/>
                    <w:rPr>
                      <w:rFonts w:ascii="Arial" w:hAnsi="Arial"/>
                      <w:sz w:val="21"/>
                    </w:rPr>
                  </w:pPr>
                  <w:r>
                    <w:rPr>
                      <w:rFonts w:ascii="Arial" w:hAnsi="Arial"/>
                      <w:sz w:val="21"/>
                    </w:rPr>
                    <w:t>No</w:t>
                  </w:r>
                </w:p>
              </w:tc>
            </w:tr>
            <w:tr>
              <w:tc>
                <w:tcPr>
                  <w:tcW w:w="0" w:type="auto"/>
                  <w:vAlign w:val="center"/>
                </w:tcPr>
                <w:p>
                  <w:pPr>
                    <w:spacing w:before="240" w:after="240"/>
                    <w:ind w:left="0" w:right="0"/>
                    <w:rPr>
                      <w:rFonts w:ascii="Arial" w:hAnsi="Arial"/>
                      <w:sz w:val="21"/>
                    </w:rPr>
                  </w:pPr>
                  <w:r>
                    <w:rPr>
                      <w:rFonts w:ascii="Arial" w:hAnsi="Arial"/>
                      <w:b w:val="1"/>
                      <w:sz w:val="21"/>
                    </w:rPr>
                    <w:t>Average time of greater than 15 minutes in an unaffected individual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spacing w:before="240" w:after="240"/>
                    <w:ind w:left="0" w:right="0"/>
                    <w:rPr>
                      <w:rFonts w:ascii="Arial" w:hAnsi="Arial"/>
                      <w:sz w:val="21"/>
                    </w:rPr>
                  </w:pPr>
                  <w:r>
                    <w:rPr>
                      <w:rFonts w:ascii="Arial" w:hAnsi="Arial"/>
                      <w:sz w:val="21"/>
                    </w:rPr>
                    <w:t>No</w:t>
                  </w:r>
                </w:p>
              </w:tc>
            </w:tr>
          </w:tbl>
          <w:p>
            <w:pPr>
              <w:ind w:left="0" w:right="0"/>
            </w:pP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Annotations for Specific Conditions:</w:t>
            </w:r>
          </w:p>
        </w:tc>
        <w:tc>
          <w:tcPr>
            <w:tcW w:w="0" w:type="auto"/>
            <w:vAlign w:val="center"/>
          </w:tcPr>
          <w:p>
            <w:pPr>
              <w:ind w:left="0" w:right="0"/>
            </w:pPr>
            <w:r>
              <w:rPr>
                <w:rFonts w:ascii="Arial" w:hAnsi="Arial"/>
                <w:sz w:val="21"/>
              </w:rPr>
              <w:t>None</w:t>
            </w: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Process and Review:</w:t>
            </w:r>
          </w:p>
        </w:tc>
        <w:tc>
          <w:tcPr>
            <w:tcW w:w="0" w:type="auto"/>
            <w:vAlign w:val="center"/>
          </w:tcPr>
          <w:p>
            <w:pPr>
              <w:ind w:left="0" w:right="0"/>
            </w:pPr>
            <w:r>
              <w:rPr>
                <w:rFonts w:ascii="Arial" w:hAnsi="Arial"/>
                <w:sz w:val="21"/>
              </w:rPr>
              <w:t xml:space="preserve">Not applicable. </w:t>
            </w:r>
          </w:p>
        </w:tc>
      </w:tr>
    </w:tbl>
    <w:p>
      <w:pPr>
        <w:spacing w:before="240" w:after="240"/>
        <w:ind w:firstLine="0" w:left="0" w:right="0"/>
      </w:pPr>
    </w:p>
    <w:sectPr>
      <w:type w:val="nextPage"/>
      <w:pgMar w:left="1700" w:right="850" w:top="1133" w:bottom="1133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2023-12-21T20:17:23Z</dcterms:created>
  <cp:lastModifiedBy>Williams, David</cp:lastModifiedBy>
  <dcterms:modified xsi:type="dcterms:W3CDTF">2023-12-21T20:17:23Z</dcterms:modified>
  <cp:revision>1</cp:revision>
</cp:coreProperties>
</file>