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7F6A27B4" Type="http://schemas.openxmlformats.org/officeDocument/2006/relationships/officeDocument" Target="/word/document.xml" /><Relationship Id="coreR7F6A27B4"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Measure</w:t>
            </w:r>
          </w:p>
        </w:tc>
      </w:tr>
      <w:tr>
        <w:tc>
          <w:tcPr>
            <w:tcW w:w="1000" w:type="pct"/>
            <w:vAlign w:val="center"/>
          </w:tcPr>
          <w:p>
            <w:pPr>
              <w:spacing w:before="240" w:after="240"/>
              <w:ind w:left="0" w:right="0"/>
              <w:rPr>
                <w:rFonts w:ascii="Arial" w:hAnsi="Arial"/>
                <w:sz w:val="21"/>
              </w:rPr>
            </w:pPr>
            <w:r>
              <w:rPr>
                <w:rFonts w:ascii="Arial" w:hAnsi="Arial"/>
                <w:b w:val="1"/>
                <w:sz w:val="21"/>
              </w:rPr>
              <w:t>Protocol Id</w:t>
            </w:r>
          </w:p>
        </w:tc>
        <w:tc>
          <w:tcPr>
            <w:tcW w:w="0" w:type="auto"/>
            <w:vAlign w:val="center"/>
          </w:tcPr>
          <w:p>
            <w:pPr>
              <w:spacing w:before="240" w:after="240"/>
              <w:ind w:left="0" w:right="0"/>
              <w:rPr>
                <w:rFonts w:ascii="Arial" w:hAnsi="Arial"/>
                <w:sz w:val="21"/>
              </w:rPr>
            </w:pPr>
            <w:r>
              <w:rPr>
                <w:rFonts w:ascii="Arial" w:hAnsi="Arial"/>
                <w:sz w:val="21"/>
              </w:rPr>
              <w:t>730901</w:t>
            </w:r>
          </w:p>
        </w:tc>
      </w:tr>
      <w:tr>
        <w:tc>
          <w:tcPr>
            <w:tcW w:w="1000" w:type="pct"/>
            <w:vAlign w:val="center"/>
          </w:tcPr>
          <w:p>
            <w:pPr>
              <w:spacing w:before="240" w:after="240"/>
              <w:ind w:left="0" w:right="0"/>
              <w:rPr>
                <w:rFonts w:ascii="Arial" w:hAnsi="Arial"/>
                <w:sz w:val="21"/>
              </w:rPr>
            </w:pPr>
            <w:r>
              <w:rPr>
                <w:rFonts w:ascii="Arial" w:hAnsi="Arial"/>
                <w:b w:val="1"/>
                <w:sz w:val="21"/>
              </w:rPr>
              <w:t>Domain:</w:t>
            </w:r>
          </w:p>
        </w:tc>
        <w:tc>
          <w:tcPr>
            <w:tcW w:w="0" w:type="auto"/>
            <w:vAlign w:val="center"/>
          </w:tcPr>
          <w:p>
            <w:pPr>
              <w:ind w:left="0" w:right="0"/>
            </w:pPr>
            <w:r>
              <w:rPr>
                <w:rFonts w:ascii="Arial" w:hAnsi="Arial"/>
                <w:sz w:val="21"/>
              </w:rPr>
              <w:t xml:space="preserve">Tobacco Regulatory Research: Agent </w:t>
            </w:r>
          </w:p>
        </w:tc>
      </w:tr>
      <w:tr>
        <w:tc>
          <w:tcPr>
            <w:tcW w:w="1000" w:type="pct"/>
            <w:vAlign w:val="center"/>
          </w:tcPr>
          <w:p>
            <w:pPr>
              <w:spacing w:before="240" w:after="240"/>
              <w:ind w:left="0" w:right="0"/>
              <w:rPr>
                <w:rFonts w:ascii="Arial" w:hAnsi="Arial"/>
                <w:sz w:val="21"/>
              </w:rPr>
            </w:pPr>
            <w:r>
              <w:rPr>
                <w:rFonts w:ascii="Arial" w:hAnsi="Arial"/>
                <w:b w:val="1"/>
                <w:sz w:val="21"/>
              </w:rPr>
              <w:t>Measure:</w:t>
            </w:r>
          </w:p>
        </w:tc>
        <w:tc>
          <w:tcPr>
            <w:tcW w:w="0" w:type="auto"/>
            <w:vAlign w:val="center"/>
          </w:tcPr>
          <w:p>
            <w:pPr>
              <w:ind w:left="0" w:right="0"/>
            </w:pPr>
            <w:r>
              <w:rPr>
                <w:rFonts w:ascii="Arial" w:hAnsi="Arial"/>
                <w:sz w:val="21"/>
              </w:rPr>
              <w:t xml:space="preserve">Tobacco Warning Label Exposure and Recall </w:t>
            </w:r>
          </w:p>
        </w:tc>
      </w:tr>
      <w:tr>
        <w:tc>
          <w:tcPr>
            <w:tcW w:w="1000" w:type="pct"/>
            <w:vAlign w:val="center"/>
          </w:tcPr>
          <w:p>
            <w:pPr>
              <w:spacing w:before="240" w:after="240"/>
              <w:ind w:left="0" w:right="0"/>
              <w:rPr>
                <w:rFonts w:ascii="Arial" w:hAnsi="Arial"/>
                <w:sz w:val="21"/>
              </w:rPr>
            </w:pPr>
            <w:r>
              <w:rPr>
                <w:rFonts w:ascii="Arial" w:hAnsi="Arial"/>
                <w:b w:val="1"/>
                <w:sz w:val="21"/>
              </w:rPr>
              <w:t>Definition:</w:t>
            </w:r>
          </w:p>
        </w:tc>
        <w:tc>
          <w:tcPr>
            <w:tcW w:w="0" w:type="auto"/>
            <w:vAlign w:val="center"/>
          </w:tcPr>
          <w:p>
            <w:pPr>
              <w:ind w:left="0" w:right="0"/>
            </w:pPr>
            <w:r>
              <w:rPr>
                <w:rFonts w:ascii="Arial" w:hAnsi="Arial"/>
                <w:sz w:val="21"/>
              </w:rPr>
              <w:t xml:space="preserve">Questions assessing exposure to health warnings and ability to recall message content. </w:t>
            </w:r>
          </w:p>
        </w:tc>
      </w:tr>
      <w:tr>
        <w:tc>
          <w:tcPr>
            <w:tcW w:w="1000" w:type="pct"/>
            <w:vAlign w:val="center"/>
          </w:tcPr>
          <w:p>
            <w:pPr>
              <w:spacing w:before="240" w:after="240"/>
              <w:ind w:left="0" w:right="0"/>
              <w:rPr>
                <w:rFonts w:ascii="Arial" w:hAnsi="Arial"/>
                <w:sz w:val="21"/>
              </w:rPr>
            </w:pPr>
            <w:r>
              <w:rPr>
                <w:rFonts w:ascii="Arial" w:hAnsi="Arial"/>
                <w:b w:val="1"/>
                <w:sz w:val="21"/>
              </w:rPr>
              <w:t>Purpose:</w:t>
            </w:r>
          </w:p>
        </w:tc>
        <w:tc>
          <w:tcPr>
            <w:tcW w:w="0" w:type="auto"/>
            <w:vAlign w:val="center"/>
          </w:tcPr>
          <w:p>
            <w:pPr>
              <w:ind w:left="0" w:right="0"/>
            </w:pPr>
            <w:r>
              <w:rPr>
                <w:rFonts w:ascii="Arial" w:hAnsi="Arial"/>
                <w:sz w:val="21"/>
              </w:rPr>
              <w:t xml:space="preserve">These questions help to assess the effectiveness of health warnings on tobacco packages, which have been associated with perceptions of risk and may promote smoking cessation and reduce uptake among young people. </w:t>
            </w:r>
          </w:p>
        </w:tc>
      </w:tr>
      <w:tr>
        <w:tc>
          <w:tcPr>
            <w:tcW w:w="1000" w:type="pct"/>
            <w:vAlign w:val="center"/>
          </w:tcPr>
          <w:p>
            <w:pPr>
              <w:spacing w:before="240" w:after="240"/>
              <w:ind w:left="0" w:right="0"/>
              <w:rPr>
                <w:rFonts w:ascii="Arial" w:hAnsi="Arial"/>
                <w:sz w:val="21"/>
              </w:rPr>
            </w:pPr>
            <w:r>
              <w:rPr>
                <w:rFonts w:ascii="Arial" w:hAnsi="Arial"/>
                <w:b w:val="1"/>
                <w:sz w:val="21"/>
              </w:rPr>
              <w:t>Essential PhenX Protocols: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Related PhenX Protocols:</w:t>
            </w:r>
          </w:p>
        </w:tc>
        <w:tc>
          <w:tcPr>
            <w:tcW w:w="0" w:type="auto"/>
            <w:vAlign w:val="center"/>
          </w:tcPr>
          <w:p>
            <w:pPr>
              <w:ind w:left="0" w:right="0"/>
            </w:pPr>
            <w:r>
              <w:rPr>
                <w:rFonts w:ascii="Arial" w:hAnsi="Arial"/>
                <w:sz w:val="21"/>
              </w:rPr>
              <w:t>Tobacco - Smoking Status - Adolescent [30601]</w:t>
              <w:br w:type="textWrapping"/>
              <w:t>Tobacco - Smoking Status - Adult [30602]</w:t>
              <w:br w:type="textWrapping"/>
              <w:t>Cigarette Smoking Status - Adolescent [30603]</w:t>
              <w:br w:type="textWrapping"/>
              <w:t>Cigarette Smoking Status - Adult [30604]</w:t>
              <w:br w:type="textWrapping"/>
              <w:t>Tobacco - Age of Offset of Use - Adolescent [30901]</w:t>
              <w:br w:type="textWrapping"/>
              <w:t>Tobacco - Age of Offset of Cigarette Use - Adult [30902]</w:t>
              <w:br w:type="textWrapping"/>
              <w:t>Tobacco - Age of Offset of Cigarette Use - Adolescent [30903]</w:t>
              <w:br w:type="textWrapping"/>
              <w:t xml:space="preserve">Smoking Quit Attempts [71001] </w:t>
            </w:r>
          </w:p>
        </w:tc>
      </w:tr>
      <w:tr>
        <w:tc>
          <w:tcPr>
            <w:tcW w:w="1000" w:type="pct"/>
            <w:vAlign w:val="center"/>
          </w:tcPr>
          <w:p>
            <w:pPr>
              <w:spacing w:before="240" w:after="240"/>
              <w:ind w:left="0" w:right="0"/>
              <w:rPr>
                <w:rFonts w:ascii="Arial" w:hAnsi="Arial"/>
                <w:sz w:val="21"/>
              </w:rPr>
            </w:pPr>
            <w:r>
              <w:rPr>
                <w:rFonts w:ascii="Arial" w:hAnsi="Arial"/>
                <w:b w:val="1"/>
                <w:sz w:val="21"/>
              </w:rPr>
              <w:t>Measure Release Date:</w:t>
            </w:r>
          </w:p>
        </w:tc>
        <w:tc>
          <w:tcPr>
            <w:tcW w:w="0" w:type="auto"/>
            <w:vAlign w:val="center"/>
          </w:tcPr>
          <w:p>
            <w:pPr>
              <w:ind w:left="0" w:right="0"/>
            </w:pPr>
            <w:r>
              <w:rPr>
                <w:rFonts w:ascii="Arial" w:hAnsi="Arial"/>
                <w:sz w:val="21"/>
              </w:rPr>
              <w:t xml:space="preserve">June 24, 2015 </w:t>
            </w:r>
          </w:p>
        </w:tc>
      </w:tr>
    </w:tbl>
    <w:p>
      <w:pPr>
        <w:spacing w:before="0" w:after="0"/>
        <w:ind w:firstLine="0" w:left="0" w:right="0"/>
      </w:pPr>
      <w:r>
        <w:br w:type="textWrapping"/>
      </w:r>
    </w:p>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Protocol</w:t>
            </w:r>
          </w:p>
        </w:tc>
      </w:tr>
      <w:tr>
        <w:tc>
          <w:tcPr>
            <w:tcW w:w="1000" w:type="pct"/>
            <w:vAlign w:val="center"/>
          </w:tcPr>
          <w:p>
            <w:pPr>
              <w:spacing w:before="240" w:after="240"/>
              <w:ind w:left="0" w:right="0"/>
              <w:rPr>
                <w:rFonts w:ascii="Arial" w:hAnsi="Arial"/>
                <w:sz w:val="21"/>
              </w:rPr>
            </w:pPr>
            <w:r>
              <w:rPr>
                <w:rFonts w:ascii="Arial" w:hAnsi="Arial"/>
                <w:b w:val="1"/>
                <w:sz w:val="21"/>
              </w:rPr>
              <w:t>Protocol Release Date:</w:t>
            </w:r>
          </w:p>
        </w:tc>
        <w:tc>
          <w:tcPr>
            <w:tcW w:w="0" w:type="auto"/>
            <w:vAlign w:val="center"/>
          </w:tcPr>
          <w:p>
            <w:pPr>
              <w:ind w:left="0" w:right="0"/>
            </w:pPr>
            <w:r>
              <w:rPr>
                <w:rFonts w:ascii="Arial" w:hAnsi="Arial"/>
                <w:sz w:val="21"/>
              </w:rPr>
              <w:t xml:space="preserve">June 24, 2015 </w:t>
            </w:r>
          </w:p>
        </w:tc>
      </w:tr>
      <w:tr>
        <w:tc>
          <w:tcPr>
            <w:tcW w:w="1000" w:type="pct"/>
            <w:vAlign w:val="center"/>
          </w:tcPr>
          <w:p>
            <w:pPr>
              <w:spacing w:before="240" w:after="240"/>
              <w:ind w:left="0" w:right="0"/>
              <w:rPr>
                <w:rFonts w:ascii="Arial" w:hAnsi="Arial"/>
                <w:sz w:val="21"/>
              </w:rPr>
            </w:pPr>
            <w:r>
              <w:rPr>
                <w:rFonts w:ascii="Arial" w:hAnsi="Arial"/>
                <w:b w:val="1"/>
                <w:sz w:val="21"/>
              </w:rPr>
              <w:t>Protocol Review Date:</w:t>
            </w:r>
          </w:p>
        </w:tc>
        <w:tc>
          <w:tcPr>
            <w:tcW w:w="0" w:type="auto"/>
            <w:vAlign w:val="center"/>
          </w:tcPr>
          <w:p>
            <w:pPr>
              <w:ind w:left="0" w:right="0"/>
            </w:pPr>
            <w:r>
              <w:rPr>
                <w:rFonts w:ascii="Arial" w:hAnsi="Arial"/>
                <w:sz w:val="21"/>
              </w:rPr>
              <w:t xml:space="preserve">June 24, 2015 </w:t>
            </w:r>
          </w:p>
        </w:tc>
      </w:tr>
      <w:tr>
        <w:tc>
          <w:tcPr>
            <w:tcW w:w="1000" w:type="pct"/>
            <w:vAlign w:val="center"/>
          </w:tcPr>
          <w:p>
            <w:pPr>
              <w:spacing w:before="240" w:after="240"/>
              <w:ind w:left="0" w:right="0"/>
              <w:rPr>
                <w:rFonts w:ascii="Arial" w:hAnsi="Arial"/>
                <w:sz w:val="21"/>
              </w:rPr>
            </w:pPr>
            <w:r>
              <w:rPr>
                <w:rFonts w:ascii="Arial" w:hAnsi="Arial"/>
                <w:b w:val="1"/>
                <w:sz w:val="21"/>
              </w:rPr>
              <w:t>PhenX Protocol Name:</w:t>
            </w:r>
          </w:p>
        </w:tc>
        <w:tc>
          <w:tcPr>
            <w:tcW w:w="0" w:type="auto"/>
            <w:vAlign w:val="center"/>
          </w:tcPr>
          <w:p>
            <w:pPr>
              <w:ind w:left="0" w:right="0"/>
            </w:pPr>
            <w:r>
              <w:rPr>
                <w:rFonts w:ascii="Arial" w:hAnsi="Arial"/>
                <w:sz w:val="21"/>
              </w:rPr>
              <w:t xml:space="preserve">Tobacco Warning Label Exposure and Recall </w:t>
            </w:r>
          </w:p>
        </w:tc>
      </w:tr>
      <w:tr>
        <w:tc>
          <w:tcPr>
            <w:tcW w:w="1000" w:type="pct"/>
            <w:vAlign w:val="center"/>
          </w:tcPr>
          <w:p>
            <w:pPr>
              <w:spacing w:before="240" w:after="240"/>
              <w:ind w:left="0" w:right="0"/>
              <w:rPr>
                <w:rFonts w:ascii="Arial" w:hAnsi="Arial"/>
                <w:sz w:val="21"/>
              </w:rPr>
            </w:pPr>
            <w:r>
              <w:rPr>
                <w:rFonts w:ascii="Arial" w:hAnsi="Arial"/>
                <w:b w:val="1"/>
                <w:sz w:val="21"/>
              </w:rPr>
              <w:t>Keywords:</w:t>
            </w:r>
          </w:p>
        </w:tc>
        <w:tc>
          <w:tcPr>
            <w:tcW w:w="0" w:type="auto"/>
            <w:vAlign w:val="center"/>
          </w:tcPr>
          <w:p>
            <w:pPr>
              <w:ind w:left="0" w:right="0"/>
            </w:pPr>
            <w:r>
              <w:rPr>
                <w:rFonts w:ascii="Arial" w:hAnsi="Arial"/>
                <w:sz w:val="21"/>
              </w:rPr>
              <w:t xml:space="preserve">tobacco warning label exposure and recall; nicotine; agent; Tobacco Regulatory Research; TRR; health warning; health knowledge; Perceived risk; product labeling; Population Assessment of Tobacco and Health; PATH; label; warning; warning label; cigarette; cigarettes; behavior modification </w:t>
            </w:r>
          </w:p>
        </w:tc>
      </w:tr>
      <w:tr>
        <w:tc>
          <w:tcPr>
            <w:tcW w:w="1000" w:type="pct"/>
            <w:vAlign w:val="center"/>
          </w:tcPr>
          <w:p>
            <w:pPr>
              <w:spacing w:before="240" w:after="240"/>
              <w:ind w:left="0" w:right="0"/>
              <w:rPr>
                <w:rFonts w:ascii="Arial" w:hAnsi="Arial"/>
                <w:sz w:val="21"/>
              </w:rPr>
            </w:pPr>
            <w:r>
              <w:rPr>
                <w:rFonts w:ascii="Arial" w:hAnsi="Arial"/>
                <w:b w:val="1"/>
                <w:sz w:val="21"/>
              </w:rPr>
              <w:t>Description:</w:t>
            </w:r>
          </w:p>
        </w:tc>
        <w:tc>
          <w:tcPr>
            <w:tcW w:w="0" w:type="auto"/>
            <w:vAlign w:val="center"/>
          </w:tcPr>
          <w:p>
            <w:pPr>
              <w:spacing w:before="240" w:after="240"/>
              <w:ind w:left="0" w:right="0"/>
              <w:rPr>
                <w:rFonts w:ascii="Arial" w:hAnsi="Arial"/>
                <w:sz w:val="21"/>
              </w:rPr>
            </w:pPr>
            <w:r>
              <w:rPr>
                <w:rFonts w:ascii="Arial" w:hAnsi="Arial"/>
                <w:sz w:val="21"/>
              </w:rPr>
              <w:t>This protocol uses a combination of questions from the Population Assessment of Tobacco and Health (PATH) Study and the 2015 International Tobacco Control (ITC) 4-Country Survey instruments. Collectively, the questions are used to assess the effectiveness of health warnings on tobacco packages, which have been associated with perceptions of risk and may promote smoking cessation and reduce uptake among young people.</w:t>
            </w:r>
          </w:p>
        </w:tc>
      </w:tr>
      <w:tr>
        <w:tc>
          <w:tcPr>
            <w:tcW w:w="1000" w:type="pct"/>
            <w:vAlign w:val="center"/>
          </w:tcPr>
          <w:p>
            <w:pPr>
              <w:spacing w:before="240" w:after="240"/>
              <w:ind w:left="0" w:right="0"/>
              <w:rPr>
                <w:rFonts w:ascii="Arial" w:hAnsi="Arial"/>
                <w:sz w:val="21"/>
              </w:rPr>
            </w:pPr>
            <w:r>
              <w:rPr>
                <w:rFonts w:ascii="Arial" w:hAnsi="Arial"/>
                <w:b w:val="1"/>
                <w:sz w:val="21"/>
              </w:rPr>
              <w:t>Specific Instructions:</w:t>
            </w:r>
          </w:p>
        </w:tc>
        <w:tc>
          <w:tcPr>
            <w:tcW w:w="0" w:type="auto"/>
            <w:vAlign w:val="center"/>
          </w:tcPr>
          <w:p>
            <w:pPr>
              <w:spacing w:before="240" w:after="240"/>
              <w:ind w:left="0" w:right="0"/>
              <w:rPr>
                <w:rFonts w:ascii="Arial" w:hAnsi="Arial"/>
                <w:sz w:val="21"/>
              </w:rPr>
            </w:pPr>
            <w:r>
              <w:rPr>
                <w:rFonts w:ascii="Arial" w:hAnsi="Arial"/>
                <w:sz w:val="21"/>
              </w:rPr>
              <w:t xml:space="preserve">The Population Assessment of Tobacco and Health (PATH) Study is an interviewer-administered survey, but the PhenX Working Group (WG) acknowledges that these questions can also be self-administered. </w:t>
            </w:r>
          </w:p>
          <w:p>
            <w:pPr>
              <w:spacing w:before="240" w:after="240"/>
              <w:ind w:left="0" w:right="0"/>
              <w:rPr>
                <w:rFonts w:ascii="Arial" w:hAnsi="Arial"/>
                <w:sz w:val="21"/>
              </w:rPr>
            </w:pPr>
            <w:r>
              <w:rPr>
                <w:rFonts w:ascii="Arial" w:hAnsi="Arial"/>
                <w:sz w:val="21"/>
              </w:rPr>
              <w:t>The WG recommends that for questions 2 through 4, the investigator should note the following:</w:t>
            </w:r>
          </w:p>
          <w:p>
            <w:pPr>
              <w:numPr>
                <w:ilvl w:val="0"/>
                <w:numId w:val="1"/>
              </w:numPr>
              <w:spacing w:before="0" w:after="0"/>
              <w:ind w:hanging="360" w:left="720" w:right="0"/>
              <w:rPr>
                <w:rFonts w:ascii="Arial" w:hAnsi="Arial"/>
                <w:sz w:val="21"/>
              </w:rPr>
            </w:pPr>
            <w:r>
              <w:rPr>
                <w:rFonts w:ascii="Arial" w:hAnsi="Arial"/>
                <w:sz w:val="21"/>
              </w:rPr>
              <w:t>Do not read out list of labels. Select the codes for as many warning labels as respondent is able to describe.</w:t>
            </w:r>
          </w:p>
          <w:p>
            <w:pPr>
              <w:numPr>
                <w:ilvl w:val="0"/>
                <w:numId w:val="1"/>
              </w:numPr>
              <w:spacing w:before="0" w:after="0"/>
              <w:ind w:hanging="360" w:left="720" w:right="0"/>
              <w:rPr>
                <w:rFonts w:ascii="Arial" w:hAnsi="Arial"/>
                <w:sz w:val="21"/>
              </w:rPr>
            </w:pPr>
            <w:r>
              <w:rPr>
                <w:rFonts w:ascii="Arial" w:hAnsi="Arial"/>
                <w:sz w:val="21"/>
              </w:rPr>
              <w:t>If respondent does not remember any warning labels, select 9 (Don’t know).</w:t>
            </w:r>
          </w:p>
          <w:p>
            <w:pPr>
              <w:spacing w:before="240" w:after="240"/>
              <w:ind w:left="0" w:right="0"/>
              <w:rPr>
                <w:rFonts w:ascii="Arial" w:hAnsi="Arial"/>
                <w:sz w:val="21"/>
              </w:rPr>
            </w:pPr>
            <w:r>
              <w:rPr>
                <w:rFonts w:ascii="Arial" w:hAnsi="Arial"/>
                <w:sz w:val="21"/>
              </w:rPr>
              <w:t>Continue to show prompt until respondent chooses "Don’t know." If response = 8 or 9, end questionnaire.</w:t>
            </w:r>
          </w:p>
        </w:tc>
      </w:tr>
      <w:tr>
        <w:tc>
          <w:tcPr>
            <w:tcW w:w="1000" w:type="pct"/>
            <w:vAlign w:val="center"/>
          </w:tcPr>
          <w:p>
            <w:pPr>
              <w:spacing w:before="240" w:after="240"/>
              <w:ind w:left="0" w:right="0"/>
              <w:rPr>
                <w:rFonts w:ascii="Arial" w:hAnsi="Arial"/>
                <w:sz w:val="21"/>
              </w:rPr>
            </w:pPr>
            <w:r>
              <w:rPr>
                <w:rFonts w:ascii="Arial" w:hAnsi="Arial"/>
                <w:b w:val="1"/>
                <w:sz w:val="21"/>
              </w:rPr>
              <w:t>Protocol:</w:t>
            </w:r>
          </w:p>
        </w:tc>
        <w:tc>
          <w:tcPr>
            <w:tcW w:w="0" w:type="auto"/>
            <w:vAlign w:val="center"/>
          </w:tcPr>
          <w:p>
            <w:pPr>
              <w:spacing w:before="240" w:after="240"/>
              <w:ind w:left="0" w:right="0"/>
              <w:rPr>
                <w:rFonts w:ascii="Arial" w:hAnsi="Arial"/>
                <w:sz w:val="21"/>
              </w:rPr>
            </w:pPr>
            <w:r>
              <w:rPr>
                <w:rFonts w:ascii="Arial" w:hAnsi="Arial"/>
                <w:sz w:val="21"/>
              </w:rPr>
              <w:t>1. In the past 30 days, how often, if at all, have you read or looked closely at the health warnings on cigarette packages?…(1-5 scale, "Never" to "Very often")</w:t>
            </w:r>
          </w:p>
          <w:p>
            <w:pPr>
              <w:spacing w:before="240" w:after="240"/>
              <w:ind w:left="0" w:right="0"/>
              <w:rPr>
                <w:rFonts w:ascii="Arial" w:hAnsi="Arial"/>
                <w:sz w:val="21"/>
              </w:rPr>
            </w:pPr>
            <w:r>
              <w:rPr>
                <w:rFonts w:ascii="Arial" w:hAnsi="Arial"/>
                <w:sz w:val="21"/>
              </w:rPr>
              <w:t>[ ] 1 Never</w:t>
            </w:r>
          </w:p>
          <w:p>
            <w:pPr>
              <w:spacing w:before="240" w:after="240"/>
              <w:ind w:left="0" w:right="0"/>
              <w:rPr>
                <w:rFonts w:ascii="Arial" w:hAnsi="Arial"/>
                <w:sz w:val="21"/>
              </w:rPr>
            </w:pPr>
            <w:r>
              <w:rPr>
                <w:rFonts w:ascii="Arial" w:hAnsi="Arial"/>
                <w:sz w:val="21"/>
              </w:rPr>
              <w:t>[ ] 2 Rarely</w:t>
            </w:r>
          </w:p>
          <w:p>
            <w:pPr>
              <w:spacing w:before="240" w:after="240"/>
              <w:ind w:left="0" w:right="0"/>
              <w:rPr>
                <w:rFonts w:ascii="Arial" w:hAnsi="Arial"/>
                <w:sz w:val="21"/>
              </w:rPr>
            </w:pPr>
            <w:r>
              <w:rPr>
                <w:rFonts w:ascii="Arial" w:hAnsi="Arial"/>
                <w:sz w:val="21"/>
              </w:rPr>
              <w:t>[ ] 3 Sometimes</w:t>
            </w:r>
          </w:p>
          <w:p>
            <w:pPr>
              <w:spacing w:before="240" w:after="240"/>
              <w:ind w:left="0" w:right="0"/>
              <w:rPr>
                <w:rFonts w:ascii="Arial" w:hAnsi="Arial"/>
                <w:sz w:val="21"/>
              </w:rPr>
            </w:pPr>
            <w:r>
              <w:rPr>
                <w:rFonts w:ascii="Arial" w:hAnsi="Arial"/>
                <w:sz w:val="21"/>
              </w:rPr>
              <w:t>[ ] 4 Often</w:t>
            </w:r>
          </w:p>
          <w:p>
            <w:pPr>
              <w:spacing w:before="240" w:after="240"/>
              <w:ind w:left="0" w:right="0"/>
              <w:rPr>
                <w:rFonts w:ascii="Arial" w:hAnsi="Arial"/>
                <w:sz w:val="21"/>
              </w:rPr>
            </w:pPr>
            <w:r>
              <w:rPr>
                <w:rFonts w:ascii="Arial" w:hAnsi="Arial"/>
                <w:sz w:val="21"/>
              </w:rPr>
              <w:t>[ ] 5 Very often</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2. I want you to think about the health warnings that currently appear on the exterior of CIGARETTE PACKS. I’d like you to describe the first warning that comes to mind, if any.</w:t>
            </w:r>
          </w:p>
          <w:p>
            <w:pPr>
              <w:spacing w:before="240" w:after="240"/>
              <w:ind w:left="0" w:right="0"/>
              <w:rPr>
                <w:rFonts w:ascii="Arial" w:hAnsi="Arial"/>
                <w:sz w:val="21"/>
              </w:rPr>
            </w:pPr>
            <w:r>
              <w:rPr>
                <w:rFonts w:ascii="Arial" w:hAnsi="Arial"/>
                <w:b w:val="1"/>
                <w:sz w:val="21"/>
              </w:rPr>
              <w:t>[After first response, prompt:]</w:t>
            </w:r>
          </w:p>
          <w:p>
            <w:pPr>
              <w:spacing w:before="240" w:after="240"/>
              <w:ind w:left="0" w:right="0"/>
              <w:rPr>
                <w:rFonts w:ascii="Arial" w:hAnsi="Arial"/>
                <w:sz w:val="21"/>
              </w:rPr>
            </w:pPr>
            <w:r>
              <w:rPr>
                <w:rFonts w:ascii="Arial" w:hAnsi="Arial"/>
                <w:sz w:val="21"/>
              </w:rPr>
              <w:t>3. Please describe the next health warning that comes to mind.</w:t>
            </w:r>
          </w:p>
          <w:p>
            <w:pPr>
              <w:spacing w:before="240" w:after="240"/>
              <w:ind w:left="0" w:right="0"/>
              <w:rPr>
                <w:rFonts w:ascii="Arial" w:hAnsi="Arial"/>
                <w:sz w:val="21"/>
              </w:rPr>
            </w:pPr>
            <w:r>
              <w:rPr>
                <w:rFonts w:ascii="Arial" w:hAnsi="Arial"/>
                <w:b w:val="1"/>
                <w:sz w:val="21"/>
              </w:rPr>
              <w:t>[After second and any subsequent response, prompt:]</w:t>
            </w:r>
          </w:p>
          <w:p>
            <w:pPr>
              <w:spacing w:before="240" w:after="240"/>
              <w:ind w:left="0" w:right="0"/>
              <w:rPr>
                <w:rFonts w:ascii="Arial" w:hAnsi="Arial"/>
                <w:sz w:val="21"/>
              </w:rPr>
            </w:pPr>
            <w:r>
              <w:rPr>
                <w:rFonts w:ascii="Arial" w:hAnsi="Arial"/>
                <w:sz w:val="21"/>
              </w:rPr>
              <w:t>4. Do any others come to mind?</w:t>
            </w:r>
          </w:p>
          <w:p>
            <w:pPr>
              <w:spacing w:before="240" w:after="240"/>
              <w:ind w:left="0" w:right="0"/>
              <w:rPr>
                <w:rFonts w:ascii="Arial" w:hAnsi="Arial"/>
                <w:sz w:val="21"/>
              </w:rPr>
            </w:pPr>
            <w:r>
              <w:rPr>
                <w:rFonts w:ascii="Arial" w:hAnsi="Arial"/>
                <w:b w:val="1"/>
                <w:sz w:val="21"/>
              </w:rPr>
              <w:t>[Pre-coded checklist]</w:t>
            </w:r>
          </w:p>
          <w:p>
            <w:pPr>
              <w:spacing w:before="240" w:after="240"/>
              <w:ind w:left="0" w:right="0"/>
              <w:rPr>
                <w:rFonts w:ascii="Arial" w:hAnsi="Arial"/>
                <w:sz w:val="21"/>
              </w:rPr>
            </w:pPr>
            <w:r>
              <w:rPr>
                <w:rFonts w:ascii="Arial" w:hAnsi="Arial"/>
                <w:sz w:val="21"/>
              </w:rPr>
              <w:t>SURGEON GENERAL’S WARNING: Cigarette Smoke Contains Carbon Monoxide.</w:t>
            </w:r>
          </w:p>
          <w:p>
            <w:pPr>
              <w:spacing w:before="240" w:after="240"/>
              <w:ind w:left="0" w:right="0"/>
              <w:rPr>
                <w:rFonts w:ascii="Arial" w:hAnsi="Arial"/>
                <w:sz w:val="21"/>
              </w:rPr>
            </w:pPr>
            <w:r>
              <w:rPr>
                <w:rFonts w:ascii="Arial" w:hAnsi="Arial"/>
                <w:sz w:val="21"/>
              </w:rPr>
              <w:t>[ ] 1 Mentioned</w:t>
            </w:r>
          </w:p>
          <w:p>
            <w:pPr>
              <w:spacing w:before="240" w:after="240"/>
              <w:ind w:left="0" w:right="0"/>
              <w:rPr>
                <w:rFonts w:ascii="Arial" w:hAnsi="Arial"/>
                <w:sz w:val="21"/>
              </w:rPr>
            </w:pPr>
            <w:r>
              <w:rPr>
                <w:rFonts w:ascii="Arial" w:hAnsi="Arial"/>
                <w:sz w:val="21"/>
              </w:rPr>
              <w:t>[ ] 2 Not mentioned</w:t>
            </w:r>
          </w:p>
          <w:p>
            <w:pPr>
              <w:spacing w:before="240" w:after="240"/>
              <w:ind w:left="0" w:right="0"/>
              <w:rPr>
                <w:rFonts w:ascii="Arial" w:hAnsi="Arial"/>
                <w:sz w:val="21"/>
              </w:rPr>
            </w:pPr>
            <w:r>
              <w:rPr>
                <w:rFonts w:ascii="Arial" w:hAnsi="Arial"/>
                <w:sz w:val="21"/>
              </w:rPr>
              <w:t>[ ] 7 Not applicable</w:t>
            </w:r>
          </w:p>
          <w:p>
            <w:pPr>
              <w:spacing w:before="240" w:after="240"/>
              <w:ind w:left="0" w:right="0"/>
              <w:rPr>
                <w:rFonts w:ascii="Arial" w:hAnsi="Arial"/>
                <w:sz w:val="21"/>
              </w:rPr>
            </w:pPr>
            <w:r>
              <w:rPr>
                <w:rFonts w:ascii="Arial" w:hAnsi="Arial"/>
                <w:sz w:val="21"/>
              </w:rPr>
              <w:t>[ ] 8 Refused</w:t>
            </w:r>
          </w:p>
          <w:p>
            <w:pPr>
              <w:spacing w:before="240" w:after="240"/>
              <w:ind w:left="0" w:right="0"/>
              <w:rPr>
                <w:rFonts w:ascii="Arial" w:hAnsi="Arial"/>
                <w:sz w:val="21"/>
              </w:rPr>
            </w:pPr>
            <w:r>
              <w:rPr>
                <w:rFonts w:ascii="Arial" w:hAnsi="Arial"/>
                <w:sz w:val="21"/>
              </w:rPr>
              <w:t>[ ] 9 Don’t know</w:t>
            </w:r>
          </w:p>
          <w:p>
            <w:pPr>
              <w:spacing w:before="240" w:after="240"/>
              <w:ind w:left="0" w:right="0"/>
              <w:rPr>
                <w:rFonts w:ascii="Arial" w:hAnsi="Arial"/>
                <w:sz w:val="21"/>
              </w:rPr>
            </w:pPr>
            <w:r>
              <w:rPr>
                <w:rFonts w:ascii="Arial" w:hAnsi="Arial"/>
                <w:sz w:val="21"/>
              </w:rPr>
              <w:t>SURGEON GENERAL’S WARNING: Quitting Smoking Now Greatly Reduces Serious Risks to Your Health.</w:t>
            </w:r>
          </w:p>
          <w:p>
            <w:pPr>
              <w:spacing w:before="240" w:after="240"/>
              <w:ind w:left="0" w:right="0"/>
              <w:rPr>
                <w:rFonts w:ascii="Arial" w:hAnsi="Arial"/>
                <w:sz w:val="21"/>
              </w:rPr>
            </w:pPr>
            <w:r>
              <w:rPr>
                <w:rFonts w:ascii="Arial" w:hAnsi="Arial"/>
                <w:sz w:val="21"/>
              </w:rPr>
              <w:t>[ ] 1 Mentioned</w:t>
            </w:r>
          </w:p>
          <w:p>
            <w:pPr>
              <w:spacing w:before="240" w:after="240"/>
              <w:ind w:left="0" w:right="0"/>
              <w:rPr>
                <w:rFonts w:ascii="Arial" w:hAnsi="Arial"/>
                <w:sz w:val="21"/>
              </w:rPr>
            </w:pPr>
            <w:r>
              <w:rPr>
                <w:rFonts w:ascii="Arial" w:hAnsi="Arial"/>
                <w:sz w:val="21"/>
              </w:rPr>
              <w:t>[ ] 2 Not mentioned</w:t>
            </w:r>
          </w:p>
          <w:p>
            <w:pPr>
              <w:spacing w:before="240" w:after="240"/>
              <w:ind w:left="0" w:right="0"/>
              <w:rPr>
                <w:rFonts w:ascii="Arial" w:hAnsi="Arial"/>
                <w:sz w:val="21"/>
              </w:rPr>
            </w:pPr>
            <w:r>
              <w:rPr>
                <w:rFonts w:ascii="Arial" w:hAnsi="Arial"/>
                <w:sz w:val="21"/>
              </w:rPr>
              <w:t>[ ] 7 Not applicable</w:t>
            </w:r>
          </w:p>
          <w:p>
            <w:pPr>
              <w:spacing w:before="240" w:after="240"/>
              <w:ind w:left="0" w:right="0"/>
              <w:rPr>
                <w:rFonts w:ascii="Arial" w:hAnsi="Arial"/>
                <w:sz w:val="21"/>
              </w:rPr>
            </w:pPr>
            <w:r>
              <w:rPr>
                <w:rFonts w:ascii="Arial" w:hAnsi="Arial"/>
                <w:sz w:val="21"/>
              </w:rPr>
              <w:t>[ ] 8 Refused</w:t>
            </w:r>
          </w:p>
          <w:p>
            <w:pPr>
              <w:spacing w:before="240" w:after="240"/>
              <w:ind w:left="0" w:right="0"/>
              <w:rPr>
                <w:rFonts w:ascii="Arial" w:hAnsi="Arial"/>
                <w:sz w:val="21"/>
              </w:rPr>
            </w:pPr>
            <w:r>
              <w:rPr>
                <w:rFonts w:ascii="Arial" w:hAnsi="Arial"/>
                <w:sz w:val="21"/>
              </w:rPr>
              <w:t>[ ] 9 Don’t know</w:t>
            </w:r>
          </w:p>
          <w:p>
            <w:pPr>
              <w:spacing w:before="240" w:after="240"/>
              <w:ind w:left="0" w:right="0"/>
              <w:rPr>
                <w:rFonts w:ascii="Arial" w:hAnsi="Arial"/>
                <w:sz w:val="21"/>
              </w:rPr>
            </w:pPr>
            <w:r>
              <w:rPr>
                <w:rFonts w:ascii="Arial" w:hAnsi="Arial"/>
                <w:sz w:val="21"/>
              </w:rPr>
              <w:t>SURGEON GENERAL’S WARNING: Smoking Causes Lung Cancer, Heart Disease, Emphysema, and May Complicate Pregnancy.</w:t>
            </w:r>
          </w:p>
          <w:p>
            <w:pPr>
              <w:spacing w:before="240" w:after="240"/>
              <w:ind w:left="0" w:right="0"/>
              <w:rPr>
                <w:rFonts w:ascii="Arial" w:hAnsi="Arial"/>
                <w:sz w:val="21"/>
              </w:rPr>
            </w:pPr>
            <w:r>
              <w:rPr>
                <w:rFonts w:ascii="Arial" w:hAnsi="Arial"/>
                <w:sz w:val="21"/>
              </w:rPr>
              <w:t>[ ] 1 Mentioned</w:t>
            </w:r>
          </w:p>
          <w:p>
            <w:pPr>
              <w:spacing w:before="240" w:after="240"/>
              <w:ind w:left="0" w:right="0"/>
              <w:rPr>
                <w:rFonts w:ascii="Arial" w:hAnsi="Arial"/>
                <w:sz w:val="21"/>
              </w:rPr>
            </w:pPr>
            <w:r>
              <w:rPr>
                <w:rFonts w:ascii="Arial" w:hAnsi="Arial"/>
                <w:sz w:val="21"/>
              </w:rPr>
              <w:t>[ ] 2 Not mentioned</w:t>
            </w:r>
          </w:p>
          <w:p>
            <w:pPr>
              <w:spacing w:before="240" w:after="240"/>
              <w:ind w:left="0" w:right="0"/>
              <w:rPr>
                <w:rFonts w:ascii="Arial" w:hAnsi="Arial"/>
                <w:sz w:val="21"/>
              </w:rPr>
            </w:pPr>
            <w:r>
              <w:rPr>
                <w:rFonts w:ascii="Arial" w:hAnsi="Arial"/>
                <w:sz w:val="21"/>
              </w:rPr>
              <w:t>[ ] 7 Not applicable</w:t>
            </w:r>
          </w:p>
          <w:p>
            <w:pPr>
              <w:spacing w:before="240" w:after="240"/>
              <w:ind w:left="0" w:right="0"/>
              <w:rPr>
                <w:rFonts w:ascii="Arial" w:hAnsi="Arial"/>
                <w:sz w:val="21"/>
              </w:rPr>
            </w:pPr>
            <w:r>
              <w:rPr>
                <w:rFonts w:ascii="Arial" w:hAnsi="Arial"/>
                <w:sz w:val="21"/>
              </w:rPr>
              <w:t>[ ] 8 Refused</w:t>
            </w:r>
          </w:p>
          <w:p>
            <w:pPr>
              <w:spacing w:before="240" w:after="240"/>
              <w:ind w:left="0" w:right="0"/>
              <w:rPr>
                <w:rFonts w:ascii="Arial" w:hAnsi="Arial"/>
                <w:sz w:val="21"/>
              </w:rPr>
            </w:pPr>
            <w:r>
              <w:rPr>
                <w:rFonts w:ascii="Arial" w:hAnsi="Arial"/>
                <w:sz w:val="21"/>
              </w:rPr>
              <w:t>[ ] 9 Don’t know</w:t>
            </w:r>
          </w:p>
        </w:tc>
      </w:tr>
      <w:tr>
        <w:tc>
          <w:tcPr>
            <w:tcW w:w="1000" w:type="pct"/>
            <w:vAlign w:val="center"/>
          </w:tcPr>
          <w:p>
            <w:pPr>
              <w:spacing w:before="240" w:after="240"/>
              <w:ind w:left="0" w:right="0"/>
              <w:rPr>
                <w:rFonts w:ascii="Arial" w:hAnsi="Arial"/>
                <w:sz w:val="21"/>
              </w:rPr>
            </w:pPr>
            <w:r>
              <w:rPr>
                <w:rFonts w:ascii="Arial" w:hAnsi="Arial"/>
                <w:b w:val="1"/>
                <w:sz w:val="21"/>
              </w:rPr>
              <w:t>Selection Rationale:</w:t>
            </w:r>
          </w:p>
        </w:tc>
        <w:tc>
          <w:tcPr>
            <w:tcW w:w="0" w:type="auto"/>
            <w:vAlign w:val="center"/>
          </w:tcPr>
          <w:p>
            <w:pPr>
              <w:spacing w:before="240" w:after="240"/>
              <w:ind w:left="0" w:right="0"/>
              <w:rPr>
                <w:rFonts w:ascii="Arial" w:hAnsi="Arial"/>
                <w:sz w:val="21"/>
              </w:rPr>
            </w:pPr>
            <w:r>
              <w:rPr>
                <w:rFonts w:ascii="Arial" w:hAnsi="Arial"/>
                <w:sz w:val="21"/>
              </w:rPr>
              <w:t>The Population Assessment of Tobacco and Health (PATH) Study is a nationally representative, longitudinal cohort study of nonusers and users of tobacco products and of those at risk for tobacco use across the United States. Respondents 12 years old and up are asked questions on tobacco use, attitudes, and health. Biospecimens (buccal cell, urine, and blood) are collected from adults. The PATH Study was implemented to provide an evidence base for assessing and monitoring the Food and Drug Administration’s regulatory actions in meeting its mandate under the Family Smoking Prevention and Tobacco Control Act. Regulatory domains include product standards, new and modified risk products, health warnings, and health education campaigns.</w:t>
            </w:r>
          </w:p>
          <w:p>
            <w:pPr>
              <w:spacing w:before="240" w:after="240"/>
              <w:ind w:left="0" w:right="0"/>
              <w:rPr>
                <w:rFonts w:ascii="Arial" w:hAnsi="Arial"/>
                <w:sz w:val="21"/>
              </w:rPr>
            </w:pPr>
            <w:r>
              <w:rPr>
                <w:rFonts w:ascii="Arial" w:hAnsi="Arial"/>
                <w:sz w:val="21"/>
              </w:rPr>
              <w:t xml:space="preserve">The health warning measures used in PATH are very similar to measures used in other countries, such as the International Tobacco Control (ITC) Survey. </w:t>
            </w:r>
          </w:p>
          <w:p>
            <w:pPr>
              <w:spacing w:before="240" w:after="240"/>
              <w:ind w:left="0" w:right="0"/>
              <w:rPr>
                <w:rFonts w:ascii="Arial" w:hAnsi="Arial"/>
                <w:sz w:val="21"/>
              </w:rPr>
            </w:pPr>
            <w:r>
              <w:rPr>
                <w:rFonts w:ascii="Arial" w:hAnsi="Arial"/>
                <w:sz w:val="21"/>
              </w:rPr>
              <w:t>The 2015 ITC 4-Country Survey is an international cohort study of tobacco use whose overall objective is to measure the psychosocial and behavioral impact of key national-level policies. This survey is being used in more than 20 countries.</w:t>
            </w:r>
          </w:p>
        </w:tc>
      </w:tr>
      <w:tr>
        <w:tc>
          <w:tcPr>
            <w:tcW w:w="1000" w:type="pct"/>
            <w:vAlign w:val="center"/>
          </w:tcPr>
          <w:p>
            <w:pPr>
              <w:spacing w:before="240" w:after="240"/>
              <w:ind w:left="0" w:right="0"/>
              <w:rPr>
                <w:rFonts w:ascii="Arial" w:hAnsi="Arial"/>
                <w:sz w:val="21"/>
              </w:rPr>
            </w:pPr>
            <w:r>
              <w:rPr>
                <w:rFonts w:ascii="Arial" w:hAnsi="Arial"/>
                <w:b w:val="1"/>
                <w:sz w:val="21"/>
              </w:rPr>
              <w:t>Source:</w:t>
            </w:r>
          </w:p>
        </w:tc>
        <w:tc>
          <w:tcPr>
            <w:tcW w:w="0" w:type="auto"/>
            <w:vAlign w:val="center"/>
          </w:tcPr>
          <w:p>
            <w:pPr>
              <w:spacing w:before="240" w:after="240"/>
              <w:ind w:left="0" w:right="0"/>
              <w:rPr>
                <w:rFonts w:ascii="Arial" w:hAnsi="Arial"/>
                <w:sz w:val="21"/>
              </w:rPr>
            </w:pPr>
            <w:r>
              <w:rPr>
                <w:rFonts w:ascii="Arial" w:hAnsi="Arial"/>
                <w:sz w:val="21"/>
              </w:rPr>
              <w:t>Department of Health and Human Services, National Institutes of Health, National Institute on Drug Abuse, Food and Drug Administration. (2013). Population Assessment of Tobacco and Health (PATH). PATH Adult Extended Questionnaire, Version 7.5. (PATH ID: AR0202)</w:t>
            </w:r>
          </w:p>
          <w:p>
            <w:pPr>
              <w:spacing w:before="240" w:after="240"/>
              <w:ind w:left="0" w:right="0"/>
              <w:rPr>
                <w:rFonts w:ascii="Arial" w:hAnsi="Arial"/>
                <w:sz w:val="21"/>
              </w:rPr>
            </w:pPr>
            <w:r>
              <w:rPr>
                <w:rFonts w:ascii="Arial" w:hAnsi="Arial"/>
                <w:sz w:val="21"/>
              </w:rPr>
              <w:t>International Tobacco Control Policy Evaluation Project. (2015). International Tobacco Control 4-Country Survey 2015, Wave 9, Items 154a, 154b, 154c and 154d.</w:t>
            </w:r>
          </w:p>
        </w:tc>
      </w:tr>
      <w:tr>
        <w:tc>
          <w:tcPr>
            <w:tcW w:w="1000" w:type="pct"/>
            <w:vAlign w:val="center"/>
          </w:tcPr>
          <w:p>
            <w:pPr>
              <w:spacing w:before="240" w:after="240"/>
              <w:ind w:left="0" w:right="0"/>
              <w:rPr>
                <w:rFonts w:ascii="Arial" w:hAnsi="Arial"/>
                <w:sz w:val="21"/>
              </w:rPr>
            </w:pPr>
            <w:r>
              <w:rPr>
                <w:rFonts w:ascii="Arial" w:hAnsi="Arial"/>
                <w:b w:val="1"/>
                <w:sz w:val="21"/>
              </w:rPr>
              <w:t>Language</w:t>
            </w:r>
          </w:p>
        </w:tc>
        <w:tc>
          <w:tcPr>
            <w:tcW w:w="0" w:type="auto"/>
            <w:vAlign w:val="center"/>
          </w:tcPr>
          <w:p>
            <w:pPr>
              <w:ind w:left="0" w:right="0"/>
            </w:pPr>
            <w:r>
              <w:rPr>
                <w:rFonts w:ascii="Arial" w:hAnsi="Arial"/>
                <w:sz w:val="21"/>
              </w:rPr>
              <w:t>English</w:t>
              <w:br w:type="textWrapping"/>
              <w:t xml:space="preserve">Other languages available at source </w:t>
            </w:r>
          </w:p>
        </w:tc>
      </w:tr>
      <w:tr>
        <w:tc>
          <w:tcPr>
            <w:tcW w:w="1000" w:type="pct"/>
            <w:vAlign w:val="center"/>
          </w:tcPr>
          <w:p>
            <w:pPr>
              <w:spacing w:before="240" w:after="240"/>
              <w:ind w:left="0" w:right="0"/>
              <w:rPr>
                <w:rFonts w:ascii="Arial" w:hAnsi="Arial"/>
                <w:sz w:val="21"/>
              </w:rPr>
            </w:pPr>
            <w:r>
              <w:rPr>
                <w:rFonts w:ascii="Arial" w:hAnsi="Arial"/>
                <w:b w:val="1"/>
                <w:sz w:val="21"/>
              </w:rPr>
              <w:t>Participant:</w:t>
            </w:r>
          </w:p>
        </w:tc>
        <w:tc>
          <w:tcPr>
            <w:tcW w:w="0" w:type="auto"/>
            <w:vAlign w:val="center"/>
          </w:tcPr>
          <w:p>
            <w:pPr>
              <w:spacing w:before="240" w:after="240"/>
              <w:ind w:left="0" w:right="0"/>
              <w:rPr>
                <w:rFonts w:ascii="Arial" w:hAnsi="Arial"/>
                <w:sz w:val="21"/>
              </w:rPr>
            </w:pPr>
            <w:r>
              <w:rPr>
                <w:rFonts w:ascii="Arial" w:hAnsi="Arial"/>
                <w:sz w:val="21"/>
              </w:rPr>
              <w:t>Adults and adolescents 12-17 years old</w:t>
            </w:r>
          </w:p>
        </w:tc>
      </w:tr>
      <w:tr>
        <w:tc>
          <w:tcPr>
            <w:tcW w:w="1000" w:type="pct"/>
            <w:vAlign w:val="center"/>
          </w:tcPr>
          <w:p>
            <w:pPr>
              <w:spacing w:before="240" w:after="240"/>
              <w:ind w:left="0" w:right="0"/>
              <w:rPr>
                <w:rFonts w:ascii="Arial" w:hAnsi="Arial"/>
                <w:sz w:val="21"/>
              </w:rPr>
            </w:pPr>
            <w:r>
              <w:rPr>
                <w:rFonts w:ascii="Arial" w:hAnsi="Arial"/>
                <w:b w:val="1"/>
                <w:sz w:val="21"/>
              </w:rPr>
              <w:t>Personnel and Training Required:</w:t>
            </w:r>
          </w:p>
        </w:tc>
        <w:tc>
          <w:tcPr>
            <w:tcW w:w="0" w:type="auto"/>
            <w:vAlign w:val="center"/>
          </w:tcPr>
          <w:p>
            <w:pPr>
              <w:spacing w:before="240" w:after="240"/>
              <w:ind w:left="0" w:right="0"/>
              <w:rPr>
                <w:rFonts w:ascii="Arial" w:hAnsi="Arial"/>
                <w:sz w:val="21"/>
              </w:rPr>
            </w:pPr>
            <w:r>
              <w:rPr>
                <w:rFonts w:ascii="Arial" w:hAnsi="Arial"/>
                <w:sz w:val="21"/>
              </w:rPr>
              <w:t>Interviewers must be trained and found competent to conduct personal interviews with individuals from the general population.</w:t>
            </w:r>
          </w:p>
        </w:tc>
      </w:tr>
      <w:tr>
        <w:tc>
          <w:tcPr>
            <w:tcW w:w="1000" w:type="pct"/>
            <w:vAlign w:val="center"/>
          </w:tcPr>
          <w:p>
            <w:pPr>
              <w:spacing w:before="240" w:after="240"/>
              <w:ind w:left="0" w:right="0"/>
              <w:rPr>
                <w:rFonts w:ascii="Arial" w:hAnsi="Arial"/>
                <w:sz w:val="21"/>
              </w:rPr>
            </w:pPr>
            <w:r>
              <w:rPr>
                <w:rFonts w:ascii="Arial" w:hAnsi="Arial"/>
                <w:b w:val="1"/>
                <w:sz w:val="21"/>
              </w:rPr>
              <w:t>Equipment Needs: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Standards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General References:</w:t>
            </w:r>
          </w:p>
        </w:tc>
        <w:tc>
          <w:tcPr>
            <w:tcW w:w="0" w:type="auto"/>
            <w:vAlign w:val="center"/>
          </w:tcPr>
          <w:p>
            <w:pPr>
              <w:spacing w:before="240" w:after="240"/>
              <w:ind w:left="0" w:right="0"/>
              <w:rPr>
                <w:rFonts w:ascii="Arial" w:hAnsi="Arial"/>
                <w:sz w:val="21"/>
              </w:rPr>
            </w:pPr>
            <w:r>
              <w:rPr>
                <w:rFonts w:ascii="Arial" w:hAnsi="Arial"/>
                <w:sz w:val="21"/>
              </w:rPr>
              <w:t>National Institutes of Health, U.S. Food and Drug Administration. (2013). Population Assessment of Tobacco and Health (PATH) Study: Final Adult Baseline (Wave 1) Questionnaire. Bethesda, MD: National Institutes of Health.</w:t>
            </w:r>
          </w:p>
        </w:tc>
      </w:tr>
      <w:tr>
        <w:tc>
          <w:tcPr>
            <w:tcW w:w="1000" w:type="pct"/>
            <w:vAlign w:val="center"/>
          </w:tcPr>
          <w:p>
            <w:pPr>
              <w:spacing w:before="240" w:after="240"/>
              <w:ind w:left="0" w:right="0"/>
              <w:rPr>
                <w:rFonts w:ascii="Arial" w:hAnsi="Arial"/>
                <w:sz w:val="21"/>
              </w:rPr>
            </w:pPr>
            <w:r>
              <w:rPr>
                <w:rFonts w:ascii="Arial" w:hAnsi="Arial"/>
                <w:b w:val="1"/>
                <w:sz w:val="21"/>
              </w:rPr>
              <w:t>Mode of Administration:</w:t>
            </w:r>
          </w:p>
        </w:tc>
        <w:tc>
          <w:tcPr>
            <w:tcW w:w="0" w:type="auto"/>
            <w:vAlign w:val="center"/>
          </w:tcPr>
          <w:p>
            <w:pPr>
              <w:ind w:left="0" w:right="0"/>
            </w:pPr>
            <w:r>
              <w:rPr>
                <w:rFonts w:ascii="Arial" w:hAnsi="Arial"/>
                <w:sz w:val="21"/>
              </w:rPr>
              <w:t xml:space="preserve">Self-administered or interviewer-administered questionnaire </w:t>
            </w:r>
          </w:p>
        </w:tc>
      </w:tr>
      <w:tr>
        <w:tc>
          <w:tcPr>
            <w:tcW w:w="1000" w:type="pct"/>
            <w:vAlign w:val="center"/>
          </w:tcPr>
          <w:p>
            <w:pPr>
              <w:spacing w:before="240" w:after="240"/>
              <w:ind w:left="0" w:right="0"/>
              <w:rPr>
                <w:rFonts w:ascii="Arial" w:hAnsi="Arial"/>
                <w:sz w:val="21"/>
              </w:rPr>
            </w:pPr>
            <w:r>
              <w:rPr>
                <w:rFonts w:ascii="Arial" w:hAnsi="Arial"/>
                <w:b w:val="1"/>
                <w:sz w:val="21"/>
              </w:rPr>
              <w:t>Derived Variables: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Requirements: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Requirement Category</w:t>
                  </w:r>
                </w:p>
              </w:tc>
              <w:tc>
                <w:tcPr>
                  <w:tcW w:w="0" w:type="auto"/>
                  <w:vAlign w:val="center"/>
                </w:tcPr>
                <w:p>
                  <w:pPr>
                    <w:spacing w:before="240" w:after="240"/>
                    <w:ind w:left="0" w:right="0"/>
                    <w:rPr>
                      <w:rFonts w:ascii="Arial" w:hAnsi="Arial"/>
                      <w:sz w:val="21"/>
                    </w:rPr>
                  </w:pPr>
                  <w:r>
                    <w:rPr>
                      <w:rFonts w:ascii="Arial" w:hAnsi="Arial"/>
                      <w:b w:val="1"/>
                      <w:sz w:val="21"/>
                    </w:rPr>
                    <w:t>Required (Yes/No)</w:t>
                  </w:r>
                </w:p>
              </w:tc>
            </w:tr>
            <w:tr>
              <w:tc>
                <w:tcPr>
                  <w:tcW w:w="0" w:type="auto"/>
                  <w:vAlign w:val="center"/>
                </w:tcPr>
                <w:p>
                  <w:pPr>
                    <w:spacing w:before="240" w:after="240"/>
                    <w:ind w:left="0" w:right="0"/>
                    <w:rPr>
                      <w:rFonts w:ascii="Arial" w:hAnsi="Arial"/>
                      <w:sz w:val="21"/>
                    </w:rPr>
                  </w:pPr>
                  <w:r>
                    <w:rPr>
                      <w:rFonts w:ascii="Arial" w:hAnsi="Arial"/>
                      <w:b w:val="1"/>
                      <w:sz w:val="21"/>
                    </w:rPr>
                    <w:t>Major equipment</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training</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requirements for biospecimen collection</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Average time of greater than 15 minutes in an unaffected individual</w:t>
                  </w:r>
                </w:p>
              </w:tc>
              <w:tc>
                <w:tcPr>
                  <w:tcW w:w="0" w:type="auto"/>
                  <w:vAlign w:val="center"/>
                </w:tcPr>
                <w:p>
                  <w:pPr>
                    <w:spacing w:before="240" w:after="240"/>
                    <w:ind w:left="0" w:right="0"/>
                    <w:rPr>
                      <w:rFonts w:ascii="Arial" w:hAnsi="Arial"/>
                      <w:sz w:val="21"/>
                    </w:rPr>
                  </w:pPr>
                  <w:r>
                    <w:rPr>
                      <w:rFonts w:ascii="Arial" w:hAnsi="Arial"/>
                      <w:sz w:val="21"/>
                    </w:rPr>
                    <w:t>No</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Annotations for Specific Conditions:</w:t>
            </w:r>
          </w:p>
        </w:tc>
        <w:tc>
          <w:tcPr>
            <w:tcW w:w="0" w:type="auto"/>
            <w:vAlign w:val="center"/>
          </w:tcPr>
          <w:p>
            <w:pPr>
              <w:ind w:left="0" w:right="0"/>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Process and Review:</w:t>
            </w:r>
          </w:p>
        </w:tc>
        <w:tc>
          <w:tcPr>
            <w:tcW w:w="0" w:type="auto"/>
            <w:vAlign w:val="center"/>
          </w:tcPr>
          <w:p>
            <w:pPr>
              <w:ind w:left="0" w:right="0"/>
            </w:pPr>
            <w:r>
              <w:rPr>
                <w:rFonts w:ascii="Arial" w:hAnsi="Arial"/>
                <w:sz w:val="21"/>
              </w:rPr>
              <w:t xml:space="preserve">Not applicable. </w:t>
            </w:r>
          </w:p>
        </w:tc>
      </w:tr>
    </w:tbl>
    <w:p>
      <w:pPr>
        <w:spacing w:before="240" w:after="240"/>
        <w:ind w:firstLine="0" w:left="0" w:right="0"/>
      </w:pPr>
    </w:p>
    <w:sectPr>
      <w:type w:val="nextPage"/>
      <w:pgMar w:left="1700" w:right="850" w:top="1133" w:bottom="1133" w:header="708" w:footer="708" w:gutter="0"/>
    </w:sectPr>
  </w:body>
</w:document>
</file>

<file path=word/numbering.xml><?xml version="1.0" encoding="utf-8"?>
<w:numbering xmlns:w="http://schemas.openxmlformats.org/wordprocessingml/2006/main">
  <w:abstractNum w:abstractNumId="0">
    <w:nsid w:val="18663C1D"/>
    <w:multiLevelType w:val="hybridMultilevel"/>
    <w:lvl w:ilvl="0" w:tplc="30A39827">
      <w:start w:val="1"/>
      <w:numFmt w:val="bullet"/>
      <w:suff w:val="tab"/>
      <w:lvlText w:val="·"/>
      <w:lvlJc w:val="left"/>
      <w:pPr>
        <w:ind w:hanging="360" w:left="720"/>
      </w:pPr>
      <w:rPr>
        <w:rFonts w:ascii="Symbol" w:hAnsi="Symbol"/>
      </w:rPr>
    </w:lvl>
    <w:lvl w:ilvl="1" w:tplc="4F6E869A">
      <w:start w:val="1"/>
      <w:numFmt w:val="bullet"/>
      <w:suff w:val="tab"/>
      <w:lvlText w:val="o"/>
      <w:lvlJc w:val="left"/>
      <w:pPr>
        <w:ind w:hanging="360" w:left="1440"/>
      </w:pPr>
      <w:rPr>
        <w:rFonts w:ascii="Symbol" w:hAnsi="Symbol"/>
      </w:rPr>
    </w:lvl>
    <w:lvl w:ilvl="2" w:tplc="455697CB">
      <w:start w:val="1"/>
      <w:numFmt w:val="bullet"/>
      <w:suff w:val="tab"/>
      <w:lvlText w:val="·"/>
      <w:lvlJc w:val="left"/>
      <w:pPr>
        <w:ind w:hanging="360" w:left="2160"/>
      </w:pPr>
      <w:rPr>
        <w:rFonts w:ascii="Symbol" w:hAnsi="Symbol"/>
      </w:rPr>
    </w:lvl>
    <w:lvl w:ilvl="3" w:tplc="5F6AD161">
      <w:start w:val="1"/>
      <w:numFmt w:val="bullet"/>
      <w:suff w:val="tab"/>
      <w:lvlText w:val="o"/>
      <w:lvlJc w:val="left"/>
      <w:pPr>
        <w:ind w:hanging="360" w:left="2880"/>
      </w:pPr>
      <w:rPr>
        <w:rFonts w:ascii="Symbol" w:hAnsi="Symbol"/>
      </w:rPr>
    </w:lvl>
    <w:lvl w:ilvl="4" w:tplc="36937946">
      <w:start w:val="1"/>
      <w:numFmt w:val="bullet"/>
      <w:suff w:val="tab"/>
      <w:lvlText w:val="·"/>
      <w:lvlJc w:val="left"/>
      <w:pPr>
        <w:ind w:hanging="360" w:left="3600"/>
      </w:pPr>
      <w:rPr>
        <w:rFonts w:ascii="Symbol" w:hAnsi="Symbol"/>
      </w:rPr>
    </w:lvl>
    <w:lvl w:ilvl="5" w:tplc="30DA1E0E">
      <w:start w:val="1"/>
      <w:numFmt w:val="bullet"/>
      <w:suff w:val="tab"/>
      <w:lvlText w:val="o"/>
      <w:lvlJc w:val="left"/>
      <w:pPr>
        <w:ind w:hanging="360" w:left="4320"/>
      </w:pPr>
      <w:rPr>
        <w:rFonts w:ascii="Symbol" w:hAnsi="Symbol"/>
      </w:rPr>
    </w:lvl>
    <w:lvl w:ilvl="6" w:tplc="3CE3B3DE">
      <w:start w:val="1"/>
      <w:numFmt w:val="bullet"/>
      <w:suff w:val="tab"/>
      <w:lvlText w:val="·"/>
      <w:lvlJc w:val="left"/>
      <w:pPr>
        <w:ind w:hanging="360" w:left="5040"/>
      </w:pPr>
      <w:rPr>
        <w:rFonts w:ascii="Symbol" w:hAnsi="Symbol"/>
      </w:rPr>
    </w:lvl>
    <w:lvl w:ilvl="7" w:tplc="70EB9593">
      <w:start w:val="1"/>
      <w:numFmt w:val="bullet"/>
      <w:suff w:val="tab"/>
      <w:lvlText w:val="o"/>
      <w:lvlJc w:val="left"/>
      <w:pPr>
        <w:ind w:hanging="360" w:left="5760"/>
      </w:pPr>
      <w:rPr>
        <w:rFonts w:ascii="Symbol" w:hAnsi="Symbol"/>
      </w:rPr>
    </w:lvl>
    <w:lvl w:ilvl="8" w:tplc="15653922">
      <w:start w:val="1"/>
      <w:numFmt w:val="bullet"/>
      <w:suff w:val="tab"/>
      <w:lvlText w:val="·"/>
      <w:lvlJc w:val="left"/>
      <w:pPr>
        <w:ind w:hanging="360" w:left="6480"/>
      </w:pPr>
      <w:rPr>
        <w:rFonts w:ascii="Symbol" w:hAnsi="Symbol"/>
      </w:rPr>
    </w:lvl>
  </w:abstractNum>
  <w:num w:numId="1">
    <w:abstractNumId w:val="0"/>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2023-12-21T20:17:23Z</dcterms:created>
  <cp:lastModifiedBy>Williams, David</cp:lastModifiedBy>
  <dcterms:modified xsi:type="dcterms:W3CDTF">2023-12-21T20:17:23Z</dcterms:modified>
  <cp:revision>1</cp:revision>
</cp:coreProperties>
</file>