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E146447" Type="http://schemas.openxmlformats.org/officeDocument/2006/relationships/officeDocument" Target="/word/document.xml" /><Relationship Id="coreR7E14644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740501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Exposure to Tobacco Advertising at Point of Sale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tobacco product advertising exposure at the point of sale, including signs, displays, shelving units, and functional items such as trashcans and ashtrays.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is to measure consumer exposure to tobacco product advertisements, which have been proven to increase the appeal of and demand for tobacco products.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Self-reported Exposure to and Use of Price Promotions for Tobacco Products [740401]</w:t>
              <w:br w:type="textWrapping"/>
              <w:t>Self-reported Exposure to Tobacco Product Sponsorships [740701]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Self-reported Tobacco Product Price Paid - Smokeless Tobacco [740804]</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Exposure to Tobacco Advertising at Point of Sale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exposure to tobacco advertising at point of sale; Tobacco product advertisements; tobacco; product advertisements; Advertisements; marketing; cigarette products; branding; Population Assessment of Tobacco and Health Study; PATH; e-cigarettes; retail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uses a combination of questions from the Wave 1 Adult and Wave 2 Youth Population Assessment of Tobacco and Health (PATH) Survey instruments. Collectively, the questions are used to measure consumer exposure to tobacco-product advertisements, which have been proven to increase the appeal of and demand for tobacco products.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questions from both the Youth and Adult Population Assessment of Tobacco and Health (PATH) questionnaires are included in this protocol, the Working Group (WG) believes questions 1-4 may be asked of all respondents. Question 5 should not be asked of youth respondents.</w:t>
            </w:r>
          </w:p>
          <w:p>
            <w:pPr>
              <w:spacing w:before="240" w:after="240"/>
              <w:ind w:left="0" w:right="0"/>
              <w:rPr>
                <w:rFonts w:ascii="Arial" w:hAnsi="Arial"/>
                <w:sz w:val="21"/>
              </w:rPr>
            </w:pPr>
            <w:r>
              <w:rPr>
                <w:rFonts w:ascii="Arial" w:hAnsi="Arial"/>
                <w:sz w:val="21"/>
              </w:rPr>
              <w:t xml:space="preserve">In order to answer question 5, investigators will need to determine whether or not the respondent is </w:t>
            </w:r>
            <w:r>
              <w:rPr>
                <w:rFonts w:ascii="Arial" w:hAnsi="Arial"/>
                <w:i w:val="1"/>
                <w:sz w:val="21"/>
              </w:rPr>
              <w:t>not</w:t>
            </w:r>
            <w:r>
              <w:rPr>
                <w:rFonts w:ascii="Arial" w:hAnsi="Arial"/>
                <w:sz w:val="21"/>
              </w:rPr>
              <w:t xml:space="preserve"> an experimental current user. To do so, the WG is recommending that investigators add the Smoking Status - Adult measure. If the respondent has ever smoked but has </w:t>
            </w:r>
            <w:r>
              <w:rPr>
                <w:rFonts w:ascii="Arial" w:hAnsi="Arial"/>
                <w:i w:val="1"/>
                <w:sz w:val="21"/>
              </w:rPr>
              <w:t>not</w:t>
            </w:r>
            <w:r>
              <w:rPr>
                <w:rFonts w:ascii="Arial" w:hAnsi="Arial"/>
                <w:sz w:val="21"/>
              </w:rPr>
              <w:t xml:space="preserve"> smoked 100 cigarettes in their lifetime and does not smoke every day or some days, then they are eligible to complete question 5.</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p>
            <w:pPr>
              <w:spacing w:before="240" w:after="240"/>
              <w:ind w:left="0" w:right="0"/>
              <w:rPr>
                <w:rFonts w:ascii="Arial" w:hAnsi="Arial"/>
                <w:sz w:val="21"/>
              </w:rPr>
            </w:pPr>
            <w:r>
              <w:rPr>
                <w:rFonts w:ascii="Arial" w:hAnsi="Arial"/>
                <w:sz w:val="21"/>
              </w:rPr>
              <w:t xml:space="preserve">For Question 3, the WG recommends sharing the below list of tobacco products with the respondent to aide in their response. </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5910" w:type="dxa"/>
                  <w:vMerge w:val="restart"/>
                  <w:vAlign w:val="top"/>
                </w:tcPr>
                <w:p>
                  <w:pPr>
                    <w:spacing w:before="240" w:after="240"/>
                    <w:ind w:left="0" w:right="0"/>
                    <w:rPr>
                      <w:rFonts w:ascii="Arial" w:hAnsi="Arial"/>
                      <w:sz w:val="21"/>
                    </w:rPr>
                  </w:pPr>
                  <w:r>
                    <w:rPr>
                      <w:rFonts w:ascii="Arial" w:hAnsi="Arial"/>
                      <w:sz w:val="21"/>
                    </w:rPr>
                    <w:t>TOBACCO PRODUCT LIST</w:t>
                  </w:r>
                </w:p>
              </w:tc>
              <w:tc>
                <w:tcPr>
                  <w:tcW w:w="5910" w:type="dxa"/>
                  <w:vAlign w:val="top"/>
                </w:tcPr>
                <w:p>
                  <w:pPr>
                    <w:spacing w:before="240" w:after="240"/>
                    <w:ind w:left="0" w:right="0"/>
                    <w:rPr>
                      <w:rFonts w:ascii="Arial" w:hAnsi="Arial"/>
                      <w:sz w:val="21"/>
                    </w:rPr>
                  </w:pPr>
                  <w:r>
                    <w:rPr>
                      <w:rFonts w:ascii="Arial" w:hAnsi="Arial"/>
                      <w:sz w:val="21"/>
                    </w:rPr>
                    <w:t>Cigarettes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E-Cigarettes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Cigars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Cigarillos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Filtered Cigars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Pipe</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Hookah</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Snus</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Smokeless Tobacco</w:t>
                  </w:r>
                </w:p>
              </w:tc>
            </w:tr>
            <w:tr>
              <w:tc>
                <w:tcPr>
                  <w:tcW w:w="5910" w:type="dxa"/>
                  <w:vMerge w:val="continue"/>
                  <w:vAlign w:val="top"/>
                </w:tcPr>
                <w:p>
                  <w:pPr>
                    <w:ind w:left="0" w:right="0"/>
                    <w:rPr>
                      <w:rFonts w:ascii="Arial" w:hAnsi="Arial"/>
                      <w:sz w:val="21"/>
                    </w:rPr>
                  </w:pPr>
                  <w:r>
                    <w:rPr>
                      <w:rFonts w:ascii="Arial" w:hAnsi="Arial"/>
                      <w:sz w:val="21"/>
                    </w:rPr>
                    <w:t xml:space="preserve"> </w:t>
                  </w:r>
                </w:p>
              </w:tc>
              <w:tc>
                <w:tcPr>
                  <w:tcW w:w="5910" w:type="dxa"/>
                  <w:vAlign w:val="top"/>
                </w:tcPr>
                <w:p>
                  <w:pPr>
                    <w:spacing w:before="240" w:after="240"/>
                    <w:ind w:left="0" w:right="0"/>
                    <w:rPr>
                      <w:rFonts w:ascii="Arial" w:hAnsi="Arial"/>
                      <w:sz w:val="21"/>
                    </w:rPr>
                  </w:pPr>
                  <w:r>
                    <w:rPr>
                      <w:rFonts w:ascii="Arial" w:hAnsi="Arial"/>
                      <w:sz w:val="21"/>
                    </w:rPr>
                    <w:t>Dissolvable Tobacco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In the past 30 days, how often did you visit a convenience store, small market, or liquor store?</w:t>
            </w:r>
          </w:p>
          <w:p>
            <w:pPr>
              <w:spacing w:before="240" w:after="240"/>
              <w:ind w:left="0" w:right="0"/>
              <w:rPr>
                <w:rFonts w:ascii="Arial" w:hAnsi="Arial"/>
                <w:sz w:val="21"/>
              </w:rPr>
            </w:pPr>
            <w:r>
              <w:rPr>
                <w:rFonts w:ascii="Arial" w:hAnsi="Arial"/>
                <w:sz w:val="21"/>
              </w:rPr>
              <w:t>[ ] 1 Never [End Questions]</w:t>
            </w:r>
          </w:p>
          <w:p>
            <w:pPr>
              <w:spacing w:before="240" w:after="240"/>
              <w:ind w:left="0" w:right="0"/>
              <w:rPr>
                <w:rFonts w:ascii="Arial" w:hAnsi="Arial"/>
                <w:sz w:val="21"/>
              </w:rPr>
            </w:pPr>
            <w:r>
              <w:rPr>
                <w:rFonts w:ascii="Arial" w:hAnsi="Arial"/>
                <w:sz w:val="21"/>
              </w:rPr>
              <w:t>[ ] 2 Once a month</w:t>
            </w:r>
          </w:p>
          <w:p>
            <w:pPr>
              <w:spacing w:before="240" w:after="240"/>
              <w:ind w:left="0" w:right="0"/>
              <w:rPr>
                <w:rFonts w:ascii="Arial" w:hAnsi="Arial"/>
                <w:sz w:val="21"/>
              </w:rPr>
            </w:pPr>
            <w:r>
              <w:rPr>
                <w:rFonts w:ascii="Arial" w:hAnsi="Arial"/>
                <w:sz w:val="21"/>
              </w:rPr>
              <w:t>[ ] 3 2-3 times per month</w:t>
            </w:r>
          </w:p>
          <w:p>
            <w:pPr>
              <w:spacing w:before="240" w:after="240"/>
              <w:ind w:left="0" w:right="0"/>
              <w:rPr>
                <w:rFonts w:ascii="Arial" w:hAnsi="Arial"/>
                <w:sz w:val="21"/>
              </w:rPr>
            </w:pPr>
            <w:r>
              <w:rPr>
                <w:rFonts w:ascii="Arial" w:hAnsi="Arial"/>
                <w:sz w:val="21"/>
              </w:rPr>
              <w:t>[ ] 4 Once a week</w:t>
            </w:r>
          </w:p>
          <w:p>
            <w:pPr>
              <w:spacing w:before="240" w:after="240"/>
              <w:ind w:left="0" w:right="0"/>
              <w:rPr>
                <w:rFonts w:ascii="Arial" w:hAnsi="Arial"/>
                <w:sz w:val="21"/>
              </w:rPr>
            </w:pPr>
            <w:r>
              <w:rPr>
                <w:rFonts w:ascii="Arial" w:hAnsi="Arial"/>
                <w:sz w:val="21"/>
              </w:rPr>
              <w:t>[ ] 5 2-3 times per week</w:t>
            </w:r>
          </w:p>
          <w:p>
            <w:pPr>
              <w:spacing w:before="240" w:after="240"/>
              <w:ind w:left="0" w:right="0"/>
              <w:rPr>
                <w:rFonts w:ascii="Arial" w:hAnsi="Arial"/>
                <w:sz w:val="21"/>
              </w:rPr>
            </w:pPr>
            <w:r>
              <w:rPr>
                <w:rFonts w:ascii="Arial" w:hAnsi="Arial"/>
                <w:sz w:val="21"/>
              </w:rPr>
              <w:t>[ ] 6 Almost every day</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 xml:space="preserve">2. In the past 30 days, when you visited convenience stores, small markets, or liquor stores, how often did you see ads for </w:t>
            </w:r>
            <w:r>
              <w:rPr>
                <w:rFonts w:ascii="Arial" w:hAnsi="Arial"/>
                <w:sz w:val="21"/>
                <w:u w:val="single"/>
              </w:rPr>
              <w:t>e-cigarettes</w:t>
            </w:r>
            <w:r>
              <w:rPr>
                <w:rFonts w:ascii="Arial" w:hAnsi="Arial"/>
                <w:sz w:val="21"/>
              </w:rPr>
              <w:t>?</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Sometimes</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have visited a store or market.</w:t>
            </w:r>
          </w:p>
          <w:p>
            <w:pPr>
              <w:spacing w:before="240" w:after="240"/>
              <w:ind w:left="0" w:right="0"/>
              <w:rPr>
                <w:rFonts w:ascii="Arial" w:hAnsi="Arial"/>
                <w:sz w:val="21"/>
              </w:rPr>
            </w:pPr>
            <w:r>
              <w:rPr>
                <w:rFonts w:ascii="Arial" w:hAnsi="Arial"/>
                <w:sz w:val="21"/>
              </w:rPr>
              <w:t>3. In the past 30 days, when you visited convenience stores, small markets, or liquor stores, how often did you see ads for</w:t>
            </w:r>
            <w:r>
              <w:rPr>
                <w:rFonts w:ascii="Arial" w:hAnsi="Arial"/>
                <w:sz w:val="21"/>
                <w:u w:val="single"/>
              </w:rPr>
              <w:t xml:space="preserve"> tobacco products</w:t>
            </w:r>
            <w:r>
              <w:rPr>
                <w:rFonts w:ascii="Arial" w:hAnsi="Arial"/>
                <w:sz w:val="21"/>
              </w:rPr>
              <w:t>?</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Sometimes</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Ask respondents who have visited a store or market.</w:t>
            </w:r>
          </w:p>
          <w:p>
            <w:pPr>
              <w:spacing w:before="240" w:after="240"/>
              <w:ind w:left="0" w:right="0"/>
              <w:rPr>
                <w:rFonts w:ascii="Arial" w:hAnsi="Arial"/>
                <w:sz w:val="21"/>
              </w:rPr>
            </w:pPr>
            <w:r>
              <w:rPr>
                <w:rFonts w:ascii="Arial" w:hAnsi="Arial"/>
                <w:sz w:val="21"/>
              </w:rPr>
              <w:t>4. The next questions are about things you may have seen inside or outside shops or stores where people can buy tobacco products. In the past 30 days, have you seen cigarette or other tobacco packages being displayed, including on shelves or on the counter?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5. Since you quit using tobacco, has there been a time when seeing a tobacco product display or other signs that tobacco is sold there, has given you an urge to buy tobacco?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Former tobacco users who are not experimental current users of tobacco</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2 Youth Extended Interview, 2014, Marketing, Advertising, and Promotion, Items R02_YX0182, R02_YX0183, R02_YX0178.</w:t>
            </w:r>
          </w:p>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2013, Industry, Advertising, and Promotion Section, Items AX0205, AX0212.</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Youth (12-17) and adults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(2014). Population Assessment of Tobacco and Health (PATH) Study: Attachment 2 English PATH Study Data Collection Instruments: 2a.7 - English Youth: Extended Interview, 2014-06-17. Bethesda, MD: National Institutes of Health. (</w:t>
            </w:r>
          </w:p>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