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D65FC6A" Type="http://schemas.openxmlformats.org/officeDocument/2006/relationships/officeDocument" Target="/word/document.xml" /><Relationship Id="coreR3D65FC6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Exposure to Tobacco Product Sponsorships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An interviewer-administered survey to assess exposure to recent events that were sponsored by the tobacco industry.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consumer exposure to tobacco industry sponsorships.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Exposure to Tobacco Product Sponsorships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International Tobacco Control (ITC) 4-Country Survey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International Tobacco Control; ITC; International Tobacco Control 4-Country Survey; ITC 4; tobacco product sponsorships; tobacco; product sponsorships; sponsorships; cigarette brands; tobacco companies; cigarette; sports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These questions from the International Tobacco Control (ITC) 4-Country Survey are directly related to exposure to tobacco product sponsorships.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(WG) recommends that the following deletions or additions be made to protocol items:</w:t>
            </w:r>
          </w:p>
          <w:p>
            <w:pPr>
              <w:numPr>
                <w:ilvl w:val="0"/>
                <w:numId w:val="1"/>
              </w:numPr>
              <w:spacing w:before="0" w:after="0"/>
              <w:ind w:hanging="360" w:left="720" w:right="0"/>
              <w:rPr>
                <w:rFonts w:ascii="Arial" w:hAnsi="Arial"/>
                <w:sz w:val="21"/>
              </w:rPr>
            </w:pPr>
            <w:r>
              <w:rPr>
                <w:rFonts w:ascii="Arial" w:hAnsi="Arial"/>
                <w:sz w:val="21"/>
              </w:rPr>
              <w:t>Remove "Thinking again" from the beginning of the question and replace "6 months" with "30 days."</w:t>
            </w:r>
          </w:p>
          <w:p>
            <w:pPr>
              <w:numPr>
                <w:ilvl w:val="0"/>
                <w:numId w:val="1"/>
              </w:numPr>
              <w:spacing w:before="0" w:after="0"/>
              <w:ind w:hanging="360" w:left="720" w:right="0"/>
              <w:rPr>
                <w:rFonts w:ascii="Arial" w:hAnsi="Arial"/>
                <w:sz w:val="21"/>
              </w:rPr>
            </w:pPr>
            <w:r>
              <w:rPr>
                <w:rFonts w:ascii="Arial" w:hAnsi="Arial"/>
                <w:sz w:val="21"/>
              </w:rPr>
              <w:t>Add "Thinking again" to the beginning of the question and replace "6 months" with "30 days."</w:t>
            </w:r>
          </w:p>
          <w:p>
            <w:pPr>
              <w:numPr>
                <w:ilvl w:val="0"/>
                <w:numId w:val="1"/>
              </w:numPr>
              <w:spacing w:before="0" w:after="0"/>
              <w:ind w:hanging="360" w:left="720" w:right="0"/>
              <w:rPr>
                <w:rFonts w:ascii="Arial" w:hAnsi="Arial"/>
                <w:sz w:val="21"/>
              </w:rPr>
            </w:pPr>
            <w:r>
              <w:rPr>
                <w:rFonts w:ascii="Arial" w:hAnsi="Arial"/>
                <w:sz w:val="21"/>
              </w:rPr>
              <w:t>Add "Thinking again" to the beginning of the question and replace "6 months" with "30 days."</w:t>
            </w:r>
          </w:p>
          <w:p>
            <w:pPr>
              <w:spacing w:before="240" w:after="240"/>
              <w:ind w:left="0" w:right="0"/>
              <w:rPr>
                <w:rFonts w:ascii="Arial" w:hAnsi="Arial"/>
                <w:sz w:val="21"/>
              </w:rPr>
            </w:pPr>
            <w:r>
              <w:rPr>
                <w:rFonts w:ascii="Arial" w:hAnsi="Arial"/>
                <w:sz w:val="21"/>
              </w:rPr>
              <w:t>The WG also recommends that the interviewer note to the respondent that sponsored events may not be restricted to tobacco company brand names (e.g., Kool, Newport, Winston, Camel) but may also be sponsored under corporate names (e.g., R. J. Reynolds, Philip Morris, Inc., Brown &amp; Williamson, Lorillard).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Ask all.</w:t>
            </w:r>
          </w:p>
          <w:p>
            <w:pPr>
              <w:spacing w:before="240" w:after="240"/>
              <w:ind w:left="0" w:right="0"/>
              <w:rPr>
                <w:rFonts w:ascii="Arial" w:hAnsi="Arial"/>
                <w:sz w:val="21"/>
              </w:rPr>
            </w:pPr>
            <w:r>
              <w:rPr>
                <w:rFonts w:ascii="Arial" w:hAnsi="Arial"/>
                <w:sz w:val="21"/>
              </w:rPr>
              <w:t>1. Thinking again about the last 6 months have you seen or heard about any … sport or sporting event that is sponsored by or connected with BRANDS of cigarettes?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2. Sport or sporting event that is sponsored by or connected with tobacco COMPANIES?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3. Music, theater, art, or fashion events that are sponsored by or connected with BRANDS of cigarettes?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Not applicable</w:t>
            </w:r>
          </w:p>
          <w:p>
            <w:pPr>
              <w:spacing w:before="240" w:after="240"/>
              <w:ind w:left="0" w:right="0"/>
              <w:rPr>
                <w:rFonts w:ascii="Arial" w:hAnsi="Arial"/>
                <w:sz w:val="21"/>
              </w:rPr>
            </w:pPr>
            <w:r>
              <w:rPr>
                <w:rFonts w:ascii="Arial" w:hAnsi="Arial"/>
                <w:sz w:val="21"/>
              </w:rPr>
              <w:t>[ ] 8 Refused</w:t>
            </w:r>
          </w:p>
          <w:p>
            <w:pPr>
              <w:spacing w:before="240" w:after="240"/>
              <w:ind w:left="0" w:right="0"/>
              <w:rPr>
                <w:rFonts w:ascii="Arial" w:hAnsi="Arial"/>
                <w:sz w:val="21"/>
              </w:rPr>
            </w:pPr>
            <w:r>
              <w:rPr>
                <w:rFonts w:ascii="Arial" w:hAnsi="Arial"/>
                <w:sz w:val="21"/>
              </w:rPr>
              <w:t>[ ] 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International Tobacco Control (ITC) 4-Country Survey is an international cohort study of tobacco use whose overall objective is to measure the psychosocial and behavioral impact of key national-level policies. This survey is being used in more than 20 countries.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International Tobacco Control (ITC) Policy Evaluation Project. (2011). International Tobacco Control 4-Country Survey. Items 136a-136c.</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Youth (12-17) and Adults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4217AB2A"/>
    <w:multiLevelType w:val="hybridMultilevel"/>
    <w:lvl w:ilvl="0" w:tplc="51597FB0">
      <w:start w:val="1"/>
      <w:numFmt w:val="decimal"/>
      <w:suff w:val="tab"/>
      <w:lvlText w:val="%1."/>
      <w:lvlJc w:val="left"/>
      <w:pPr>
        <w:ind w:hanging="360" w:left="720"/>
      </w:pPr>
      <w:rPr/>
    </w:lvl>
    <w:lvl w:ilvl="1" w:tplc="35722934">
      <w:start w:val="1"/>
      <w:numFmt w:val="decimal"/>
      <w:suff w:val="tab"/>
      <w:lvlText w:val="%2."/>
      <w:lvlJc w:val="left"/>
      <w:pPr>
        <w:ind w:hanging="360" w:left="1440"/>
      </w:pPr>
      <w:rPr/>
    </w:lvl>
    <w:lvl w:ilvl="2" w:tplc="2579565D">
      <w:start w:val="1"/>
      <w:numFmt w:val="decimal"/>
      <w:suff w:val="tab"/>
      <w:lvlText w:val="%3."/>
      <w:lvlJc w:val="left"/>
      <w:pPr>
        <w:ind w:hanging="360" w:left="2160"/>
      </w:pPr>
      <w:rPr/>
    </w:lvl>
    <w:lvl w:ilvl="3" w:tplc="6595EE2D">
      <w:start w:val="1"/>
      <w:numFmt w:val="decimal"/>
      <w:suff w:val="tab"/>
      <w:lvlText w:val="%4."/>
      <w:lvlJc w:val="left"/>
      <w:pPr>
        <w:ind w:hanging="360" w:left="2880"/>
      </w:pPr>
      <w:rPr/>
    </w:lvl>
    <w:lvl w:ilvl="4" w:tplc="3A3441A8">
      <w:start w:val="1"/>
      <w:numFmt w:val="decimal"/>
      <w:suff w:val="tab"/>
      <w:lvlText w:val="%5."/>
      <w:lvlJc w:val="left"/>
      <w:pPr>
        <w:ind w:hanging="360" w:left="3600"/>
      </w:pPr>
      <w:rPr/>
    </w:lvl>
    <w:lvl w:ilvl="5" w:tplc="4EF4BCE1">
      <w:start w:val="1"/>
      <w:numFmt w:val="decimal"/>
      <w:suff w:val="tab"/>
      <w:lvlText w:val="%6."/>
      <w:lvlJc w:val="left"/>
      <w:pPr>
        <w:ind w:hanging="360" w:left="4320"/>
      </w:pPr>
      <w:rPr/>
    </w:lvl>
    <w:lvl w:ilvl="6" w:tplc="1C1CA286">
      <w:start w:val="1"/>
      <w:numFmt w:val="decimal"/>
      <w:suff w:val="tab"/>
      <w:lvlText w:val="%7."/>
      <w:lvlJc w:val="left"/>
      <w:pPr>
        <w:ind w:hanging="360" w:left="5040"/>
      </w:pPr>
      <w:rPr/>
    </w:lvl>
    <w:lvl w:ilvl="7" w:tplc="3D74EF31">
      <w:start w:val="1"/>
      <w:numFmt w:val="decimal"/>
      <w:suff w:val="tab"/>
      <w:lvlText w:val="%8."/>
      <w:lvlJc w:val="left"/>
      <w:pPr>
        <w:ind w:hanging="360" w:left="5760"/>
      </w:pPr>
      <w:rPr/>
    </w:lvl>
    <w:lvl w:ilvl="8" w:tplc="65E53C2A">
      <w:start w:val="1"/>
      <w:numFmt w:val="decimal"/>
      <w:suff w:val="tab"/>
      <w:lvlText w:val="%9."/>
      <w:lvlJc w:val="left"/>
      <w:pPr>
        <w:ind w:hanging="36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