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6A698E2" Type="http://schemas.openxmlformats.org/officeDocument/2006/relationships/officeDocument" Target="/word/document.xml" /><Relationship Id="coreR6A698E2"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740803</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Vector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Self-reported Tobacco Product Price Paid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Instrument used to assess the price paid for cigarettes, cigars, e-cigarettes, and smokeless tobacco by consumers.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The purpose of this measure is to assess the price paid for cigarettes, cigars, e-cigarettes, and smokeless tobacco and how price affects consumer behavior.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 xml:space="preserve">Use of Tobacco Products [741401]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Cigarette Price [550101]</w:t>
              <w:br w:type="textWrapping"/>
              <w:t>Point of Sale Environment for Alcohol and Tobacco [550801]</w:t>
              <w:br w:type="textWrapping"/>
              <w:t>Self-reported Tobacco Product Purchase Location - Cigarettes [740901]</w:t>
              <w:br w:type="textWrapping"/>
              <w:t>Self-reported Tobacco Product Purchase Location - Cigars [740902]</w:t>
              <w:br w:type="textWrapping"/>
              <w:t>Self-reported Tobacco Product Purchase Location - Dissolvable Tobacco [740903]</w:t>
              <w:br w:type="textWrapping"/>
              <w:t>Self-reported Tobacco Product Purchase Location - E-Cigarettes [740904]</w:t>
              <w:br w:type="textWrapping"/>
              <w:t>Self-reported Tobacco Product Purchase Location - Hookah Tobacco [740905]</w:t>
              <w:br w:type="textWrapping"/>
              <w:t>Self-reported Tobacco Product Purchase Location - Pipe [740906]</w:t>
              <w:br w:type="textWrapping"/>
              <w:t xml:space="preserve">Self-reported Tobacco Product Purchase Location - Smokeless Tobacco [740907]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June 24,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Self-reported Tobacco Product Price Paid - E-Cigarettes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self-reported tobacco product price paid - e-cigarettes; Population Assessment of Tobacco and Health Study; PATH; Price; cigarettes; cigar; blunts; cigarillo; filtered cigars; traditional cigars; e-cigarettes; smokeless tobacco; snus; snus pouches; loose snus; moist snuff; dip; spit; Chewing Tobacco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This protocol includes questions from the Wave 1 Adult Population Assessment of Tobacco and Health (PATH) Survey instrument. These specific questions are used to measure the price paid for e-cigarettes.</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To answer these questions, investigators will need to determine whether or not the respondent has ever used an e-cigarette. To do so, the Working Group is recommending that investigators add the Use of Tobacco Products Toolkit measure.</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1. Do you own an e-cigarette?</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 [END QUESTIONNAIRE]</w:t>
            </w:r>
          </w:p>
          <w:p>
            <w:pPr>
              <w:spacing w:before="240" w:after="240"/>
              <w:ind w:left="0" w:right="0"/>
              <w:rPr>
                <w:rFonts w:ascii="Arial" w:hAnsi="Arial"/>
                <w:sz w:val="21"/>
              </w:rPr>
            </w:pPr>
            <w:r>
              <w:rPr>
                <w:rFonts w:ascii="Arial" w:hAnsi="Arial"/>
                <w:sz w:val="21"/>
              </w:rPr>
              <w:t>[ ] -8 DON’T KNOW [END QUESTIONNAIRE]</w:t>
            </w:r>
          </w:p>
          <w:p>
            <w:pPr>
              <w:spacing w:before="240" w:after="240"/>
              <w:ind w:left="0" w:right="0"/>
              <w:rPr>
                <w:rFonts w:ascii="Arial" w:hAnsi="Arial"/>
                <w:sz w:val="21"/>
              </w:rPr>
            </w:pPr>
            <w:r>
              <w:rPr>
                <w:rFonts w:ascii="Arial" w:hAnsi="Arial"/>
                <w:sz w:val="21"/>
              </w:rPr>
              <w:t>[ ] -7 REFUSED [END QUESTIONNAIRE]</w:t>
            </w:r>
          </w:p>
          <w:p>
            <w:pPr>
              <w:spacing w:before="240" w:after="240"/>
              <w:ind w:left="0" w:right="0"/>
              <w:rPr>
                <w:rFonts w:ascii="Arial" w:hAnsi="Arial"/>
                <w:sz w:val="21"/>
              </w:rPr>
            </w:pPr>
            <w:r>
              <w:rPr>
                <w:rFonts w:ascii="Arial" w:hAnsi="Arial"/>
                <w:sz w:val="21"/>
              </w:rPr>
              <w:t>ASK: Respondents who have used an e-cigarette</w:t>
            </w:r>
          </w:p>
          <w:p>
            <w:pPr>
              <w:spacing w:before="240" w:after="240"/>
              <w:ind w:left="0" w:right="0"/>
              <w:rPr>
                <w:rFonts w:ascii="Arial" w:hAnsi="Arial"/>
                <w:sz w:val="21"/>
              </w:rPr>
            </w:pPr>
            <w:r>
              <w:rPr>
                <w:rFonts w:ascii="Arial" w:hAnsi="Arial"/>
                <w:sz w:val="21"/>
              </w:rPr>
              <w:t>2. About how much did you pay for your e-cigarette? Do not include the cost of additional cartridges or accessories unless they were included in a starter kit.</w:t>
            </w:r>
          </w:p>
          <w:p>
            <w:pPr>
              <w:spacing w:before="240" w:after="240"/>
              <w:ind w:left="0" w:right="0"/>
              <w:rPr>
                <w:rFonts w:ascii="Arial" w:hAnsi="Arial"/>
                <w:sz w:val="21"/>
              </w:rPr>
            </w:pPr>
            <w:r>
              <w:rPr>
                <w:rFonts w:ascii="Arial" w:hAnsi="Arial"/>
                <w:sz w:val="21"/>
              </w:rPr>
              <w:t>[ ] 1 Less than $10</w:t>
            </w:r>
          </w:p>
          <w:p>
            <w:pPr>
              <w:spacing w:before="240" w:after="240"/>
              <w:ind w:left="0" w:right="0"/>
              <w:rPr>
                <w:rFonts w:ascii="Arial" w:hAnsi="Arial"/>
                <w:sz w:val="21"/>
              </w:rPr>
            </w:pPr>
            <w:r>
              <w:rPr>
                <w:rFonts w:ascii="Arial" w:hAnsi="Arial"/>
                <w:sz w:val="21"/>
              </w:rPr>
              <w:t>[ ] 2 $10 to $20</w:t>
            </w:r>
          </w:p>
          <w:p>
            <w:pPr>
              <w:spacing w:before="240" w:after="240"/>
              <w:ind w:left="0" w:right="0"/>
              <w:rPr>
                <w:rFonts w:ascii="Arial" w:hAnsi="Arial"/>
                <w:sz w:val="21"/>
              </w:rPr>
            </w:pPr>
            <w:r>
              <w:rPr>
                <w:rFonts w:ascii="Arial" w:hAnsi="Arial"/>
                <w:sz w:val="21"/>
              </w:rPr>
              <w:t>3 [ ] $21 to $100</w:t>
            </w:r>
          </w:p>
          <w:p>
            <w:pPr>
              <w:spacing w:before="240" w:after="240"/>
              <w:ind w:left="0" w:right="0"/>
              <w:rPr>
                <w:rFonts w:ascii="Arial" w:hAnsi="Arial"/>
                <w:sz w:val="21"/>
              </w:rPr>
            </w:pPr>
            <w:r>
              <w:rPr>
                <w:rFonts w:ascii="Arial" w:hAnsi="Arial"/>
                <w:sz w:val="21"/>
              </w:rPr>
              <w:t>4 [ ] More than $100</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Respondents who own an e-cigarette (Q1 = 1)</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Population Assessment of Tobacco and Health (PATH) Study is a nationally representative, in-person longitudinal cohort study of nonusers and users of tobacco products and those at risk for tobacco use across the United States. Respondents 12 years old and up are asked questions on tobacco use, attitudes, and health, and biospecimens (buccal cell, urine, and blood) are collected from adults. The PATH Study was implemented to provide an evidence base for assessing and monitoring the Food and Drug Administration’s regulatory actions in meeting its mandate under the Family Smoking Prevention and Tobacco Control Act. Regulatory domains include product standards, new and modified risk products, health warnings, and health education campaigns.</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National Institutes of Health (NIH) and the U.S. Food and Drug Administration (FDA), Population Assessment of Tobacco and Health (PATH) Study, PATH Wave 1 Adult Extended Interview 7.5, 2013, Items AE9004, AE1090.</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 xml:space="preserve">Other languages available at source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Adult (18+ years of age)</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National Institutes of Health, U.S. Food and Drug Administration. (2013). Population Assessment of Tobacco and Health (PATH) Study: Final Adult Baseline (Wave 1) Questionnaire. Bethesda, MD: National Institutes of Health.</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2023-12-21T20:17:23Z</dcterms:created>
  <cp:lastModifiedBy>Williams, David</cp:lastModifiedBy>
  <dcterms:modified xsi:type="dcterms:W3CDTF">2023-12-21T20:17:23Z</dcterms:modified>
  <cp:revision>1</cp:revision>
</cp:coreProperties>
</file>