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426596B" Type="http://schemas.openxmlformats.org/officeDocument/2006/relationships/officeDocument" Target="/word/document.xml" /><Relationship Id="coreR426596B"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Measure</w:t>
            </w:r>
          </w:p>
        </w:tc>
      </w:tr>
      <w:tr>
        <w:tc>
          <w:tcPr>
            <w:tcW w:w="1000" w:type="pct"/>
            <w:vAlign w:val="center"/>
          </w:tcPr>
          <w:p>
            <w:pPr>
              <w:spacing w:before="240" w:after="240"/>
              <w:ind w:left="0" w:right="0"/>
              <w:rPr>
                <w:rFonts w:ascii="Arial" w:hAnsi="Arial"/>
                <w:sz w:val="21"/>
              </w:rPr>
            </w:pPr>
            <w:r>
              <w:rPr>
                <w:rFonts w:ascii="Arial" w:hAnsi="Arial"/>
                <w:b w:val="1"/>
                <w:sz w:val="21"/>
              </w:rPr>
              <w:t>Protocol Id</w:t>
            </w:r>
          </w:p>
        </w:tc>
        <w:tc>
          <w:tcPr>
            <w:tcW w:w="0" w:type="auto"/>
            <w:vAlign w:val="center"/>
          </w:tcPr>
          <w:p>
            <w:pPr>
              <w:spacing w:before="240" w:after="240"/>
              <w:ind w:left="0" w:right="0"/>
              <w:rPr>
                <w:rFonts w:ascii="Arial" w:hAnsi="Arial"/>
                <w:sz w:val="21"/>
              </w:rPr>
            </w:pPr>
            <w:r>
              <w:rPr>
                <w:rFonts w:ascii="Arial" w:hAnsi="Arial"/>
                <w:sz w:val="21"/>
              </w:rPr>
              <w:t>740902</w:t>
            </w:r>
          </w:p>
        </w:tc>
      </w:tr>
      <w:tr>
        <w:tc>
          <w:tcPr>
            <w:tcW w:w="1000" w:type="pct"/>
            <w:vAlign w:val="center"/>
          </w:tcPr>
          <w:p>
            <w:pPr>
              <w:spacing w:before="240" w:after="240"/>
              <w:ind w:left="0" w:right="0"/>
              <w:rPr>
                <w:rFonts w:ascii="Arial" w:hAnsi="Arial"/>
                <w:sz w:val="21"/>
              </w:rPr>
            </w:pPr>
            <w:r>
              <w:rPr>
                <w:rFonts w:ascii="Arial" w:hAnsi="Arial"/>
                <w:b w:val="1"/>
                <w:sz w:val="21"/>
              </w:rPr>
              <w:t>Domain:</w:t>
            </w:r>
          </w:p>
        </w:tc>
        <w:tc>
          <w:tcPr>
            <w:tcW w:w="0" w:type="auto"/>
            <w:vAlign w:val="center"/>
          </w:tcPr>
          <w:p>
            <w:pPr>
              <w:ind w:left="0" w:right="0"/>
            </w:pPr>
            <w:r>
              <w:rPr>
                <w:rFonts w:ascii="Arial" w:hAnsi="Arial"/>
                <w:sz w:val="21"/>
              </w:rPr>
              <w:t xml:space="preserve">Tobacco Regulatory Research: Vector </w:t>
            </w:r>
          </w:p>
        </w:tc>
      </w:tr>
      <w:tr>
        <w:tc>
          <w:tcPr>
            <w:tcW w:w="1000" w:type="pct"/>
            <w:vAlign w:val="center"/>
          </w:tcPr>
          <w:p>
            <w:pPr>
              <w:spacing w:before="240" w:after="240"/>
              <w:ind w:left="0" w:right="0"/>
              <w:rPr>
                <w:rFonts w:ascii="Arial" w:hAnsi="Arial"/>
                <w:sz w:val="21"/>
              </w:rPr>
            </w:pPr>
            <w:r>
              <w:rPr>
                <w:rFonts w:ascii="Arial" w:hAnsi="Arial"/>
                <w:b w:val="1"/>
                <w:sz w:val="21"/>
              </w:rPr>
              <w:t>Measure:</w:t>
            </w:r>
          </w:p>
        </w:tc>
        <w:tc>
          <w:tcPr>
            <w:tcW w:w="0" w:type="auto"/>
            <w:vAlign w:val="center"/>
          </w:tcPr>
          <w:p>
            <w:pPr>
              <w:ind w:left="0" w:right="0"/>
            </w:pPr>
            <w:r>
              <w:rPr>
                <w:rFonts w:ascii="Arial" w:hAnsi="Arial"/>
                <w:sz w:val="21"/>
              </w:rPr>
              <w:t xml:space="preserve">Self-reported Tobacco Product Purchase Location </w:t>
            </w:r>
          </w:p>
        </w:tc>
      </w:tr>
      <w:tr>
        <w:tc>
          <w:tcPr>
            <w:tcW w:w="1000" w:type="pct"/>
            <w:vAlign w:val="center"/>
          </w:tcPr>
          <w:p>
            <w:pPr>
              <w:spacing w:before="240" w:after="240"/>
              <w:ind w:left="0" w:right="0"/>
              <w:rPr>
                <w:rFonts w:ascii="Arial" w:hAnsi="Arial"/>
                <w:sz w:val="21"/>
              </w:rPr>
            </w:pPr>
            <w:r>
              <w:rPr>
                <w:rFonts w:ascii="Arial" w:hAnsi="Arial"/>
                <w:b w:val="1"/>
                <w:sz w:val="21"/>
              </w:rPr>
              <w:t>Definition:</w:t>
            </w:r>
          </w:p>
        </w:tc>
        <w:tc>
          <w:tcPr>
            <w:tcW w:w="0" w:type="auto"/>
            <w:vAlign w:val="center"/>
          </w:tcPr>
          <w:p>
            <w:pPr>
              <w:ind w:left="0" w:right="0"/>
            </w:pPr>
            <w:r>
              <w:rPr>
                <w:rFonts w:ascii="Arial" w:hAnsi="Arial"/>
                <w:sz w:val="21"/>
              </w:rPr>
              <w:t xml:space="preserve">Instrument used to assess the purchase location of cigarettes, cigars, dissolvable tobacco, e-cigarettes, hookah tobacco, pipe, and smokeless tobacco by consumers. </w:t>
            </w:r>
          </w:p>
        </w:tc>
      </w:tr>
      <w:tr>
        <w:tc>
          <w:tcPr>
            <w:tcW w:w="1000" w:type="pct"/>
            <w:vAlign w:val="center"/>
          </w:tcPr>
          <w:p>
            <w:pPr>
              <w:spacing w:before="240" w:after="240"/>
              <w:ind w:left="0" w:right="0"/>
              <w:rPr>
                <w:rFonts w:ascii="Arial" w:hAnsi="Arial"/>
                <w:sz w:val="21"/>
              </w:rPr>
            </w:pPr>
            <w:r>
              <w:rPr>
                <w:rFonts w:ascii="Arial" w:hAnsi="Arial"/>
                <w:b w:val="1"/>
                <w:sz w:val="21"/>
              </w:rPr>
              <w:t>Purpose:</w:t>
            </w:r>
          </w:p>
        </w:tc>
        <w:tc>
          <w:tcPr>
            <w:tcW w:w="0" w:type="auto"/>
            <w:vAlign w:val="center"/>
          </w:tcPr>
          <w:p>
            <w:pPr>
              <w:ind w:left="0" w:right="0"/>
            </w:pPr>
            <w:r>
              <w:rPr>
                <w:rFonts w:ascii="Arial" w:hAnsi="Arial"/>
                <w:sz w:val="21"/>
              </w:rPr>
              <w:t xml:space="preserve">The purpose of this measure is to assess the purchase location of cigarettes, cigars, dissolvable tobacco, e-cigarettes, hookah tobacco, pipe, and smokeless tobacco, its correlation to the final price paid by the consumer, and association with tobacco use. </w:t>
            </w:r>
          </w:p>
        </w:tc>
      </w:tr>
      <w:tr>
        <w:tc>
          <w:tcPr>
            <w:tcW w:w="1000" w:type="pct"/>
            <w:vAlign w:val="center"/>
          </w:tcPr>
          <w:p>
            <w:pPr>
              <w:spacing w:before="240" w:after="240"/>
              <w:ind w:left="0" w:right="0"/>
              <w:rPr>
                <w:rFonts w:ascii="Arial" w:hAnsi="Arial"/>
                <w:sz w:val="21"/>
              </w:rPr>
            </w:pPr>
            <w:r>
              <w:rPr>
                <w:rFonts w:ascii="Arial" w:hAnsi="Arial"/>
                <w:b w:val="1"/>
                <w:sz w:val="21"/>
              </w:rPr>
              <w:t>Essential PhenX Protocols:</w:t>
            </w:r>
          </w:p>
        </w:tc>
        <w:tc>
          <w:tcPr>
            <w:tcW w:w="0" w:type="auto"/>
            <w:vAlign w:val="center"/>
          </w:tcPr>
          <w:p>
            <w:pPr>
              <w:ind w:left="0" w:right="0"/>
            </w:pPr>
            <w:r>
              <w:rPr>
                <w:rFonts w:ascii="Arial" w:hAnsi="Arial"/>
                <w:sz w:val="21"/>
              </w:rPr>
              <w:t xml:space="preserve">Use of Tobacco Products [741401] </w:t>
            </w:r>
          </w:p>
        </w:tc>
      </w:tr>
      <w:tr>
        <w:tc>
          <w:tcPr>
            <w:tcW w:w="1000" w:type="pct"/>
            <w:vAlign w:val="center"/>
          </w:tcPr>
          <w:p>
            <w:pPr>
              <w:spacing w:before="240" w:after="240"/>
              <w:ind w:left="0" w:right="0"/>
              <w:rPr>
                <w:rFonts w:ascii="Arial" w:hAnsi="Arial"/>
                <w:sz w:val="21"/>
              </w:rPr>
            </w:pPr>
            <w:r>
              <w:rPr>
                <w:rFonts w:ascii="Arial" w:hAnsi="Arial"/>
                <w:b w:val="1"/>
                <w:sz w:val="21"/>
              </w:rPr>
              <w:t>Related PhenX Protocols:</w:t>
            </w:r>
          </w:p>
        </w:tc>
        <w:tc>
          <w:tcPr>
            <w:tcW w:w="0" w:type="auto"/>
            <w:vAlign w:val="center"/>
          </w:tcPr>
          <w:p>
            <w:pPr>
              <w:ind w:left="0" w:right="0"/>
            </w:pPr>
            <w:r>
              <w:rPr>
                <w:rFonts w:ascii="Arial" w:hAnsi="Arial"/>
                <w:sz w:val="21"/>
              </w:rPr>
              <w:t>Cigarette Price [550101]</w:t>
              <w:br w:type="textWrapping"/>
              <w:t>Self-reported Tobacco Product Price Paid - Cigarettes [740801]</w:t>
              <w:br w:type="textWrapping"/>
              <w:t>Self-reported Tobacco Product Price Paid - Cigars [740802]</w:t>
              <w:br w:type="textWrapping"/>
              <w:t>Self-reported Tobacco Product Price Paid - E-Cigarettes [740803]</w:t>
              <w:br w:type="textWrapping"/>
              <w:t xml:space="preserve">Self-reported Tobacco Product Price Paid - Smokeless Tobacco [740804] </w:t>
            </w:r>
          </w:p>
        </w:tc>
      </w:tr>
      <w:tr>
        <w:tc>
          <w:tcPr>
            <w:tcW w:w="1000" w:type="pct"/>
            <w:vAlign w:val="center"/>
          </w:tcPr>
          <w:p>
            <w:pPr>
              <w:spacing w:before="240" w:after="240"/>
              <w:ind w:left="0" w:right="0"/>
              <w:rPr>
                <w:rFonts w:ascii="Arial" w:hAnsi="Arial"/>
                <w:sz w:val="21"/>
              </w:rPr>
            </w:pPr>
            <w:r>
              <w:rPr>
                <w:rFonts w:ascii="Arial" w:hAnsi="Arial"/>
                <w:b w:val="1"/>
                <w:sz w:val="21"/>
              </w:rPr>
              <w:t>Measure Release Date:</w:t>
            </w:r>
          </w:p>
        </w:tc>
        <w:tc>
          <w:tcPr>
            <w:tcW w:w="0" w:type="auto"/>
            <w:vAlign w:val="center"/>
          </w:tcPr>
          <w:p>
            <w:pPr>
              <w:ind w:left="0" w:right="0"/>
            </w:pPr>
            <w:r>
              <w:rPr>
                <w:rFonts w:ascii="Arial" w:hAnsi="Arial"/>
                <w:sz w:val="21"/>
              </w:rPr>
              <w:t xml:space="preserve">June 24, 2015 </w:t>
            </w:r>
          </w:p>
        </w:tc>
      </w:tr>
    </w:tbl>
    <w:p>
      <w:pPr>
        <w:spacing w:before="0" w:after="0"/>
        <w:ind w:firstLine="0" w:left="0" w:right="0"/>
      </w:pPr>
      <w:r>
        <w:br w:type="textWrapping"/>
      </w:r>
    </w:p>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Protocol</w:t>
            </w:r>
          </w:p>
        </w:tc>
      </w:tr>
      <w:tr>
        <w:tc>
          <w:tcPr>
            <w:tcW w:w="1000" w:type="pct"/>
            <w:vAlign w:val="center"/>
          </w:tcPr>
          <w:p>
            <w:pPr>
              <w:spacing w:before="240" w:after="240"/>
              <w:ind w:left="0" w:right="0"/>
              <w:rPr>
                <w:rFonts w:ascii="Arial" w:hAnsi="Arial"/>
                <w:sz w:val="21"/>
              </w:rPr>
            </w:pPr>
            <w:r>
              <w:rPr>
                <w:rFonts w:ascii="Arial" w:hAnsi="Arial"/>
                <w:b w:val="1"/>
                <w:sz w:val="21"/>
              </w:rPr>
              <w:t>Protocol Release Date:</w:t>
            </w:r>
          </w:p>
        </w:tc>
        <w:tc>
          <w:tcPr>
            <w:tcW w:w="0" w:type="auto"/>
            <w:vAlign w:val="center"/>
          </w:tcPr>
          <w:p>
            <w:pPr>
              <w:ind w:left="0" w:right="0"/>
            </w:pPr>
            <w:r>
              <w:rPr>
                <w:rFonts w:ascii="Arial" w:hAnsi="Arial"/>
                <w:sz w:val="21"/>
              </w:rPr>
              <w:t xml:space="preserve">June 24, 2015 </w:t>
            </w:r>
          </w:p>
        </w:tc>
      </w:tr>
      <w:tr>
        <w:tc>
          <w:tcPr>
            <w:tcW w:w="1000" w:type="pct"/>
            <w:vAlign w:val="center"/>
          </w:tcPr>
          <w:p>
            <w:pPr>
              <w:spacing w:before="240" w:after="240"/>
              <w:ind w:left="0" w:right="0"/>
              <w:rPr>
                <w:rFonts w:ascii="Arial" w:hAnsi="Arial"/>
                <w:sz w:val="21"/>
              </w:rPr>
            </w:pPr>
            <w:r>
              <w:rPr>
                <w:rFonts w:ascii="Arial" w:hAnsi="Arial"/>
                <w:b w:val="1"/>
                <w:sz w:val="21"/>
              </w:rPr>
              <w:t>Protocol Review Date:</w:t>
            </w:r>
          </w:p>
        </w:tc>
        <w:tc>
          <w:tcPr>
            <w:tcW w:w="0" w:type="auto"/>
            <w:vAlign w:val="center"/>
          </w:tcPr>
          <w:p>
            <w:pPr>
              <w:ind w:left="0" w:right="0"/>
            </w:pPr>
            <w:r>
              <w:rPr>
                <w:rFonts w:ascii="Arial" w:hAnsi="Arial"/>
                <w:sz w:val="21"/>
              </w:rPr>
              <w:t xml:space="preserve">June 24, 2015 </w:t>
            </w:r>
          </w:p>
        </w:tc>
      </w:tr>
      <w:tr>
        <w:tc>
          <w:tcPr>
            <w:tcW w:w="1000" w:type="pct"/>
            <w:vAlign w:val="center"/>
          </w:tcPr>
          <w:p>
            <w:pPr>
              <w:spacing w:before="240" w:after="240"/>
              <w:ind w:left="0" w:right="0"/>
              <w:rPr>
                <w:rFonts w:ascii="Arial" w:hAnsi="Arial"/>
                <w:sz w:val="21"/>
              </w:rPr>
            </w:pPr>
            <w:r>
              <w:rPr>
                <w:rFonts w:ascii="Arial" w:hAnsi="Arial"/>
                <w:b w:val="1"/>
                <w:sz w:val="21"/>
              </w:rPr>
              <w:t>PhenX Protocol Name:</w:t>
            </w:r>
          </w:p>
        </w:tc>
        <w:tc>
          <w:tcPr>
            <w:tcW w:w="0" w:type="auto"/>
            <w:vAlign w:val="center"/>
          </w:tcPr>
          <w:p>
            <w:pPr>
              <w:ind w:left="0" w:right="0"/>
            </w:pPr>
            <w:r>
              <w:rPr>
                <w:rFonts w:ascii="Arial" w:hAnsi="Arial"/>
                <w:sz w:val="21"/>
              </w:rPr>
              <w:t xml:space="preserve">Self-reported Tobacco Product Purchase Location - Cigars </w:t>
            </w:r>
          </w:p>
        </w:tc>
      </w:tr>
      <w:tr>
        <w:tc>
          <w:tcPr>
            <w:tcW w:w="1000" w:type="pct"/>
            <w:vAlign w:val="center"/>
          </w:tcPr>
          <w:p>
            <w:pPr>
              <w:spacing w:before="240" w:after="240"/>
              <w:ind w:left="0" w:right="0"/>
              <w:rPr>
                <w:rFonts w:ascii="Arial" w:hAnsi="Arial"/>
                <w:sz w:val="21"/>
              </w:rPr>
            </w:pPr>
            <w:r>
              <w:rPr>
                <w:rFonts w:ascii="Arial" w:hAnsi="Arial"/>
                <w:b w:val="1"/>
                <w:sz w:val="21"/>
              </w:rPr>
              <w:t>Keywords:</w:t>
            </w:r>
          </w:p>
        </w:tc>
        <w:tc>
          <w:tcPr>
            <w:tcW w:w="0" w:type="auto"/>
            <w:vAlign w:val="center"/>
          </w:tcPr>
          <w:p>
            <w:pPr>
              <w:ind w:left="0" w:right="0"/>
            </w:pPr>
            <w:r>
              <w:rPr>
                <w:rFonts w:ascii="Arial" w:hAnsi="Arial"/>
                <w:sz w:val="21"/>
              </w:rPr>
              <w:t xml:space="preserve">self-reported tobacco product purchase location - cigars; Population Assessment of Tobacco and Health Study; PATH; purchase location; cigarette; bar; convenience store; gas station; supermarket; grocery store; drug store; warehouse club; smoke shop; tobacco specialty store; tobacco outlet store; duty-free shop; military commissary; pub; restaurant; casino; swap meet; flea market; liquor store; blunts; cigarillo; Cigars; filtered cigars; traditional cigars; e-cigarettes; e-cigarette bar; hookah tobacco; shisha tobacco; pipe tobacco; smokeless tobacco; snus bar </w:t>
            </w:r>
          </w:p>
        </w:tc>
      </w:tr>
      <w:tr>
        <w:tc>
          <w:tcPr>
            <w:tcW w:w="1000" w:type="pct"/>
            <w:vAlign w:val="center"/>
          </w:tcPr>
          <w:p>
            <w:pPr>
              <w:spacing w:before="240" w:after="240"/>
              <w:ind w:left="0" w:right="0"/>
              <w:rPr>
                <w:rFonts w:ascii="Arial" w:hAnsi="Arial"/>
                <w:sz w:val="21"/>
              </w:rPr>
            </w:pPr>
            <w:r>
              <w:rPr>
                <w:rFonts w:ascii="Arial" w:hAnsi="Arial"/>
                <w:b w:val="1"/>
                <w:sz w:val="21"/>
              </w:rPr>
              <w:t>Description:</w:t>
            </w:r>
          </w:p>
        </w:tc>
        <w:tc>
          <w:tcPr>
            <w:tcW w:w="0" w:type="auto"/>
            <w:vAlign w:val="center"/>
          </w:tcPr>
          <w:p>
            <w:pPr>
              <w:spacing w:before="240" w:after="240"/>
              <w:ind w:left="0" w:right="0"/>
              <w:rPr>
                <w:rFonts w:ascii="Arial" w:hAnsi="Arial"/>
                <w:sz w:val="21"/>
              </w:rPr>
            </w:pPr>
            <w:r>
              <w:rPr>
                <w:rFonts w:ascii="Arial" w:hAnsi="Arial"/>
                <w:sz w:val="21"/>
              </w:rPr>
              <w:t>This protocol includes questions from the Wave 1 Adult Population Assessment of Tobacco and Health (PATH) Survey instrument. These specific questions are used to measure the purchase location of cigars.</w:t>
            </w:r>
          </w:p>
        </w:tc>
      </w:tr>
      <w:tr>
        <w:tc>
          <w:tcPr>
            <w:tcW w:w="1000" w:type="pct"/>
            <w:vAlign w:val="center"/>
          </w:tcPr>
          <w:p>
            <w:pPr>
              <w:spacing w:before="240" w:after="240"/>
              <w:ind w:left="0" w:right="0"/>
              <w:rPr>
                <w:rFonts w:ascii="Arial" w:hAnsi="Arial"/>
                <w:sz w:val="21"/>
              </w:rPr>
            </w:pPr>
            <w:r>
              <w:rPr>
                <w:rFonts w:ascii="Arial" w:hAnsi="Arial"/>
                <w:b w:val="1"/>
                <w:sz w:val="21"/>
              </w:rPr>
              <w:t>Specific Instructions:</w:t>
            </w:r>
          </w:p>
        </w:tc>
        <w:tc>
          <w:tcPr>
            <w:tcW w:w="0" w:type="auto"/>
            <w:vAlign w:val="center"/>
          </w:tcPr>
          <w:p>
            <w:pPr>
              <w:spacing w:before="240" w:after="240"/>
              <w:ind w:left="0" w:right="0"/>
              <w:rPr>
                <w:rFonts w:ascii="Arial" w:hAnsi="Arial"/>
                <w:sz w:val="21"/>
              </w:rPr>
            </w:pPr>
            <w:r>
              <w:rPr>
                <w:rFonts w:ascii="Arial" w:hAnsi="Arial"/>
                <w:sz w:val="21"/>
              </w:rPr>
              <w:t xml:space="preserve">To answer these questions, investigators will need to determine whether or not the respondent is a current cigar or blunt-only cigar smoker. To do so, the Working Group is recommending that investigators add the Use of Tobacco Products Toolkit measure. </w:t>
            </w:r>
          </w:p>
          <w:p>
            <w:pPr>
              <w:spacing w:before="240" w:after="240"/>
              <w:ind w:left="0" w:right="0"/>
              <w:rPr>
                <w:rFonts w:ascii="Arial" w:hAnsi="Arial"/>
                <w:sz w:val="21"/>
              </w:rPr>
            </w:pPr>
            <w:r>
              <w:rPr>
                <w:rFonts w:ascii="Arial" w:hAnsi="Arial"/>
                <w:sz w:val="21"/>
              </w:rPr>
              <w:t xml:space="preserve">[CIGARFILL] = traditional cigars, cigarillos, and filtered cigars. </w:t>
            </w:r>
          </w:p>
          <w:p>
            <w:pPr>
              <w:spacing w:before="240" w:after="240"/>
              <w:ind w:left="0" w:right="0"/>
              <w:rPr>
                <w:rFonts w:ascii="Arial" w:hAnsi="Arial"/>
                <w:sz w:val="21"/>
              </w:rPr>
            </w:pPr>
            <w:r>
              <w:rPr>
                <w:rFonts w:ascii="Arial" w:hAnsi="Arial"/>
                <w:i w:val="1"/>
                <w:sz w:val="21"/>
              </w:rPr>
              <w:t xml:space="preserve">Traditional cigars </w:t>
            </w:r>
            <w:r>
              <w:rPr>
                <w:rFonts w:ascii="Arial" w:hAnsi="Arial"/>
                <w:sz w:val="21"/>
              </w:rPr>
              <w:t>contain tightly rolled tobacco that is wrapped in a tobacco leaf. Some common brands of cigars include Macanudo</w:t>
            </w:r>
            <w:r>
              <w:rPr>
                <w:rFonts w:ascii="Arial" w:hAnsi="Arial"/>
                <w:sz w:val="21"/>
                <w:vertAlign w:val="superscript"/>
              </w:rPr>
              <w:t>®</w:t>
            </w:r>
            <w:r>
              <w:rPr>
                <w:rFonts w:ascii="Arial" w:hAnsi="Arial"/>
                <w:sz w:val="21"/>
              </w:rPr>
              <w:t>, Romeo y Julieta</w:t>
            </w:r>
            <w:r>
              <w:rPr>
                <w:rFonts w:ascii="Arial" w:hAnsi="Arial"/>
                <w:sz w:val="21"/>
                <w:vertAlign w:val="superscript"/>
              </w:rPr>
              <w:t>®</w:t>
            </w:r>
            <w:r>
              <w:rPr>
                <w:rFonts w:ascii="Arial" w:hAnsi="Arial"/>
                <w:sz w:val="21"/>
              </w:rPr>
              <w:t>, and Arturo Fuente</w:t>
            </w:r>
            <w:r>
              <w:rPr>
                <w:rFonts w:ascii="Arial" w:hAnsi="Arial"/>
                <w:sz w:val="21"/>
                <w:vertAlign w:val="superscript"/>
              </w:rPr>
              <w:t>®</w:t>
            </w:r>
            <w:r>
              <w:rPr>
                <w:rFonts w:ascii="Arial" w:hAnsi="Arial"/>
                <w:sz w:val="21"/>
              </w:rPr>
              <w:t xml:space="preserve">, but there are many others. </w:t>
            </w:r>
            <w:r>
              <w:rPr>
                <w:rFonts w:ascii="Arial" w:hAnsi="Arial"/>
                <w:i w:val="1"/>
                <w:sz w:val="21"/>
              </w:rPr>
              <w:t xml:space="preserve">Cigarillos </w:t>
            </w:r>
            <w:r>
              <w:rPr>
                <w:rFonts w:ascii="Arial" w:hAnsi="Arial"/>
                <w:sz w:val="21"/>
              </w:rPr>
              <w:t xml:space="preserve">and </w:t>
            </w:r>
            <w:r>
              <w:rPr>
                <w:rFonts w:ascii="Arial" w:hAnsi="Arial"/>
                <w:i w:val="1"/>
                <w:sz w:val="21"/>
              </w:rPr>
              <w:t>filtered cigars</w:t>
            </w:r>
            <w:r>
              <w:rPr>
                <w:rFonts w:ascii="Arial" w:hAnsi="Arial"/>
                <w:sz w:val="21"/>
              </w:rPr>
              <w:t xml:space="preserve"> are smaller than traditional cigars. They are usually brown. Some are the same size as cigarettes, and some come with plastic or wood tips. Some common brands are Black &amp; Mild</w:t>
            </w:r>
            <w:r>
              <w:rPr>
                <w:rFonts w:ascii="Arial" w:hAnsi="Arial"/>
                <w:sz w:val="21"/>
                <w:vertAlign w:val="superscript"/>
              </w:rPr>
              <w:t>®</w:t>
            </w:r>
            <w:r>
              <w:rPr>
                <w:rFonts w:ascii="Arial" w:hAnsi="Arial"/>
                <w:sz w:val="21"/>
              </w:rPr>
              <w:t>, Swisher Sweets</w:t>
            </w:r>
            <w:r>
              <w:rPr>
                <w:rFonts w:ascii="Arial" w:hAnsi="Arial"/>
                <w:sz w:val="21"/>
                <w:vertAlign w:val="superscript"/>
              </w:rPr>
              <w:t>®</w:t>
            </w:r>
            <w:r>
              <w:rPr>
                <w:rFonts w:ascii="Arial" w:hAnsi="Arial"/>
                <w:sz w:val="21"/>
              </w:rPr>
              <w:t>, Dutch Masters</w:t>
            </w:r>
            <w:r>
              <w:rPr>
                <w:rFonts w:ascii="Arial" w:hAnsi="Arial"/>
                <w:sz w:val="21"/>
                <w:vertAlign w:val="superscript"/>
              </w:rPr>
              <w:t>®</w:t>
            </w:r>
            <w:r>
              <w:rPr>
                <w:rFonts w:ascii="Arial" w:hAnsi="Arial"/>
                <w:sz w:val="21"/>
              </w:rPr>
              <w:t>, Phillies Blunts</w:t>
            </w:r>
            <w:r>
              <w:rPr>
                <w:rFonts w:ascii="Arial" w:hAnsi="Arial"/>
                <w:sz w:val="21"/>
                <w:vertAlign w:val="superscript"/>
              </w:rPr>
              <w:t>®</w:t>
            </w:r>
            <w:r>
              <w:rPr>
                <w:rFonts w:ascii="Arial" w:hAnsi="Arial"/>
                <w:sz w:val="21"/>
              </w:rPr>
              <w:t>, Prime Time</w:t>
            </w:r>
            <w:r>
              <w:rPr>
                <w:rFonts w:ascii="Arial" w:hAnsi="Arial"/>
                <w:sz w:val="21"/>
                <w:vertAlign w:val="superscript"/>
              </w:rPr>
              <w:t>®</w:t>
            </w:r>
            <w:r>
              <w:rPr>
                <w:rFonts w:ascii="Arial" w:hAnsi="Arial"/>
                <w:sz w:val="21"/>
              </w:rPr>
              <w:t>, and Winchester</w:t>
            </w:r>
            <w:r>
              <w:rPr>
                <w:rFonts w:ascii="Arial" w:hAnsi="Arial"/>
                <w:sz w:val="21"/>
                <w:vertAlign w:val="superscript"/>
              </w:rPr>
              <w:t>®</w:t>
            </w:r>
            <w:r>
              <w:rPr>
                <w:rFonts w:ascii="Arial" w:hAnsi="Arial"/>
                <w:sz w:val="21"/>
              </w:rPr>
              <w:t>.</w:t>
            </w:r>
          </w:p>
        </w:tc>
      </w:tr>
      <w:tr>
        <w:tc>
          <w:tcPr>
            <w:tcW w:w="1000" w:type="pct"/>
            <w:vAlign w:val="center"/>
          </w:tcPr>
          <w:p>
            <w:pPr>
              <w:spacing w:before="240" w:after="240"/>
              <w:ind w:left="0" w:right="0"/>
              <w:rPr>
                <w:rFonts w:ascii="Arial" w:hAnsi="Arial"/>
                <w:sz w:val="21"/>
              </w:rPr>
            </w:pPr>
            <w:r>
              <w:rPr>
                <w:rFonts w:ascii="Arial" w:hAnsi="Arial"/>
                <w:b w:val="1"/>
                <w:sz w:val="21"/>
              </w:rPr>
              <w:t>Protocol:</w:t>
            </w:r>
          </w:p>
        </w:tc>
        <w:tc>
          <w:tcPr>
            <w:tcW w:w="0" w:type="auto"/>
            <w:vAlign w:val="center"/>
          </w:tcPr>
          <w:p>
            <w:pPr>
              <w:spacing w:before="240" w:after="240"/>
              <w:ind w:left="0" w:right="0"/>
              <w:rPr>
                <w:rFonts w:ascii="Arial" w:hAnsi="Arial"/>
                <w:sz w:val="21"/>
              </w:rPr>
            </w:pPr>
            <w:r>
              <w:rPr>
                <w:rFonts w:ascii="Arial" w:hAnsi="Arial"/>
                <w:sz w:val="21"/>
              </w:rPr>
              <w:t>1. How [do/did] you usually buy [[CIGARFILL]s/ cigarillos/ filtered cigars] for yourself [when you smoke blunts]? Is it…</w:t>
            </w:r>
          </w:p>
          <w:p>
            <w:pPr>
              <w:spacing w:before="240" w:after="240"/>
              <w:ind w:left="0" w:right="0"/>
              <w:rPr>
                <w:rFonts w:ascii="Arial" w:hAnsi="Arial"/>
                <w:sz w:val="21"/>
              </w:rPr>
            </w:pPr>
            <w:r>
              <w:rPr>
                <w:rFonts w:ascii="Arial" w:hAnsi="Arial"/>
                <w:sz w:val="21"/>
              </w:rPr>
              <w:t>[ ] 1 In person (such as at a store or cigar bar)</w:t>
            </w:r>
          </w:p>
          <w:p>
            <w:pPr>
              <w:spacing w:before="240" w:after="240"/>
              <w:ind w:left="0" w:right="0"/>
              <w:rPr>
                <w:rFonts w:ascii="Arial" w:hAnsi="Arial"/>
                <w:sz w:val="21"/>
              </w:rPr>
            </w:pPr>
            <w:r>
              <w:rPr>
                <w:rFonts w:ascii="Arial" w:hAnsi="Arial"/>
                <w:sz w:val="21"/>
              </w:rPr>
              <w:t xml:space="preserve">[ ] 2 From the internet </w:t>
            </w:r>
          </w:p>
          <w:p>
            <w:pPr>
              <w:spacing w:before="240" w:after="240"/>
              <w:ind w:left="0" w:right="0"/>
              <w:rPr>
                <w:rFonts w:ascii="Arial" w:hAnsi="Arial"/>
                <w:sz w:val="21"/>
              </w:rPr>
            </w:pPr>
            <w:r>
              <w:rPr>
                <w:rFonts w:ascii="Arial" w:hAnsi="Arial"/>
                <w:sz w:val="21"/>
              </w:rPr>
              <w:t xml:space="preserve">[ ] 3 By telephone </w:t>
            </w:r>
          </w:p>
          <w:p>
            <w:pPr>
              <w:spacing w:before="240" w:after="240"/>
              <w:ind w:left="0" w:right="0"/>
              <w:rPr>
                <w:rFonts w:ascii="Arial" w:hAnsi="Arial"/>
                <w:sz w:val="21"/>
              </w:rPr>
            </w:pPr>
            <w:r>
              <w:rPr>
                <w:rFonts w:ascii="Arial" w:hAnsi="Arial"/>
                <w:sz w:val="21"/>
              </w:rPr>
              <w:t xml:space="preserve">[ ] 4 I [do I did] not buy my own [CIGARFILL]s </w:t>
            </w:r>
          </w:p>
          <w:p>
            <w:pPr>
              <w:spacing w:before="240" w:after="240"/>
              <w:ind w:left="0" w:right="0"/>
              <w:rPr>
                <w:rFonts w:ascii="Arial" w:hAnsi="Arial"/>
                <w:sz w:val="21"/>
              </w:rPr>
            </w:pPr>
            <w:r>
              <w:rPr>
                <w:rFonts w:ascii="Arial" w:hAnsi="Arial"/>
                <w:sz w:val="21"/>
              </w:rPr>
              <w:t xml:space="preserve">[ ] -8 DON’T KNOW </w:t>
            </w:r>
          </w:p>
          <w:p>
            <w:pPr>
              <w:spacing w:before="240" w:after="240"/>
              <w:ind w:left="0" w:right="0"/>
              <w:rPr>
                <w:rFonts w:ascii="Arial" w:hAnsi="Arial"/>
                <w:sz w:val="21"/>
              </w:rPr>
            </w:pPr>
            <w:r>
              <w:rPr>
                <w:rFonts w:ascii="Arial" w:hAnsi="Arial"/>
                <w:sz w:val="21"/>
              </w:rPr>
              <w:t xml:space="preserve">[ ] -7 REFUSED </w:t>
            </w:r>
          </w:p>
          <w:p>
            <w:pPr>
              <w:spacing w:before="240" w:after="240"/>
              <w:ind w:left="0" w:right="0"/>
              <w:rPr>
                <w:rFonts w:ascii="Arial" w:hAnsi="Arial"/>
                <w:sz w:val="21"/>
              </w:rPr>
            </w:pPr>
            <w:r>
              <w:rPr>
                <w:rFonts w:ascii="Arial" w:hAnsi="Arial"/>
                <w:sz w:val="21"/>
              </w:rPr>
              <w:t xml:space="preserve">ASK: Current users and former users 12-month OR blunt-only cigar smokers (BLUNT_ONLY_GRILLO = 1 OR BLUNT_ONLY_GFC = 1) </w:t>
            </w:r>
          </w:p>
          <w:p>
            <w:pPr>
              <w:spacing w:before="240" w:after="240"/>
              <w:ind w:left="0" w:right="0"/>
              <w:rPr>
                <w:rFonts w:ascii="Arial" w:hAnsi="Arial"/>
                <w:sz w:val="21"/>
              </w:rPr>
            </w:pPr>
            <w:r>
              <w:rPr>
                <w:rFonts w:ascii="Arial" w:hAnsi="Arial"/>
                <w:sz w:val="21"/>
              </w:rPr>
              <w:t>PROGRAM: For current [CIGARFILL] smokers display "do" and [CIGARFILLs]; For 12-month former [CIGARFILL] smokers, display "did" and [CIGARFILLs]. IF BLUNT_ONLY_GRILLO = 1, display "do," "cigarillos," and "when you smoke blunts"; and fill response option 4 with "do" and "cigarillos for blunts." If BLUNT_ONLY_GFC = 1, display "do," "filtered cigars," and "when you smoke blunts"; and fill response option 4 with "do" and "filtered cigars for blunts." Display instruction for question and response option 4 fill: for current [CIGARFILL] smokers, display "do"; for 12-month former [CIGARFILL] smokers, display "did."</w:t>
            </w:r>
          </w:p>
          <w:p>
            <w:pPr>
              <w:spacing w:before="240" w:after="240"/>
              <w:ind w:left="0" w:right="0"/>
              <w:rPr>
                <w:rFonts w:ascii="Arial" w:hAnsi="Arial"/>
                <w:sz w:val="21"/>
              </w:rPr>
            </w:pPr>
            <w:r>
              <w:rPr>
                <w:rFonts w:ascii="Arial" w:hAnsi="Arial"/>
                <w:sz w:val="21"/>
              </w:rPr>
              <w:t>2. [Do/Did] you usually buy [[CIGARFILL]s/cigarillos for blunts/filtered cigars for blunts]...?</w:t>
            </w:r>
          </w:p>
          <w:p>
            <w:pPr>
              <w:spacing w:before="240" w:after="240"/>
              <w:ind w:left="0" w:right="0"/>
              <w:rPr>
                <w:rFonts w:ascii="Arial" w:hAnsi="Arial"/>
                <w:sz w:val="21"/>
              </w:rPr>
            </w:pPr>
            <w:r>
              <w:rPr>
                <w:rFonts w:ascii="Arial" w:hAnsi="Arial"/>
                <w:sz w:val="21"/>
              </w:rPr>
              <w:t>[ ] 1 In your own state</w:t>
            </w:r>
          </w:p>
          <w:p>
            <w:pPr>
              <w:spacing w:before="240" w:after="240"/>
              <w:ind w:left="0" w:right="0"/>
              <w:rPr>
                <w:rFonts w:ascii="Arial" w:hAnsi="Arial"/>
                <w:sz w:val="21"/>
              </w:rPr>
            </w:pPr>
            <w:r>
              <w:rPr>
                <w:rFonts w:ascii="Arial" w:hAnsi="Arial"/>
                <w:sz w:val="21"/>
              </w:rPr>
              <w:t>[ ] 2 In another state</w:t>
            </w:r>
          </w:p>
          <w:p>
            <w:pPr>
              <w:spacing w:before="240" w:after="240"/>
              <w:ind w:left="0" w:right="0"/>
              <w:rPr>
                <w:rFonts w:ascii="Arial" w:hAnsi="Arial"/>
                <w:sz w:val="21"/>
              </w:rPr>
            </w:pPr>
            <w:r>
              <w:rPr>
                <w:rFonts w:ascii="Arial" w:hAnsi="Arial"/>
                <w:sz w:val="21"/>
              </w:rPr>
              <w:t>[ ] 3 Outside the US</w:t>
            </w:r>
          </w:p>
          <w:p>
            <w:pPr>
              <w:spacing w:before="240" w:after="240"/>
              <w:ind w:left="0" w:right="0"/>
              <w:rPr>
                <w:rFonts w:ascii="Arial" w:hAnsi="Arial"/>
                <w:sz w:val="21"/>
              </w:rPr>
            </w:pPr>
            <w:r>
              <w:rPr>
                <w:rFonts w:ascii="Arial" w:hAnsi="Arial"/>
                <w:sz w:val="21"/>
              </w:rPr>
              <w:t>[ ] -8 DON’T KNOW</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sz w:val="21"/>
              </w:rPr>
              <w:t>ASK: Current users, former users 12 month, and blunt-only cigar smokers (BLUNT_ONLY_GRILLO = 1 OR BLUNT_ONLY_GFC = 1) who usually buy [CIGARFILL]s in person (Q1 = 1)</w:t>
            </w:r>
          </w:p>
          <w:p>
            <w:pPr>
              <w:spacing w:before="240" w:after="240"/>
              <w:ind w:left="0" w:right="0"/>
              <w:rPr>
                <w:rFonts w:ascii="Arial" w:hAnsi="Arial"/>
                <w:sz w:val="21"/>
              </w:rPr>
            </w:pPr>
            <w:r>
              <w:rPr>
                <w:rFonts w:ascii="Arial" w:hAnsi="Arial"/>
                <w:sz w:val="21"/>
              </w:rPr>
              <w:t>PROGRAM: For current [CIGARFILL] smokers, display "Do" and "[CIGARFILL]s"; for 12-month former [CIGARFILL] smokers, display "Did" and "[CIGARFILL]s." If BLUNT_ONLY_GRILLO = 1, display "Do" and "cigarillos for blunts." If BLUNT_ONLY_GFC = 1, display "Do" and "filtered cigars for blunts."</w:t>
            </w:r>
          </w:p>
          <w:p>
            <w:pPr>
              <w:spacing w:before="240" w:after="240"/>
              <w:ind w:left="0" w:right="0"/>
              <w:rPr>
                <w:rFonts w:ascii="Arial" w:hAnsi="Arial"/>
                <w:sz w:val="21"/>
              </w:rPr>
            </w:pPr>
            <w:r>
              <w:rPr>
                <w:rFonts w:ascii="Arial" w:hAnsi="Arial"/>
                <w:sz w:val="21"/>
              </w:rPr>
              <w:t>3. Where [do/did] you buy your [[CIGARFILL]s/cigarillos for blunts/filtered cigars for blunts] most of the time?</w:t>
            </w:r>
          </w:p>
          <w:p>
            <w:pPr>
              <w:spacing w:before="240" w:after="240"/>
              <w:ind w:left="0" w:right="0"/>
              <w:rPr>
                <w:rFonts w:ascii="Arial" w:hAnsi="Arial"/>
                <w:sz w:val="21"/>
              </w:rPr>
            </w:pPr>
            <w:r>
              <w:rPr>
                <w:rFonts w:ascii="Arial" w:hAnsi="Arial"/>
                <w:sz w:val="21"/>
              </w:rPr>
              <w:t>[ ] 1 A cigar bar</w:t>
            </w:r>
          </w:p>
          <w:p>
            <w:pPr>
              <w:spacing w:before="240" w:after="240"/>
              <w:ind w:left="0" w:right="0"/>
              <w:rPr>
                <w:rFonts w:ascii="Arial" w:hAnsi="Arial"/>
                <w:sz w:val="21"/>
              </w:rPr>
            </w:pPr>
            <w:r>
              <w:rPr>
                <w:rFonts w:ascii="Arial" w:hAnsi="Arial"/>
                <w:sz w:val="21"/>
              </w:rPr>
              <w:t>[ ] 2 A convenience store or gas station</w:t>
            </w:r>
          </w:p>
          <w:p>
            <w:pPr>
              <w:spacing w:before="240" w:after="240"/>
              <w:ind w:left="0" w:right="0"/>
              <w:rPr>
                <w:rFonts w:ascii="Arial" w:hAnsi="Arial"/>
                <w:sz w:val="21"/>
              </w:rPr>
            </w:pPr>
            <w:r>
              <w:rPr>
                <w:rFonts w:ascii="Arial" w:hAnsi="Arial"/>
                <w:sz w:val="21"/>
              </w:rPr>
              <w:t>[ ] 3 A supermarket, grocery store, or drug store</w:t>
            </w:r>
          </w:p>
          <w:p>
            <w:pPr>
              <w:spacing w:before="240" w:after="240"/>
              <w:ind w:left="0" w:right="0"/>
              <w:rPr>
                <w:rFonts w:ascii="Arial" w:hAnsi="Arial"/>
                <w:sz w:val="21"/>
              </w:rPr>
            </w:pPr>
            <w:r>
              <w:rPr>
                <w:rFonts w:ascii="Arial" w:hAnsi="Arial"/>
                <w:sz w:val="21"/>
              </w:rPr>
              <w:t>[ ] 4 A warehouse club, such as Sam’s or Costco</w:t>
            </w:r>
          </w:p>
          <w:p>
            <w:pPr>
              <w:spacing w:before="240" w:after="240"/>
              <w:ind w:left="0" w:right="0"/>
              <w:rPr>
                <w:rFonts w:ascii="Arial" w:hAnsi="Arial"/>
                <w:sz w:val="21"/>
              </w:rPr>
            </w:pPr>
            <w:r>
              <w:rPr>
                <w:rFonts w:ascii="Arial" w:hAnsi="Arial"/>
                <w:sz w:val="21"/>
              </w:rPr>
              <w:t>[ ] 5 A smoke shop, tobacco specialty store, or tobacco outlet store</w:t>
            </w:r>
          </w:p>
          <w:p>
            <w:pPr>
              <w:spacing w:before="240" w:after="240"/>
              <w:ind w:left="0" w:right="0"/>
              <w:rPr>
                <w:rFonts w:ascii="Arial" w:hAnsi="Arial"/>
                <w:sz w:val="21"/>
              </w:rPr>
            </w:pPr>
            <w:r>
              <w:rPr>
                <w:rFonts w:ascii="Arial" w:hAnsi="Arial"/>
                <w:sz w:val="21"/>
              </w:rPr>
              <w:t>[ ] 6 A duty-free shop or military commissary</w:t>
            </w:r>
          </w:p>
          <w:p>
            <w:pPr>
              <w:spacing w:before="240" w:after="240"/>
              <w:ind w:left="0" w:right="0"/>
              <w:rPr>
                <w:rFonts w:ascii="Arial" w:hAnsi="Arial"/>
                <w:sz w:val="21"/>
              </w:rPr>
            </w:pPr>
            <w:r>
              <w:rPr>
                <w:rFonts w:ascii="Arial" w:hAnsi="Arial"/>
                <w:sz w:val="21"/>
              </w:rPr>
              <w:t>[ ] 7 A bar, pub, restaurant, or casino</w:t>
            </w:r>
          </w:p>
          <w:p>
            <w:pPr>
              <w:spacing w:before="240" w:after="240"/>
              <w:ind w:left="0" w:right="0"/>
              <w:rPr>
                <w:rFonts w:ascii="Arial" w:hAnsi="Arial"/>
                <w:sz w:val="21"/>
              </w:rPr>
            </w:pPr>
            <w:r>
              <w:rPr>
                <w:rFonts w:ascii="Arial" w:hAnsi="Arial"/>
                <w:sz w:val="21"/>
              </w:rPr>
              <w:t>[ ] 8 A friend or relative</w:t>
            </w:r>
          </w:p>
          <w:p>
            <w:pPr>
              <w:spacing w:before="240" w:after="240"/>
              <w:ind w:left="0" w:right="0"/>
              <w:rPr>
                <w:rFonts w:ascii="Arial" w:hAnsi="Arial"/>
                <w:sz w:val="21"/>
              </w:rPr>
            </w:pPr>
            <w:r>
              <w:rPr>
                <w:rFonts w:ascii="Arial" w:hAnsi="Arial"/>
                <w:sz w:val="21"/>
              </w:rPr>
              <w:t>[ ] 9 A swap meet or flea market</w:t>
            </w:r>
          </w:p>
          <w:p>
            <w:pPr>
              <w:spacing w:before="240" w:after="240"/>
              <w:ind w:left="0" w:right="0"/>
              <w:rPr>
                <w:rFonts w:ascii="Arial" w:hAnsi="Arial"/>
                <w:sz w:val="21"/>
              </w:rPr>
            </w:pPr>
            <w:r>
              <w:rPr>
                <w:rFonts w:ascii="Arial" w:hAnsi="Arial"/>
                <w:sz w:val="21"/>
              </w:rPr>
              <w:t>10 [ ] A liquor store</w:t>
            </w:r>
          </w:p>
          <w:p>
            <w:pPr>
              <w:spacing w:before="240" w:after="240"/>
              <w:ind w:left="0" w:right="0"/>
              <w:rPr>
                <w:rFonts w:ascii="Arial" w:hAnsi="Arial"/>
                <w:sz w:val="21"/>
              </w:rPr>
            </w:pPr>
            <w:r>
              <w:rPr>
                <w:rFonts w:ascii="Arial" w:hAnsi="Arial"/>
                <w:sz w:val="21"/>
              </w:rPr>
              <w:t>11 [ ] Or from somewhere else SPECIFY: ____________________________</w:t>
            </w:r>
          </w:p>
          <w:p>
            <w:pPr>
              <w:spacing w:before="240" w:after="240"/>
              <w:ind w:left="0" w:right="0"/>
              <w:rPr>
                <w:rFonts w:ascii="Arial" w:hAnsi="Arial"/>
                <w:sz w:val="21"/>
              </w:rPr>
            </w:pPr>
            <w:r>
              <w:rPr>
                <w:rFonts w:ascii="Arial" w:hAnsi="Arial"/>
                <w:sz w:val="21"/>
              </w:rPr>
              <w:t>[ ] -8 DON’T KNOW</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sz w:val="21"/>
              </w:rPr>
              <w:t>ASK: Current users, former users 12 month, and blunt-only cigar smokers (BLUNT_ONLY_GRILLO = 1 OR BLUNT_ONLY_GFC = 1) who usually buy [CIGARFILL]s in person (Q1 = 1)</w:t>
            </w:r>
          </w:p>
          <w:p>
            <w:pPr>
              <w:spacing w:before="240" w:after="240"/>
              <w:ind w:left="0" w:right="0"/>
              <w:rPr>
                <w:rFonts w:ascii="Arial" w:hAnsi="Arial"/>
                <w:sz w:val="21"/>
              </w:rPr>
            </w:pPr>
            <w:r>
              <w:rPr>
                <w:rFonts w:ascii="Arial" w:hAnsi="Arial"/>
                <w:sz w:val="21"/>
              </w:rPr>
              <w:t>PROGRAM: For current [CIGARFILL] smokers, display "do" and "[CIGARFILLs]"; for 12-month former [CIGARFILL] smokers, display "did" and "[CIGARFILLs]." If BLUNT_ONLY_GRILLO = 1, display "Do" and "cigarillos for blunts." If BLUNT_ONLY_GFC = 1, display "Do" and "filtered cigars for blunts."</w:t>
            </w:r>
          </w:p>
        </w:tc>
      </w:tr>
      <w:tr>
        <w:tc>
          <w:tcPr>
            <w:tcW w:w="1000" w:type="pct"/>
            <w:vAlign w:val="center"/>
          </w:tcPr>
          <w:p>
            <w:pPr>
              <w:spacing w:before="240" w:after="240"/>
              <w:ind w:left="0" w:right="0"/>
              <w:rPr>
                <w:rFonts w:ascii="Arial" w:hAnsi="Arial"/>
                <w:sz w:val="21"/>
              </w:rPr>
            </w:pPr>
            <w:r>
              <w:rPr>
                <w:rFonts w:ascii="Arial" w:hAnsi="Arial"/>
                <w:b w:val="1"/>
                <w:sz w:val="21"/>
              </w:rPr>
              <w:t>Selection Rationale:</w:t>
            </w:r>
          </w:p>
        </w:tc>
        <w:tc>
          <w:tcPr>
            <w:tcW w:w="0" w:type="auto"/>
            <w:vAlign w:val="center"/>
          </w:tcPr>
          <w:p>
            <w:pPr>
              <w:spacing w:before="240" w:after="240"/>
              <w:ind w:left="0" w:right="0"/>
              <w:rPr>
                <w:rFonts w:ascii="Arial" w:hAnsi="Arial"/>
                <w:sz w:val="21"/>
              </w:rPr>
            </w:pPr>
            <w:r>
              <w:rPr>
                <w:rFonts w:ascii="Arial" w:hAnsi="Arial"/>
                <w:sz w:val="21"/>
              </w:rPr>
              <w:t>The Population Assessment of Tobacco and Health (PATH) Study is a nationally representative, in-person longitudinal cohort study of nonusers and users of tobacco products and those at risk for tobacco use across the United States. Respondents 12 years old and up are asked questions on tobacco use, attitudes, and health, and biospecimens (buccal cell, urine, and blood) are collected from adults. The PATH Study was implemented to provide an evidence base for assessing and monitoring the Food and Drug Administration’s regulatory actions in meeting its mandate under the Family Smoking Prevention and Tobacco Control Act. Regulatory domains include product standards, new and modified risk products, health warnings, and health education campaigns.</w:t>
            </w:r>
          </w:p>
        </w:tc>
      </w:tr>
      <w:tr>
        <w:tc>
          <w:tcPr>
            <w:tcW w:w="1000" w:type="pct"/>
            <w:vAlign w:val="center"/>
          </w:tcPr>
          <w:p>
            <w:pPr>
              <w:spacing w:before="240" w:after="240"/>
              <w:ind w:left="0" w:right="0"/>
              <w:rPr>
                <w:rFonts w:ascii="Arial" w:hAnsi="Arial"/>
                <w:sz w:val="21"/>
              </w:rPr>
            </w:pPr>
            <w:r>
              <w:rPr>
                <w:rFonts w:ascii="Arial" w:hAnsi="Arial"/>
                <w:b w:val="1"/>
                <w:sz w:val="21"/>
              </w:rPr>
              <w:t>Source:</w:t>
            </w:r>
          </w:p>
        </w:tc>
        <w:tc>
          <w:tcPr>
            <w:tcW w:w="0" w:type="auto"/>
            <w:vAlign w:val="center"/>
          </w:tcPr>
          <w:p>
            <w:pPr>
              <w:spacing w:before="240" w:after="240"/>
              <w:ind w:left="0" w:right="0"/>
              <w:rPr>
                <w:rFonts w:ascii="Arial" w:hAnsi="Arial"/>
                <w:sz w:val="21"/>
              </w:rPr>
            </w:pPr>
            <w:r>
              <w:rPr>
                <w:rFonts w:ascii="Arial" w:hAnsi="Arial"/>
                <w:sz w:val="21"/>
              </w:rPr>
              <w:t>National Institutes of Health (NIH) and the U.S. Food and Drug Administration (FDA), Population Assessment of Tobacco and Health (PATH) Study, PATH Wave 1 Adult Extended Interview 7.5, 2013, Items AG1030, AG1032, AG1033.</w:t>
            </w:r>
          </w:p>
        </w:tc>
      </w:tr>
      <w:tr>
        <w:tc>
          <w:tcPr>
            <w:tcW w:w="1000" w:type="pct"/>
            <w:vAlign w:val="center"/>
          </w:tcPr>
          <w:p>
            <w:pPr>
              <w:spacing w:before="240" w:after="240"/>
              <w:ind w:left="0" w:right="0"/>
              <w:rPr>
                <w:rFonts w:ascii="Arial" w:hAnsi="Arial"/>
                <w:sz w:val="21"/>
              </w:rPr>
            </w:pPr>
            <w:r>
              <w:rPr>
                <w:rFonts w:ascii="Arial" w:hAnsi="Arial"/>
                <w:b w:val="1"/>
                <w:sz w:val="21"/>
              </w:rPr>
              <w:t>Language</w:t>
            </w:r>
          </w:p>
        </w:tc>
        <w:tc>
          <w:tcPr>
            <w:tcW w:w="0" w:type="auto"/>
            <w:vAlign w:val="center"/>
          </w:tcPr>
          <w:p>
            <w:pPr>
              <w:ind w:left="0" w:right="0"/>
            </w:pPr>
            <w:r>
              <w:rPr>
                <w:rFonts w:ascii="Arial" w:hAnsi="Arial"/>
                <w:sz w:val="21"/>
              </w:rPr>
              <w:t>English</w:t>
              <w:br w:type="textWrapping"/>
              <w:t xml:space="preserve">Other languages available at source </w:t>
            </w:r>
          </w:p>
        </w:tc>
      </w:tr>
      <w:tr>
        <w:tc>
          <w:tcPr>
            <w:tcW w:w="1000" w:type="pct"/>
            <w:vAlign w:val="center"/>
          </w:tcPr>
          <w:p>
            <w:pPr>
              <w:spacing w:before="240" w:after="240"/>
              <w:ind w:left="0" w:right="0"/>
              <w:rPr>
                <w:rFonts w:ascii="Arial" w:hAnsi="Arial"/>
                <w:sz w:val="21"/>
              </w:rPr>
            </w:pPr>
            <w:r>
              <w:rPr>
                <w:rFonts w:ascii="Arial" w:hAnsi="Arial"/>
                <w:b w:val="1"/>
                <w:sz w:val="21"/>
              </w:rPr>
              <w:t>Participant:</w:t>
            </w:r>
          </w:p>
        </w:tc>
        <w:tc>
          <w:tcPr>
            <w:tcW w:w="0" w:type="auto"/>
            <w:vAlign w:val="center"/>
          </w:tcPr>
          <w:p>
            <w:pPr>
              <w:spacing w:before="240" w:after="240"/>
              <w:ind w:left="0" w:right="0"/>
              <w:rPr>
                <w:rFonts w:ascii="Arial" w:hAnsi="Arial"/>
                <w:sz w:val="21"/>
              </w:rPr>
            </w:pPr>
            <w:r>
              <w:rPr>
                <w:rFonts w:ascii="Arial" w:hAnsi="Arial"/>
                <w:sz w:val="21"/>
              </w:rPr>
              <w:t>Adult (18+ years of age)</w:t>
            </w:r>
          </w:p>
        </w:tc>
      </w:tr>
      <w:tr>
        <w:tc>
          <w:tcPr>
            <w:tcW w:w="1000" w:type="pct"/>
            <w:vAlign w:val="center"/>
          </w:tcPr>
          <w:p>
            <w:pPr>
              <w:spacing w:before="240" w:after="240"/>
              <w:ind w:left="0" w:right="0"/>
              <w:rPr>
                <w:rFonts w:ascii="Arial" w:hAnsi="Arial"/>
                <w:sz w:val="21"/>
              </w:rPr>
            </w:pPr>
            <w:r>
              <w:rPr>
                <w:rFonts w:ascii="Arial" w:hAnsi="Arial"/>
                <w:b w:val="1"/>
                <w:sz w:val="21"/>
              </w:rPr>
              <w:t>Personnel and Training Required:</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Equipment Needs: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Standards</w:t>
            </w:r>
          </w:p>
        </w:tc>
        <w:tc>
          <w:tcPr>
            <w:tcW w:w="0" w:type="auto"/>
            <w:vAlign w:val="center"/>
          </w:tcPr>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General References:</w:t>
            </w:r>
          </w:p>
        </w:tc>
        <w:tc>
          <w:tcPr>
            <w:tcW w:w="0" w:type="auto"/>
            <w:vAlign w:val="center"/>
          </w:tcPr>
          <w:p>
            <w:pPr>
              <w:spacing w:before="240" w:after="240"/>
              <w:ind w:left="0" w:right="0"/>
              <w:rPr>
                <w:rFonts w:ascii="Arial" w:hAnsi="Arial"/>
                <w:sz w:val="21"/>
              </w:rPr>
            </w:pPr>
            <w:r>
              <w:rPr>
                <w:rFonts w:ascii="Arial" w:hAnsi="Arial"/>
                <w:sz w:val="21"/>
              </w:rPr>
              <w:t>National Institutes of Health, U.S. Food and Drug Administration. (2013). Population Assessment of Tobacco and Health (PATH) Study: Final Adult Baseline (Wave 1) Questionnaire. Bethesda, MD: National Institutes of Health.</w:t>
            </w:r>
          </w:p>
        </w:tc>
      </w:tr>
      <w:tr>
        <w:tc>
          <w:tcPr>
            <w:tcW w:w="1000" w:type="pct"/>
            <w:vAlign w:val="center"/>
          </w:tcPr>
          <w:p>
            <w:pPr>
              <w:spacing w:before="240" w:after="240"/>
              <w:ind w:left="0" w:right="0"/>
              <w:rPr>
                <w:rFonts w:ascii="Arial" w:hAnsi="Arial"/>
                <w:sz w:val="21"/>
              </w:rPr>
            </w:pPr>
            <w:r>
              <w:rPr>
                <w:rFonts w:ascii="Arial" w:hAnsi="Arial"/>
                <w:b w:val="1"/>
                <w:sz w:val="21"/>
              </w:rPr>
              <w:t>Mode of Administration:</w:t>
            </w:r>
          </w:p>
        </w:tc>
        <w:tc>
          <w:tcPr>
            <w:tcW w:w="0" w:type="auto"/>
            <w:vAlign w:val="center"/>
          </w:tcPr>
          <w:p>
            <w:pPr>
              <w:ind w:left="0" w:right="0"/>
            </w:pPr>
            <w:r>
              <w:rPr>
                <w:rFonts w:ascii="Arial" w:hAnsi="Arial"/>
                <w:sz w:val="21"/>
              </w:rPr>
              <w:t xml:space="preserve">Interviewer-administered questionnaire </w:t>
            </w:r>
          </w:p>
        </w:tc>
      </w:tr>
      <w:tr>
        <w:tc>
          <w:tcPr>
            <w:tcW w:w="1000" w:type="pct"/>
            <w:vAlign w:val="center"/>
          </w:tcPr>
          <w:p>
            <w:pPr>
              <w:spacing w:before="240" w:after="240"/>
              <w:ind w:left="0" w:right="0"/>
              <w:rPr>
                <w:rFonts w:ascii="Arial" w:hAnsi="Arial"/>
                <w:sz w:val="21"/>
              </w:rPr>
            </w:pPr>
            <w:r>
              <w:rPr>
                <w:rFonts w:ascii="Arial" w:hAnsi="Arial"/>
                <w:b w:val="1"/>
                <w:sz w:val="21"/>
              </w:rPr>
              <w:t>Derived Variables: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Requirements:</w:t>
            </w:r>
          </w:p>
        </w:tc>
        <w:tc>
          <w:tcPr>
            <w:tcW w:w="0" w:type="auto"/>
            <w:vAlign w:val="center"/>
          </w:tcPr>
          <w:tbl>
            <w:tblPr>
              <w:tblW w:w="0" w:type="auto"/>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vAlign w:val="center"/>
                </w:tcPr>
                <w:p>
                  <w:pPr>
                    <w:spacing w:before="240" w:after="240"/>
                    <w:ind w:left="0" w:right="0"/>
                    <w:rPr>
                      <w:rFonts w:ascii="Arial" w:hAnsi="Arial"/>
                      <w:sz w:val="21"/>
                    </w:rPr>
                  </w:pPr>
                  <w:r>
                    <w:rPr>
                      <w:rFonts w:ascii="Arial" w:hAnsi="Arial"/>
                      <w:b w:val="1"/>
                      <w:sz w:val="21"/>
                    </w:rPr>
                    <w:t>Requirement Category</w:t>
                  </w:r>
                </w:p>
              </w:tc>
              <w:tc>
                <w:tcPr>
                  <w:tcW w:w="0" w:type="auto"/>
                  <w:vAlign w:val="center"/>
                </w:tcPr>
                <w:p>
                  <w:pPr>
                    <w:spacing w:before="240" w:after="240"/>
                    <w:ind w:left="0" w:right="0"/>
                    <w:rPr>
                      <w:rFonts w:ascii="Arial" w:hAnsi="Arial"/>
                      <w:sz w:val="21"/>
                    </w:rPr>
                  </w:pPr>
                  <w:r>
                    <w:rPr>
                      <w:rFonts w:ascii="Arial" w:hAnsi="Arial"/>
                      <w:b w:val="1"/>
                      <w:sz w:val="21"/>
                    </w:rPr>
                    <w:t>Required (Yes/No)</w:t>
                  </w:r>
                </w:p>
              </w:tc>
            </w:tr>
            <w:tr>
              <w:tc>
                <w:tcPr>
                  <w:tcW w:w="0" w:type="auto"/>
                  <w:vAlign w:val="center"/>
                </w:tcPr>
                <w:p>
                  <w:pPr>
                    <w:spacing w:before="240" w:after="240"/>
                    <w:ind w:left="0" w:right="0"/>
                    <w:rPr>
                      <w:rFonts w:ascii="Arial" w:hAnsi="Arial"/>
                      <w:sz w:val="21"/>
                    </w:rPr>
                  </w:pPr>
                  <w:r>
                    <w:rPr>
                      <w:rFonts w:ascii="Arial" w:hAnsi="Arial"/>
                      <w:b w:val="1"/>
                      <w:sz w:val="21"/>
                    </w:rPr>
                    <w:t>Major equipment</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training</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requirements for biospecimen collection</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Average time of greater than 15 minutes in an unaffected individual</w:t>
                  </w:r>
                </w:p>
              </w:tc>
              <w:tc>
                <w:tcPr>
                  <w:tcW w:w="0" w:type="auto"/>
                  <w:vAlign w:val="center"/>
                </w:tcPr>
                <w:p>
                  <w:pPr>
                    <w:spacing w:before="240" w:after="240"/>
                    <w:ind w:left="0" w:right="0"/>
                    <w:rPr>
                      <w:rFonts w:ascii="Arial" w:hAnsi="Arial"/>
                      <w:sz w:val="21"/>
                    </w:rPr>
                  </w:pPr>
                  <w:r>
                    <w:rPr>
                      <w:rFonts w:ascii="Arial" w:hAnsi="Arial"/>
                      <w:sz w:val="21"/>
                    </w:rPr>
                    <w:t>No</w:t>
                  </w:r>
                </w:p>
              </w:tc>
            </w:tr>
          </w:tbl>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Annotations for Specific Conditions:</w:t>
            </w:r>
          </w:p>
        </w:tc>
        <w:tc>
          <w:tcPr>
            <w:tcW w:w="0" w:type="auto"/>
            <w:vAlign w:val="center"/>
          </w:tcPr>
          <w:p>
            <w:pPr>
              <w:ind w:left="0" w:right="0"/>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Process and Review:</w:t>
            </w:r>
          </w:p>
        </w:tc>
        <w:tc>
          <w:tcPr>
            <w:tcW w:w="0" w:type="auto"/>
            <w:vAlign w:val="center"/>
          </w:tcPr>
          <w:p>
            <w:pPr>
              <w:ind w:left="0" w:right="0"/>
            </w:pPr>
            <w:r>
              <w:rPr>
                <w:rFonts w:ascii="Arial" w:hAnsi="Arial"/>
                <w:sz w:val="21"/>
              </w:rPr>
              <w:t xml:space="preserve">Not applicable. </w:t>
            </w:r>
          </w:p>
        </w:tc>
      </w:tr>
    </w:tbl>
    <w:p>
      <w:pPr>
        <w:spacing w:before="240" w:after="240"/>
        <w:ind w:firstLine="0" w:left="0" w:right="0"/>
      </w:pPr>
    </w:p>
    <w:sectPr>
      <w:type w:val="nextPage"/>
      <w:pgMar w:left="1700" w:right="850" w:top="1133" w:bottom="1133"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4"/>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2023-12-21T20:17:23Z</dcterms:created>
  <cp:lastModifiedBy>Williams, David</cp:lastModifiedBy>
  <dcterms:modified xsi:type="dcterms:W3CDTF">2023-12-21T20:17:23Z</dcterms:modified>
  <cp:revision>1</cp:revision>
</cp:coreProperties>
</file>