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48C359" Type="http://schemas.openxmlformats.org/officeDocument/2006/relationships/officeDocument" Target="/word/document.xml" /><Relationship Id="coreR648C35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Industry and Retailer Public Relations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A survey instrument used in retail settings to assess the extent and placement of government-mandated signage and tobacco industry public relations signage related to prohibiting tobacco sales to minors.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measure can be used to assess retailer compliance with signage policies related to tobacco sales to minors, and to assess tobacco industry public relations signage in the retail sector.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Standardized Tobacco Assessment for Retail Settings [741001]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Point of Sale Environment for Alcohol and Tobacco [550801]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Industry and Retailer Public Relations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Californias Statewide Youth Tobacco Purchase Survey (YTPS), 2014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Statewide Youth Tobacco Purchase Survey; Stop Tobacco Access to Kids Enforcement; STAKE; tobacco industry; tobacco; industry; retailer public relations; public relations; tobacco sales; tobacco sales to minors; minor purchase; signage policies; signage; government; corporate social responsibility; CSR; youth smoking prevention; YSP; Synar.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California’s Statewide Youth Tobacco Purchase Survey (YTPS) is an 11-item instrument developed to assess retailer compliance with signage policies related to tobacco sales to minors and tobacco industry public relations signage in the retail sector. The survey collects information about the minor’s purchase attempt and observations of the purchaser during the purchase attempt. For the purpose of this measure, items within the "Observations" section of the YTPS are used; these relate to the presence, type, and location of signs stating that tobacco sales to minors are unlawful.</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recommends the following:</w:t>
            </w:r>
          </w:p>
          <w:p>
            <w:pPr>
              <w:numPr>
                <w:ilvl w:val="0"/>
                <w:numId w:val="1"/>
              </w:numPr>
              <w:spacing w:before="0" w:after="0"/>
              <w:ind w:hanging="360" w:left="720" w:right="0"/>
              <w:rPr>
                <w:rFonts w:ascii="Arial" w:hAnsi="Arial"/>
                <w:sz w:val="21"/>
              </w:rPr>
            </w:pPr>
            <w:r>
              <w:rPr>
                <w:rFonts w:ascii="Arial" w:hAnsi="Arial"/>
                <w:sz w:val="21"/>
              </w:rPr>
              <w:t>To capture more comprehensively the retail sector environment related to tobacco industry marketing, this measure be used in conjunction with the Standardized Tobacco Assessment for Retail Settings measure.</w:t>
            </w:r>
          </w:p>
          <w:p>
            <w:pPr>
              <w:numPr>
                <w:ilvl w:val="0"/>
                <w:numId w:val="1"/>
              </w:numPr>
              <w:spacing w:before="0" w:after="0"/>
              <w:ind w:hanging="360" w:left="720" w:right="0"/>
              <w:rPr>
                <w:rFonts w:ascii="Arial" w:hAnsi="Arial"/>
                <w:sz w:val="21"/>
              </w:rPr>
            </w:pPr>
            <w:r>
              <w:rPr>
                <w:rFonts w:ascii="Arial" w:hAnsi="Arial"/>
                <w:sz w:val="21"/>
              </w:rPr>
              <w:t>Investigators include any federal, state, and local signs related to unlawful sales to minors that are associated with the specific data collection area. This data should be captured within the "Federal, State, and Local Signs" section of the survey.</w:t>
            </w:r>
          </w:p>
          <w:p>
            <w:pPr>
              <w:numPr>
                <w:ilvl w:val="0"/>
                <w:numId w:val="1"/>
              </w:numPr>
              <w:spacing w:before="0" w:after="0"/>
              <w:ind w:hanging="360" w:left="720" w:right="0"/>
              <w:rPr>
                <w:rFonts w:ascii="Arial" w:hAnsi="Arial"/>
                <w:sz w:val="21"/>
              </w:rPr>
            </w:pPr>
            <w:r>
              <w:rPr>
                <w:rFonts w:ascii="Arial" w:hAnsi="Arial"/>
                <w:sz w:val="21"/>
              </w:rPr>
              <w:t>Investigators should capture data related to the Food and Drug Administration’s Break the Chain of Tobacco Addiction campaign within the "Federal, State and Local Signs" section of the survey.</w:t>
            </w:r>
          </w:p>
          <w:p>
            <w:pPr>
              <w:spacing w:before="240" w:after="240"/>
              <w:ind w:left="0" w:right="0"/>
              <w:rPr>
                <w:rFonts w:ascii="Arial" w:hAnsi="Arial"/>
                <w:sz w:val="21"/>
              </w:rPr>
            </w:pPr>
            <w:r>
              <w:rPr>
                <w:rFonts w:ascii="Arial" w:hAnsi="Arial"/>
                <w:sz w:val="21"/>
              </w:rPr>
              <w:t>Investigators should include the Reynolds American warnings about the unlawful purchase of e-cigarettes by minors that are now found on VUSE e-cigarette signage. This data should be captured within the "Tobacco Industry Signs" section of the survey.</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Location of signs stating that sales to minors are unlawful (check all that apply):</w:t>
            </w:r>
          </w:p>
          <w:p>
            <w:pPr>
              <w:spacing w:before="240" w:after="240"/>
              <w:ind w:left="0" w:right="0"/>
              <w:rPr>
                <w:rFonts w:ascii="Arial" w:hAnsi="Arial"/>
                <w:sz w:val="21"/>
              </w:rPr>
            </w:pPr>
            <w:r>
              <w:rPr>
                <w:rFonts w:ascii="Arial" w:hAnsi="Arial"/>
                <w:b w:val="1"/>
                <w:sz w:val="21"/>
                <w:u w:val="single"/>
              </w:rPr>
              <w:t>FEDERAL, STATE, AND LOCAL SIGNS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205" w:type="dxa"/>
                  <w:vAlign w:val="top"/>
                </w:tcPr>
                <w:p>
                  <w:pPr>
                    <w:ind w:left="0" w:right="0"/>
                  </w:pPr>
                </w:p>
              </w:tc>
              <w:tc>
                <w:tcPr>
                  <w:tcW w:w="2250" w:type="dxa"/>
                  <w:vAlign w:val="top"/>
                </w:tcPr>
                <w:p>
                  <w:pPr>
                    <w:spacing w:before="240" w:after="240"/>
                    <w:ind w:left="0" w:right="0"/>
                    <w:rPr>
                      <w:rFonts w:ascii="Arial" w:hAnsi="Arial"/>
                      <w:sz w:val="21"/>
                    </w:rPr>
                  </w:pPr>
                  <w:r>
                    <w:rPr>
                      <w:rFonts w:ascii="Arial" w:hAnsi="Arial"/>
                      <w:b w:val="1"/>
                      <w:sz w:val="21"/>
                    </w:rPr>
                    <w:t>Checkout counter</w:t>
                  </w:r>
                </w:p>
              </w:tc>
              <w:tc>
                <w:tcPr>
                  <w:tcW w:w="2115" w:type="dxa"/>
                  <w:vAlign w:val="top"/>
                </w:tcPr>
                <w:p>
                  <w:pPr>
                    <w:spacing w:before="240" w:after="240"/>
                    <w:ind w:left="0" w:right="0"/>
                    <w:rPr>
                      <w:rFonts w:ascii="Arial" w:hAnsi="Arial"/>
                      <w:sz w:val="21"/>
                    </w:rPr>
                  </w:pPr>
                  <w:r>
                    <w:rPr>
                      <w:rFonts w:ascii="Arial" w:hAnsi="Arial"/>
                      <w:b w:val="1"/>
                      <w:sz w:val="21"/>
                    </w:rPr>
                    <w:t>Tobacco display site</w:t>
                  </w:r>
                </w:p>
              </w:tc>
              <w:tc>
                <w:tcPr>
                  <w:tcW w:w="1620" w:type="dxa"/>
                  <w:vAlign w:val="top"/>
                </w:tcPr>
                <w:p>
                  <w:pPr>
                    <w:spacing w:before="240" w:after="240"/>
                    <w:ind w:left="0" w:right="0"/>
                    <w:rPr>
                      <w:rFonts w:ascii="Arial" w:hAnsi="Arial"/>
                      <w:sz w:val="21"/>
                    </w:rPr>
                  </w:pPr>
                  <w:r>
                    <w:rPr>
                      <w:rFonts w:ascii="Arial" w:hAnsi="Arial"/>
                      <w:b w:val="1"/>
                      <w:sz w:val="21"/>
                    </w:rPr>
                    <w:t>Doors/windows</w:t>
                  </w:r>
                </w:p>
              </w:tc>
              <w:tc>
                <w:tcPr>
                  <w:tcW w:w="3600" w:type="dxa"/>
                  <w:vAlign w:val="top"/>
                </w:tcPr>
                <w:p>
                  <w:pPr>
                    <w:spacing w:before="240" w:after="240"/>
                    <w:ind w:left="0" w:right="0"/>
                    <w:rPr>
                      <w:rFonts w:ascii="Arial" w:hAnsi="Arial"/>
                      <w:sz w:val="21"/>
                    </w:rPr>
                  </w:pPr>
                  <w:r>
                    <w:rPr>
                      <w:rFonts w:ascii="Arial" w:hAnsi="Arial"/>
                      <w:b w:val="1"/>
                      <w:sz w:val="21"/>
                    </w:rPr>
                    <w:t>Other (specify)</w:t>
                  </w:r>
                </w:p>
              </w:tc>
            </w:tr>
            <w:tr>
              <w:tc>
                <w:tcPr>
                  <w:tcW w:w="2205" w:type="dxa"/>
                  <w:vAlign w:val="top"/>
                </w:tcPr>
                <w:p>
                  <w:pPr>
                    <w:ind w:left="0" w:right="0"/>
                  </w:pPr>
                  <w:r>
                    <w:rPr>
                      <w:rFonts w:ascii="Arial" w:hAnsi="Arial"/>
                      <w:sz w:val="21"/>
                    </w:rPr>
                    <w:t> </w:t>
                  </w:r>
                </w:p>
              </w:tc>
              <w:tc>
                <w:tcPr>
                  <w:tcW w:w="2250" w:type="dxa"/>
                  <w:vAlign w:val="top"/>
                </w:tcPr>
                <w:p>
                  <w:pPr>
                    <w:ind w:left="0" w:right="0"/>
                  </w:pPr>
                </w:p>
              </w:tc>
              <w:tc>
                <w:tcPr>
                  <w:tcW w:w="2115" w:type="dxa"/>
                  <w:vAlign w:val="top"/>
                </w:tcPr>
                <w:p>
                  <w:pPr>
                    <w:ind w:left="0" w:right="0"/>
                  </w:pPr>
                </w:p>
              </w:tc>
              <w:tc>
                <w:tcPr>
                  <w:tcW w:w="1620" w:type="dxa"/>
                  <w:vAlign w:val="top"/>
                </w:tcPr>
                <w:p>
                  <w:pPr>
                    <w:ind w:left="0" w:right="0"/>
                  </w:pPr>
                </w:p>
              </w:tc>
              <w:tc>
                <w:tcPr>
                  <w:tcW w:w="3600" w:type="dxa"/>
                  <w:vAlign w:val="top"/>
                </w:tcPr>
                <w:p>
                  <w:pPr>
                    <w:ind w:left="0" w:right="0"/>
                  </w:pPr>
                </w:p>
              </w:tc>
            </w:tr>
            <w:tr>
              <w:tc>
                <w:tcPr>
                  <w:tcW w:w="2205" w:type="dxa"/>
                  <w:vAlign w:val="top"/>
                </w:tcPr>
                <w:p>
                  <w:pPr>
                    <w:ind w:left="0" w:right="0"/>
                  </w:pPr>
                  <w:r>
                    <w:rPr>
                      <w:rFonts w:ascii="Arial" w:hAnsi="Arial"/>
                      <w:sz w:val="21"/>
                    </w:rPr>
                    <w:t> </w:t>
                  </w:r>
                </w:p>
              </w:tc>
              <w:tc>
                <w:tcPr>
                  <w:tcW w:w="2250" w:type="dxa"/>
                  <w:vAlign w:val="top"/>
                </w:tcPr>
                <w:p>
                  <w:pPr>
                    <w:ind w:left="0" w:right="0"/>
                  </w:pPr>
                </w:p>
              </w:tc>
              <w:tc>
                <w:tcPr>
                  <w:tcW w:w="2115" w:type="dxa"/>
                  <w:vAlign w:val="top"/>
                </w:tcPr>
                <w:p>
                  <w:pPr>
                    <w:ind w:left="0" w:right="0"/>
                  </w:pPr>
                </w:p>
              </w:tc>
              <w:tc>
                <w:tcPr>
                  <w:tcW w:w="1620" w:type="dxa"/>
                  <w:vAlign w:val="top"/>
                </w:tcPr>
                <w:p>
                  <w:pPr>
                    <w:ind w:left="0" w:right="0"/>
                  </w:pPr>
                </w:p>
              </w:tc>
              <w:tc>
                <w:tcPr>
                  <w:tcW w:w="3600" w:type="dxa"/>
                  <w:vAlign w:val="top"/>
                </w:tcPr>
                <w:p>
                  <w:pPr>
                    <w:ind w:left="0" w:right="0"/>
                  </w:pPr>
                </w:p>
              </w:tc>
            </w:tr>
            <w:tr>
              <w:tc>
                <w:tcPr>
                  <w:tcW w:w="2205" w:type="dxa"/>
                  <w:vAlign w:val="top"/>
                </w:tcPr>
                <w:p>
                  <w:pPr>
                    <w:spacing w:before="240" w:after="240"/>
                    <w:ind w:left="0" w:right="0"/>
                    <w:rPr>
                      <w:rFonts w:ascii="Arial" w:hAnsi="Arial"/>
                      <w:sz w:val="21"/>
                    </w:rPr>
                  </w:pPr>
                  <w:r>
                    <w:rPr>
                      <w:rFonts w:ascii="Arial" w:hAnsi="Arial"/>
                      <w:b w:val="1"/>
                      <w:sz w:val="21"/>
                    </w:rPr>
                    <w:t>Other (specify)</w:t>
                  </w:r>
                </w:p>
                <w:p>
                  <w:pPr>
                    <w:spacing w:before="240" w:after="240"/>
                    <w:ind w:left="0" w:right="0"/>
                    <w:rPr>
                      <w:rFonts w:ascii="Arial" w:hAnsi="Arial"/>
                      <w:sz w:val="21"/>
                    </w:rPr>
                  </w:pPr>
                  <w:r>
                    <w:rPr>
                      <w:rFonts w:ascii="Arial" w:hAnsi="Arial"/>
                      <w:b w:val="1"/>
                      <w:sz w:val="21"/>
                    </w:rPr>
                    <w:t>_____________</w:t>
                  </w:r>
                </w:p>
              </w:tc>
              <w:tc>
                <w:tcPr>
                  <w:tcW w:w="2250" w:type="dxa"/>
                  <w:vAlign w:val="top"/>
                </w:tcPr>
                <w:p>
                  <w:pPr>
                    <w:ind w:left="0" w:right="0"/>
                  </w:pPr>
                </w:p>
              </w:tc>
              <w:tc>
                <w:tcPr>
                  <w:tcW w:w="2115" w:type="dxa"/>
                  <w:vAlign w:val="top"/>
                </w:tcPr>
                <w:p>
                  <w:pPr>
                    <w:ind w:left="0" w:right="0"/>
                  </w:pPr>
                </w:p>
              </w:tc>
              <w:tc>
                <w:tcPr>
                  <w:tcW w:w="1620" w:type="dxa"/>
                  <w:vAlign w:val="top"/>
                </w:tcPr>
                <w:p>
                  <w:pPr>
                    <w:ind w:left="0" w:right="0"/>
                  </w:pPr>
                </w:p>
              </w:tc>
              <w:tc>
                <w:tcPr>
                  <w:tcW w:w="3600" w:type="dxa"/>
                  <w:vAlign w:val="top"/>
                </w:tcPr>
                <w:p>
                  <w:pPr>
                    <w:ind w:left="0" w:right="0"/>
                  </w:pPr>
                </w:p>
              </w:tc>
            </w:tr>
          </w:tbl>
          <w:p>
            <w:pPr>
              <w:spacing w:before="240" w:after="240"/>
              <w:ind w:left="0" w:right="0"/>
              <w:rPr>
                <w:rFonts w:ascii="Arial" w:hAnsi="Arial"/>
                <w:sz w:val="21"/>
              </w:rPr>
            </w:pPr>
            <w:r>
              <w:rPr>
                <w:rFonts w:ascii="Arial" w:hAnsi="Arial"/>
                <w:b w:val="1"/>
                <w:sz w:val="21"/>
                <w:u w:val="single"/>
              </w:rPr>
              <w:t>TOBACCO INDUSTRY SIGNS</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2145" w:type="dxa"/>
                  <w:vAlign w:val="top"/>
                </w:tcPr>
                <w:p>
                  <w:pPr>
                    <w:ind w:left="0" w:right="0"/>
                  </w:pPr>
                </w:p>
              </w:tc>
              <w:tc>
                <w:tcPr>
                  <w:tcW w:w="2250" w:type="dxa"/>
                  <w:vAlign w:val="top"/>
                </w:tcPr>
                <w:p>
                  <w:pPr>
                    <w:spacing w:before="240" w:after="240"/>
                    <w:ind w:left="0" w:right="0"/>
                    <w:rPr>
                      <w:rFonts w:ascii="Arial" w:hAnsi="Arial"/>
                      <w:sz w:val="21"/>
                    </w:rPr>
                  </w:pPr>
                  <w:r>
                    <w:rPr>
                      <w:rFonts w:ascii="Arial" w:hAnsi="Arial"/>
                      <w:b w:val="1"/>
                      <w:sz w:val="21"/>
                    </w:rPr>
                    <w:t>Checkout counter</w:t>
                  </w:r>
                </w:p>
              </w:tc>
              <w:tc>
                <w:tcPr>
                  <w:tcW w:w="2145" w:type="dxa"/>
                  <w:vAlign w:val="top"/>
                </w:tcPr>
                <w:p>
                  <w:pPr>
                    <w:spacing w:before="240" w:after="240"/>
                    <w:ind w:left="0" w:right="0"/>
                    <w:rPr>
                      <w:rFonts w:ascii="Arial" w:hAnsi="Arial"/>
                      <w:sz w:val="21"/>
                    </w:rPr>
                  </w:pPr>
                  <w:r>
                    <w:rPr>
                      <w:rFonts w:ascii="Arial" w:hAnsi="Arial"/>
                      <w:b w:val="1"/>
                      <w:sz w:val="21"/>
                    </w:rPr>
                    <w:t>Tobacco display site</w:t>
                  </w:r>
                </w:p>
              </w:tc>
              <w:tc>
                <w:tcPr>
                  <w:tcW w:w="1575" w:type="dxa"/>
                  <w:vAlign w:val="top"/>
                </w:tcPr>
                <w:p>
                  <w:pPr>
                    <w:spacing w:before="240" w:after="240"/>
                    <w:ind w:left="0" w:right="0"/>
                    <w:rPr>
                      <w:rFonts w:ascii="Arial" w:hAnsi="Arial"/>
                      <w:sz w:val="21"/>
                    </w:rPr>
                  </w:pPr>
                  <w:r>
                    <w:rPr>
                      <w:rFonts w:ascii="Arial" w:hAnsi="Arial"/>
                      <w:b w:val="1"/>
                      <w:sz w:val="21"/>
                    </w:rPr>
                    <w:t>Doors/ windows</w:t>
                  </w:r>
                </w:p>
              </w:tc>
              <w:tc>
                <w:tcPr>
                  <w:tcW w:w="3600" w:type="dxa"/>
                  <w:vAlign w:val="top"/>
                </w:tcPr>
                <w:p>
                  <w:pPr>
                    <w:spacing w:before="240" w:after="240"/>
                    <w:ind w:left="0" w:right="0"/>
                    <w:rPr>
                      <w:rFonts w:ascii="Arial" w:hAnsi="Arial"/>
                      <w:sz w:val="21"/>
                    </w:rPr>
                  </w:pPr>
                  <w:r>
                    <w:rPr>
                      <w:rFonts w:ascii="Arial" w:hAnsi="Arial"/>
                      <w:b w:val="1"/>
                      <w:sz w:val="21"/>
                    </w:rPr>
                    <w:t>Other (specify)</w:t>
                  </w:r>
                </w:p>
              </w:tc>
            </w:tr>
            <w:tr>
              <w:tc>
                <w:tcPr>
                  <w:tcW w:w="2145" w:type="dxa"/>
                  <w:vAlign w:val="top"/>
                </w:tcPr>
                <w:p>
                  <w:pPr>
                    <w:spacing w:before="240" w:after="240"/>
                    <w:ind w:left="0" w:right="0"/>
                    <w:rPr>
                      <w:rFonts w:ascii="Arial" w:hAnsi="Arial"/>
                      <w:sz w:val="21"/>
                    </w:rPr>
                  </w:pPr>
                  <w:r>
                    <w:rPr>
                      <w:rFonts w:ascii="Arial" w:hAnsi="Arial"/>
                      <w:b w:val="1"/>
                      <w:sz w:val="21"/>
                    </w:rPr>
                    <w:t>If You Ask/ We Ask</w:t>
                  </w:r>
                </w:p>
              </w:tc>
              <w:tc>
                <w:tcPr>
                  <w:tcW w:w="2250" w:type="dxa"/>
                  <w:vAlign w:val="top"/>
                </w:tcPr>
                <w:p>
                  <w:pPr>
                    <w:ind w:left="0" w:right="0"/>
                  </w:pPr>
                </w:p>
              </w:tc>
              <w:tc>
                <w:tcPr>
                  <w:tcW w:w="2145" w:type="dxa"/>
                  <w:vAlign w:val="top"/>
                </w:tcPr>
                <w:p>
                  <w:pPr>
                    <w:ind w:left="0" w:right="0"/>
                  </w:pPr>
                </w:p>
              </w:tc>
              <w:tc>
                <w:tcPr>
                  <w:tcW w:w="1575" w:type="dxa"/>
                  <w:vAlign w:val="top"/>
                </w:tcPr>
                <w:p>
                  <w:pPr>
                    <w:ind w:left="0" w:right="0"/>
                  </w:pPr>
                </w:p>
              </w:tc>
              <w:tc>
                <w:tcPr>
                  <w:tcW w:w="3600" w:type="dxa"/>
                  <w:vAlign w:val="top"/>
                </w:tcPr>
                <w:p>
                  <w:pPr>
                    <w:ind w:left="0" w:right="0"/>
                  </w:pPr>
                </w:p>
              </w:tc>
            </w:tr>
            <w:tr>
              <w:tc>
                <w:tcPr>
                  <w:tcW w:w="2145" w:type="dxa"/>
                  <w:vAlign w:val="top"/>
                </w:tcPr>
                <w:p>
                  <w:pPr>
                    <w:spacing w:before="240" w:after="240"/>
                    <w:ind w:left="0" w:right="0"/>
                    <w:rPr>
                      <w:rFonts w:ascii="Arial" w:hAnsi="Arial"/>
                      <w:sz w:val="21"/>
                    </w:rPr>
                  </w:pPr>
                  <w:r>
                    <w:rPr>
                      <w:rFonts w:ascii="Arial" w:hAnsi="Arial"/>
                      <w:b w:val="1"/>
                      <w:sz w:val="21"/>
                    </w:rPr>
                    <w:t>It’s the Law</w:t>
                  </w:r>
                </w:p>
              </w:tc>
              <w:tc>
                <w:tcPr>
                  <w:tcW w:w="2250" w:type="dxa"/>
                  <w:vAlign w:val="top"/>
                </w:tcPr>
                <w:p>
                  <w:pPr>
                    <w:ind w:left="0" w:right="0"/>
                  </w:pPr>
                </w:p>
              </w:tc>
              <w:tc>
                <w:tcPr>
                  <w:tcW w:w="2145" w:type="dxa"/>
                  <w:vAlign w:val="top"/>
                </w:tcPr>
                <w:p>
                  <w:pPr>
                    <w:ind w:left="0" w:right="0"/>
                  </w:pPr>
                </w:p>
              </w:tc>
              <w:tc>
                <w:tcPr>
                  <w:tcW w:w="1575" w:type="dxa"/>
                  <w:vAlign w:val="top"/>
                </w:tcPr>
                <w:p>
                  <w:pPr>
                    <w:ind w:left="0" w:right="0"/>
                  </w:pPr>
                </w:p>
              </w:tc>
              <w:tc>
                <w:tcPr>
                  <w:tcW w:w="3600" w:type="dxa"/>
                  <w:vAlign w:val="top"/>
                </w:tcPr>
                <w:p>
                  <w:pPr>
                    <w:ind w:left="0" w:right="0"/>
                  </w:pPr>
                </w:p>
              </w:tc>
            </w:tr>
            <w:tr>
              <w:tc>
                <w:tcPr>
                  <w:tcW w:w="2145" w:type="dxa"/>
                  <w:vAlign w:val="top"/>
                </w:tcPr>
                <w:p>
                  <w:pPr>
                    <w:spacing w:before="240" w:after="240"/>
                    <w:ind w:left="0" w:right="0"/>
                    <w:rPr>
                      <w:rFonts w:ascii="Arial" w:hAnsi="Arial"/>
                      <w:sz w:val="21"/>
                    </w:rPr>
                  </w:pPr>
                  <w:r>
                    <w:rPr>
                      <w:rFonts w:ascii="Arial" w:hAnsi="Arial"/>
                      <w:b w:val="1"/>
                      <w:sz w:val="21"/>
                    </w:rPr>
                    <w:t>We CARD</w:t>
                  </w:r>
                </w:p>
              </w:tc>
              <w:tc>
                <w:tcPr>
                  <w:tcW w:w="2250" w:type="dxa"/>
                  <w:vAlign w:val="top"/>
                </w:tcPr>
                <w:p>
                  <w:pPr>
                    <w:ind w:left="0" w:right="0"/>
                  </w:pPr>
                </w:p>
              </w:tc>
              <w:tc>
                <w:tcPr>
                  <w:tcW w:w="2145" w:type="dxa"/>
                  <w:vAlign w:val="top"/>
                </w:tcPr>
                <w:p>
                  <w:pPr>
                    <w:ind w:left="0" w:right="0"/>
                  </w:pPr>
                </w:p>
              </w:tc>
              <w:tc>
                <w:tcPr>
                  <w:tcW w:w="1575" w:type="dxa"/>
                  <w:vAlign w:val="top"/>
                </w:tcPr>
                <w:p>
                  <w:pPr>
                    <w:ind w:left="0" w:right="0"/>
                  </w:pPr>
                </w:p>
              </w:tc>
              <w:tc>
                <w:tcPr>
                  <w:tcW w:w="3600" w:type="dxa"/>
                  <w:vAlign w:val="top"/>
                </w:tcPr>
                <w:p>
                  <w:pPr>
                    <w:ind w:left="0" w:right="0"/>
                  </w:pPr>
                </w:p>
              </w:tc>
            </w:tr>
            <w:tr>
              <w:tc>
                <w:tcPr>
                  <w:tcW w:w="2145" w:type="dxa"/>
                  <w:vAlign w:val="top"/>
                </w:tcPr>
                <w:p>
                  <w:pPr>
                    <w:spacing w:before="240" w:after="240"/>
                    <w:ind w:left="0" w:right="0"/>
                    <w:rPr>
                      <w:rFonts w:ascii="Arial" w:hAnsi="Arial"/>
                      <w:sz w:val="21"/>
                    </w:rPr>
                  </w:pPr>
                  <w:r>
                    <w:rPr>
                      <w:rFonts w:ascii="Arial" w:hAnsi="Arial"/>
                      <w:b w:val="1"/>
                      <w:sz w:val="21"/>
                    </w:rPr>
                    <w:t>Support the Law: It Works</w:t>
                  </w:r>
                </w:p>
              </w:tc>
              <w:tc>
                <w:tcPr>
                  <w:tcW w:w="2250" w:type="dxa"/>
                  <w:vAlign w:val="top"/>
                </w:tcPr>
                <w:p>
                  <w:pPr>
                    <w:ind w:left="0" w:right="0"/>
                  </w:pPr>
                </w:p>
              </w:tc>
              <w:tc>
                <w:tcPr>
                  <w:tcW w:w="2145" w:type="dxa"/>
                  <w:vAlign w:val="top"/>
                </w:tcPr>
                <w:p>
                  <w:pPr>
                    <w:ind w:left="0" w:right="0"/>
                  </w:pPr>
                </w:p>
              </w:tc>
              <w:tc>
                <w:tcPr>
                  <w:tcW w:w="1575" w:type="dxa"/>
                  <w:vAlign w:val="top"/>
                </w:tcPr>
                <w:p>
                  <w:pPr>
                    <w:ind w:left="0" w:right="0"/>
                  </w:pPr>
                </w:p>
              </w:tc>
              <w:tc>
                <w:tcPr>
                  <w:tcW w:w="3600" w:type="dxa"/>
                  <w:vAlign w:val="top"/>
                </w:tcPr>
                <w:p>
                  <w:pPr>
                    <w:ind w:left="0" w:right="0"/>
                  </w:pPr>
                </w:p>
              </w:tc>
            </w:tr>
            <w:tr>
              <w:tc>
                <w:tcPr>
                  <w:tcW w:w="2145" w:type="dxa"/>
                  <w:vAlign w:val="top"/>
                </w:tcPr>
                <w:p>
                  <w:pPr>
                    <w:spacing w:before="240" w:after="240"/>
                    <w:ind w:left="0" w:right="0"/>
                    <w:rPr>
                      <w:rFonts w:ascii="Arial" w:hAnsi="Arial"/>
                      <w:sz w:val="21"/>
                    </w:rPr>
                  </w:pPr>
                  <w:r>
                    <w:rPr>
                      <w:rFonts w:ascii="Arial" w:hAnsi="Arial"/>
                      <w:b w:val="1"/>
                      <w:sz w:val="21"/>
                    </w:rPr>
                    <w:t>Help stop underage smoking: Don’t Buy Cigarettes for Kids</w:t>
                  </w:r>
                </w:p>
              </w:tc>
              <w:tc>
                <w:tcPr>
                  <w:tcW w:w="2250" w:type="dxa"/>
                  <w:vAlign w:val="top"/>
                </w:tcPr>
                <w:p>
                  <w:pPr>
                    <w:ind w:left="0" w:right="0"/>
                  </w:pPr>
                </w:p>
              </w:tc>
              <w:tc>
                <w:tcPr>
                  <w:tcW w:w="2145" w:type="dxa"/>
                  <w:vAlign w:val="top"/>
                </w:tcPr>
                <w:p>
                  <w:pPr>
                    <w:ind w:left="0" w:right="0"/>
                  </w:pPr>
                </w:p>
              </w:tc>
              <w:tc>
                <w:tcPr>
                  <w:tcW w:w="1575" w:type="dxa"/>
                  <w:vAlign w:val="top"/>
                </w:tcPr>
                <w:p>
                  <w:pPr>
                    <w:ind w:left="0" w:right="0"/>
                  </w:pPr>
                </w:p>
              </w:tc>
              <w:tc>
                <w:tcPr>
                  <w:tcW w:w="3600" w:type="dxa"/>
                  <w:vAlign w:val="top"/>
                </w:tcPr>
                <w:p>
                  <w:pPr>
                    <w:ind w:left="0" w:right="0"/>
                  </w:pPr>
                </w:p>
              </w:tc>
            </w:tr>
            <w:tr>
              <w:tc>
                <w:tcPr>
                  <w:tcW w:w="2145" w:type="dxa"/>
                  <w:vAlign w:val="top"/>
                </w:tcPr>
                <w:p>
                  <w:pPr>
                    <w:spacing w:before="240" w:after="240"/>
                    <w:ind w:left="0" w:right="0"/>
                    <w:rPr>
                      <w:rFonts w:ascii="Arial" w:hAnsi="Arial"/>
                      <w:sz w:val="21"/>
                    </w:rPr>
                  </w:pPr>
                  <w:r>
                    <w:rPr>
                      <w:rFonts w:ascii="Arial" w:hAnsi="Arial"/>
                      <w:b w:val="1"/>
                      <w:sz w:val="21"/>
                    </w:rPr>
                    <w:t>Other (specify) _____________</w:t>
                  </w:r>
                </w:p>
              </w:tc>
              <w:tc>
                <w:tcPr>
                  <w:tcW w:w="2250" w:type="dxa"/>
                  <w:vAlign w:val="top"/>
                </w:tcPr>
                <w:p>
                  <w:pPr>
                    <w:ind w:left="0" w:right="0"/>
                  </w:pPr>
                </w:p>
              </w:tc>
              <w:tc>
                <w:tcPr>
                  <w:tcW w:w="2145" w:type="dxa"/>
                  <w:vAlign w:val="top"/>
                </w:tcPr>
                <w:p>
                  <w:pPr>
                    <w:ind w:left="0" w:right="0"/>
                  </w:pPr>
                </w:p>
              </w:tc>
              <w:tc>
                <w:tcPr>
                  <w:tcW w:w="1575" w:type="dxa"/>
                  <w:vAlign w:val="top"/>
                </w:tcPr>
                <w:p>
                  <w:pPr>
                    <w:ind w:left="0" w:right="0"/>
                  </w:pPr>
                </w:p>
              </w:tc>
              <w:tc>
                <w:tcPr>
                  <w:tcW w:w="3600" w:type="dxa"/>
                  <w:vAlign w:val="top"/>
                </w:tcPr>
                <w:p>
                  <w:pPr>
                    <w:ind w:left="0" w:right="0"/>
                  </w:pP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Item number 8 of the 2014 Statewide Youth Tobacco Purchase Survey (YTPS) was selected because it captures the presence and location of public relations signage, as well as local, state and federal signage related to tobacco purchases by minors. The survey is also easily completed by adults or minors, and it includes blank sections that allow for new types of signage to be recorded.</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California Department of Public Health, California Tobacco Control Program. (2014). </w:t>
            </w:r>
            <w:r>
              <w:rPr>
                <w:rFonts w:ascii="Arial" w:hAnsi="Arial"/>
                <w:i w:val="1"/>
                <w:sz w:val="21"/>
              </w:rPr>
              <w:t>Statewide Youth Tobacco Purchase Survey 2014.</w:t>
            </w:r>
            <w:r>
              <w:rPr>
                <w:rFonts w:ascii="Arial" w:hAnsi="Arial"/>
                <w:sz w:val="21"/>
              </w:rPr>
              <w:t xml:space="preserve"> Sacramento, CA: Author. Section II, Observations, Item 8.</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Adults or minors under the age of 18.</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Apollonio, D. E., &amp; Malone, R. E. (2010). The We Card program: Tobacco industry "youth smoking prevention" as industry self-preservation. </w:t>
            </w:r>
            <w:r>
              <w:rPr>
                <w:rFonts w:ascii="Arial" w:hAnsi="Arial"/>
                <w:i w:val="1"/>
                <w:sz w:val="21"/>
              </w:rPr>
              <w:t>American Journal of Public Health, 100</w:t>
            </w:r>
            <w:r>
              <w:rPr>
                <w:rFonts w:ascii="Arial" w:hAnsi="Arial"/>
                <w:sz w:val="21"/>
              </w:rPr>
              <w:t>(7), 1188-1201.</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Observational assessment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15D76FC3"/>
    <w:multiLevelType w:val="hybridMultilevel"/>
    <w:lvl w:ilvl="0" w:tplc="6EF8A1DF">
      <w:start w:val="1"/>
      <w:numFmt w:val="bullet"/>
      <w:suff w:val="tab"/>
      <w:lvlText w:val="·"/>
      <w:lvlJc w:val="left"/>
      <w:pPr>
        <w:ind w:hanging="360" w:left="720"/>
      </w:pPr>
      <w:rPr>
        <w:rFonts w:ascii="Symbol" w:hAnsi="Symbol"/>
      </w:rPr>
    </w:lvl>
    <w:lvl w:ilvl="1" w:tplc="3905F0BC">
      <w:start w:val="1"/>
      <w:numFmt w:val="bullet"/>
      <w:suff w:val="tab"/>
      <w:lvlText w:val="o"/>
      <w:lvlJc w:val="left"/>
      <w:pPr>
        <w:ind w:hanging="360" w:left="1440"/>
      </w:pPr>
      <w:rPr>
        <w:rFonts w:ascii="Symbol" w:hAnsi="Symbol"/>
      </w:rPr>
    </w:lvl>
    <w:lvl w:ilvl="2" w:tplc="01DC80EE">
      <w:start w:val="1"/>
      <w:numFmt w:val="bullet"/>
      <w:suff w:val="tab"/>
      <w:lvlText w:val="·"/>
      <w:lvlJc w:val="left"/>
      <w:pPr>
        <w:ind w:hanging="360" w:left="2160"/>
      </w:pPr>
      <w:rPr>
        <w:rFonts w:ascii="Symbol" w:hAnsi="Symbol"/>
      </w:rPr>
    </w:lvl>
    <w:lvl w:ilvl="3" w:tplc="23DB9608">
      <w:start w:val="1"/>
      <w:numFmt w:val="bullet"/>
      <w:suff w:val="tab"/>
      <w:lvlText w:val="o"/>
      <w:lvlJc w:val="left"/>
      <w:pPr>
        <w:ind w:hanging="360" w:left="2880"/>
      </w:pPr>
      <w:rPr>
        <w:rFonts w:ascii="Symbol" w:hAnsi="Symbol"/>
      </w:rPr>
    </w:lvl>
    <w:lvl w:ilvl="4" w:tplc="2C808512">
      <w:start w:val="1"/>
      <w:numFmt w:val="bullet"/>
      <w:suff w:val="tab"/>
      <w:lvlText w:val="·"/>
      <w:lvlJc w:val="left"/>
      <w:pPr>
        <w:ind w:hanging="360" w:left="3600"/>
      </w:pPr>
      <w:rPr>
        <w:rFonts w:ascii="Symbol" w:hAnsi="Symbol"/>
      </w:rPr>
    </w:lvl>
    <w:lvl w:ilvl="5" w:tplc="1C793A10">
      <w:start w:val="1"/>
      <w:numFmt w:val="bullet"/>
      <w:suff w:val="tab"/>
      <w:lvlText w:val="o"/>
      <w:lvlJc w:val="left"/>
      <w:pPr>
        <w:ind w:hanging="360" w:left="4320"/>
      </w:pPr>
      <w:rPr>
        <w:rFonts w:ascii="Symbol" w:hAnsi="Symbol"/>
      </w:rPr>
    </w:lvl>
    <w:lvl w:ilvl="6" w:tplc="790A9B2F">
      <w:start w:val="1"/>
      <w:numFmt w:val="bullet"/>
      <w:suff w:val="tab"/>
      <w:lvlText w:val="·"/>
      <w:lvlJc w:val="left"/>
      <w:pPr>
        <w:ind w:hanging="360" w:left="5040"/>
      </w:pPr>
      <w:rPr>
        <w:rFonts w:ascii="Symbol" w:hAnsi="Symbol"/>
      </w:rPr>
    </w:lvl>
    <w:lvl w:ilvl="7" w:tplc="38CEF432">
      <w:start w:val="1"/>
      <w:numFmt w:val="bullet"/>
      <w:suff w:val="tab"/>
      <w:lvlText w:val="o"/>
      <w:lvlJc w:val="left"/>
      <w:pPr>
        <w:ind w:hanging="360" w:left="5760"/>
      </w:pPr>
      <w:rPr>
        <w:rFonts w:ascii="Symbol" w:hAnsi="Symbol"/>
      </w:rPr>
    </w:lvl>
    <w:lvl w:ilvl="8" w:tplc="61061898">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