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9C9E0F4" Type="http://schemas.openxmlformats.org/officeDocument/2006/relationships/officeDocument" Target="/word/document.xml" /><Relationship Id="coreR79C9E0F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750801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Environment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Neighborhood-level Racial/Ethnic Composition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This measure uses readily available secondary data from the U.S. Census Bureau to determine the racial/ethnic composition at the neighborhood level.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This measure examines various population characteristics, including the percentage of individuals within a certain group that are foreign born and the percentage of individuals who speak another language, to determine the racial/ethnic composition at the neighborhood level.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Neighborhood Concentrated Disadvantage [211301]</w:t>
              <w:br w:type="textWrapping"/>
              <w:t>Neighborhood Concentrated Disadvantage [211302]</w:t>
              <w:br w:type="textWrapping"/>
              <w:t>Race/Ethnic Residential Segregation [211401]</w:t>
              <w:br w:type="textWrapping"/>
              <w:t>Race/Ethnic Residential Segregation - U.S. Census [211402]</w:t>
              <w:br w:type="textWrapping"/>
              <w:t>Race/Ethnic Residential Segregation - American Community Survey [211403]</w:t>
              <w:br w:type="textWrapping"/>
              <w:t xml:space="preserve">Race/Ethnic Residential Segregation - Separation (S) Index, Unbiased [211404]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Neighborhood-level Racial/Ethnic Composition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U.S. Census Bureau, Census 2010, Summary File 1, Technical Documentation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neighborhood; racial; race; ethnic; ethnicity; U.S. Census; census; census tract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 xml:space="preserve">This protocol uses data from the U.S. Census Bureau on the racial/ethnic composition of a neighborhood, which can be calculated at the census-tract or block-group level. The relevant variables are available from the long form of the 2010 decennial Census. </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 xml:space="preserve">Depending upon the focus of the study, the user can use tables downloaded from the U.S. Census website ([link[data.census.gov/|https://data.census.gov/]]) to calculate the following variables: </w:t>
            </w:r>
          </w:p>
          <w:p>
            <w:pPr>
              <w:numPr>
                <w:ilvl w:val="0"/>
                <w:numId w:val="1"/>
              </w:numPr>
              <w:spacing w:before="0" w:after="0"/>
              <w:ind w:hanging="360" w:left="720" w:right="0"/>
              <w:rPr>
                <w:rFonts w:ascii="Arial" w:hAnsi="Arial"/>
                <w:sz w:val="21"/>
              </w:rPr>
            </w:pPr>
            <w:r>
              <w:rPr>
                <w:rFonts w:ascii="Arial" w:hAnsi="Arial"/>
                <w:sz w:val="21"/>
              </w:rPr>
              <w:t xml:space="preserve">Percent White </w:t>
            </w:r>
          </w:p>
          <w:p>
            <w:pPr>
              <w:numPr>
                <w:ilvl w:val="0"/>
                <w:numId w:val="1"/>
              </w:numPr>
              <w:spacing w:before="0" w:after="0"/>
              <w:ind w:hanging="360" w:left="720" w:right="0"/>
              <w:rPr>
                <w:rFonts w:ascii="Arial" w:hAnsi="Arial"/>
                <w:sz w:val="21"/>
              </w:rPr>
            </w:pPr>
            <w:r>
              <w:rPr>
                <w:rFonts w:ascii="Arial" w:hAnsi="Arial"/>
                <w:sz w:val="21"/>
              </w:rPr>
              <w:t xml:space="preserve">Percent Black or African American </w:t>
            </w:r>
          </w:p>
          <w:p>
            <w:pPr>
              <w:numPr>
                <w:ilvl w:val="0"/>
                <w:numId w:val="1"/>
              </w:numPr>
              <w:spacing w:before="0" w:after="0"/>
              <w:ind w:hanging="360" w:left="720" w:right="0"/>
              <w:rPr>
                <w:rFonts w:ascii="Arial" w:hAnsi="Arial"/>
                <w:sz w:val="21"/>
              </w:rPr>
            </w:pPr>
            <w:r>
              <w:rPr>
                <w:rFonts w:ascii="Arial" w:hAnsi="Arial"/>
                <w:sz w:val="21"/>
              </w:rPr>
              <w:t xml:space="preserve">Percent American Indian and Alaska Native </w:t>
            </w:r>
          </w:p>
          <w:p>
            <w:pPr>
              <w:numPr>
                <w:ilvl w:val="0"/>
                <w:numId w:val="1"/>
              </w:numPr>
              <w:spacing w:before="0" w:after="0"/>
              <w:ind w:hanging="360" w:left="720" w:right="0"/>
              <w:rPr>
                <w:rFonts w:ascii="Arial" w:hAnsi="Arial"/>
                <w:sz w:val="21"/>
              </w:rPr>
            </w:pPr>
            <w:r>
              <w:rPr>
                <w:rFonts w:ascii="Arial" w:hAnsi="Arial"/>
                <w:sz w:val="21"/>
              </w:rPr>
              <w:t xml:space="preserve">Percent Asian </w:t>
            </w:r>
          </w:p>
          <w:p>
            <w:pPr>
              <w:numPr>
                <w:ilvl w:val="0"/>
                <w:numId w:val="1"/>
              </w:numPr>
              <w:spacing w:before="0" w:after="0"/>
              <w:ind w:hanging="360" w:left="720" w:right="0"/>
              <w:rPr>
                <w:rFonts w:ascii="Arial" w:hAnsi="Arial"/>
                <w:sz w:val="21"/>
              </w:rPr>
            </w:pPr>
            <w:r>
              <w:rPr>
                <w:rFonts w:ascii="Arial" w:hAnsi="Arial"/>
                <w:sz w:val="21"/>
              </w:rPr>
              <w:t xml:space="preserve">Percent Native Hawaiian and other Pacific Islander </w:t>
            </w:r>
          </w:p>
          <w:p>
            <w:pPr>
              <w:numPr>
                <w:ilvl w:val="0"/>
                <w:numId w:val="1"/>
              </w:numPr>
              <w:spacing w:before="0" w:after="0"/>
              <w:ind w:hanging="360" w:left="720" w:right="0"/>
              <w:rPr>
                <w:rFonts w:ascii="Arial" w:hAnsi="Arial"/>
                <w:sz w:val="21"/>
              </w:rPr>
            </w:pPr>
            <w:r>
              <w:rPr>
                <w:rFonts w:ascii="Arial" w:hAnsi="Arial"/>
                <w:sz w:val="21"/>
              </w:rPr>
              <w:t>Percent some other race</w:t>
            </w:r>
          </w:p>
          <w:p>
            <w:pPr>
              <w:spacing w:before="240" w:after="240"/>
              <w:ind w:left="0" w:right="0"/>
              <w:rPr>
                <w:rFonts w:ascii="Arial" w:hAnsi="Arial"/>
                <w:sz w:val="21"/>
              </w:rPr>
            </w:pPr>
            <w:r>
              <w:rPr>
                <w:rFonts w:ascii="Arial" w:hAnsi="Arial"/>
                <w:sz w:val="21"/>
              </w:rPr>
              <w:t xml:space="preserve">Because people of every race can also be Hispanic/Latino ethnicity, the user can refine these variables (e.g., percent non-Hispanic White, percent Hispanic White, percent non-Hispanic Black, percent Hispanic Black, etc.) </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The technical documentation for the 2010 decennial Census is available online at [link[data.census.gov|https://data.census.gov]].</w:t>
            </w:r>
          </w:p>
          <w:p>
            <w:pPr>
              <w:spacing w:before="240" w:after="240"/>
              <w:ind w:left="0" w:right="0"/>
              <w:rPr>
                <w:rFonts w:ascii="Arial" w:hAnsi="Arial"/>
                <w:sz w:val="21"/>
              </w:rPr>
            </w:pPr>
            <w:r>
              <w:rPr>
                <w:rFonts w:ascii="Arial" w:hAnsi="Arial"/>
                <w:sz w:val="21"/>
              </w:rPr>
              <w:t>2010 SF1 MS Access data: [link[www.census.gov/data/datasets/2010/dec/summary-file-1.html|https://www.census.gov/data/datasets/2010/dec/summary-file-1.html]]</w:t>
            </w:r>
          </w:p>
          <w:p>
            <w:pPr>
              <w:spacing w:before="240" w:after="240"/>
              <w:ind w:left="0" w:right="0"/>
              <w:rPr>
                <w:rFonts w:ascii="Arial" w:hAnsi="Arial"/>
                <w:sz w:val="21"/>
              </w:rPr>
            </w:pPr>
            <w:r>
              <w:rPr>
                <w:rFonts w:ascii="Arial" w:hAnsi="Arial"/>
                <w:sz w:val="21"/>
              </w:rPr>
              <w:t xml:space="preserve">Data Table: </w:t>
            </w:r>
          </w:p>
          <w:p>
            <w:pPr>
              <w:spacing w:before="240" w:after="240"/>
              <w:ind w:left="0" w:right="0"/>
              <w:rPr>
                <w:rFonts w:ascii="Arial" w:hAnsi="Arial"/>
                <w:sz w:val="21"/>
              </w:rPr>
            </w:pPr>
            <w:r>
              <w:rPr>
                <w:rFonts w:ascii="Arial" w:hAnsi="Arial"/>
                <w:sz w:val="21"/>
              </w:rPr>
              <w:t>[link[data.census.gov/cedsci/table?q=p5&amp;tid=DECENNIALSF12010.P5|https://data.census.gov/cedsci/table?q=p5&amp;tid=DECENNIALSF12010.P5]]</w:t>
            </w:r>
          </w:p>
          <w:p>
            <w:pPr>
              <w:spacing w:before="240" w:after="240"/>
              <w:ind w:left="0" w:right="0"/>
              <w:rPr>
                <w:rFonts w:ascii="Arial" w:hAnsi="Arial"/>
                <w:sz w:val="21"/>
              </w:rPr>
            </w:pPr>
            <w:r>
              <w:rPr>
                <w:rFonts w:ascii="Arial" w:hAnsi="Arial"/>
                <w:sz w:val="21"/>
              </w:rPr>
              <w:t>SF1 refers to Summary File 1 (the short form of the U.S. Census collected on everyone and referred to as "100% data"). Information about race along or in combination with Hispanic/Latino ethnicity is in table P5. The user can select the appropriate geography level (e.g., census tract) by clicking "Geos" button from the menu. The user can create tables and maps, extract data, or consult technical documentation. Users not familiar with Census data should consult the technical materials available at the U.S. Census website: [link[www2.census.gov/programs-surveys/decennial/2010/technical-documentation/complete-tech-docs/summary-file/sf1.pdf|https://www2.census.gov/programs-surveys/decennial/2010/technical-documentation/complete-tech-docs/summary-file/sf1.pdf]].</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This protocol uses data from the U.S. Census Bureau on the racial/ethnic composition of a neighborhood, which can be calculated at the census tract or block-group level. The relevant variables are available from the long form of the 2010 decennial Census.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U.S. Census Bureau decennial Census (2010).</w:t>
            </w:r>
          </w:p>
          <w:p>
            <w:pPr>
              <w:spacing w:before="240" w:after="240"/>
              <w:ind w:left="0" w:right="0"/>
              <w:rPr>
                <w:rFonts w:ascii="Arial" w:hAnsi="Arial"/>
                <w:sz w:val="21"/>
              </w:rPr>
            </w:pPr>
            <w:r>
              <w:rPr>
                <w:rFonts w:ascii="Arial" w:hAnsi="Arial"/>
                <w:sz w:val="21"/>
              </w:rPr>
              <w:t xml:space="preserve">U.S. Census Bureau. (2011). Census 2010, Summary File 1, Technical Documentation. Available from [link[www2.census.gov/programs-surveys/decennial/2010/technical-documentation/complete-tech-docs/summary-file/sf1.pdf|https://www2.census.gov/programs-surveys/decennial/2010/technical-documentation/complete-tech-docs/summary-file/sf1.pdf]]. </w:t>
            </w:r>
          </w:p>
          <w:p>
            <w:pPr>
              <w:spacing w:before="240" w:after="240"/>
              <w:ind w:left="0" w:right="0"/>
              <w:rPr>
                <w:rFonts w:ascii="Arial" w:hAnsi="Arial"/>
                <w:sz w:val="21"/>
              </w:rPr>
            </w:pPr>
            <w:r>
              <w:rPr>
                <w:rFonts w:ascii="Arial" w:hAnsi="Arial"/>
                <w:sz w:val="21"/>
              </w:rPr>
              <w:t xml:space="preserve">U.S. Census Bureau. (2021). How-to materials for using data.census.gov. Available from [link[www.census.gov/data/what-is-data-census-gov/guidance-for-data-users/how-to-materials-for-using-data-census-gov.html|https://www.census.gov/data/what-is-data-census-gov/guidance-for-data-users/how-to-materials-for-using-data-census-gov.html]]. </w:t>
            </w:r>
          </w:p>
          <w:p>
            <w:pPr>
              <w:spacing w:before="240" w:after="240"/>
              <w:ind w:left="0" w:right="0"/>
              <w:rPr>
                <w:rFonts w:ascii="Arial" w:hAnsi="Arial"/>
                <w:sz w:val="21"/>
              </w:rPr>
            </w:pPr>
            <w:r>
              <w:rPr>
                <w:rFonts w:ascii="Arial" w:hAnsi="Arial"/>
                <w:sz w:val="21"/>
              </w:rPr>
              <w:t xml:space="preserve">U.S. Census website: [link[data.census.gov/|https://data.census.gov/]] </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Not applicable: derived from publicly available secondary data.</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Knowledge of Census data products and websites, such as the U.S. Census website, or commercial geospatial data products, such as that provided by vendors like GeoLytics ([link[www.geolytics.com|http://www.geolytics.com]]).</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Access to a desktop/laptop computer with internet access to download raw data from the U.S. Census Bureaus Explore Census Data website ([link[data.census.gov/|https://data.census.gov/]]). Statistical Packages (e.g., SPSS, SAS) for data manipulation.</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Asumda, F., &amp; Jordan, L. (2009). Minority youth access to tobacco: a neighborhood analysis of underage tobacco sales. </w:t>
            </w:r>
            <w:r>
              <w:rPr>
                <w:rFonts w:ascii="Arial" w:hAnsi="Arial"/>
                <w:i w:val="1"/>
                <w:sz w:val="21"/>
              </w:rPr>
              <w:t>Health and Place, 15</w:t>
            </w:r>
            <w:r>
              <w:rPr>
                <w:rFonts w:ascii="Arial" w:hAnsi="Arial"/>
                <w:sz w:val="21"/>
              </w:rPr>
              <w:t>(1):140-147. doi:10.1016/j.healthplace.2008.03.006</w:t>
            </w:r>
          </w:p>
          <w:p>
            <w:pPr>
              <w:spacing w:before="240" w:after="240"/>
              <w:ind w:left="0" w:right="0"/>
              <w:rPr>
                <w:rFonts w:ascii="Arial" w:hAnsi="Arial"/>
                <w:sz w:val="21"/>
              </w:rPr>
            </w:pPr>
            <w:r>
              <w:rPr>
                <w:rFonts w:ascii="Arial" w:hAnsi="Arial"/>
                <w:sz w:val="21"/>
              </w:rPr>
              <w:t xml:space="preserve">Borrell, L. N., Kiefe, C. I., Diez-Roux, A. V., Williams, D. R., &amp; Gordon-Larsen, P. (2013). Racial discrimination, racial/ethnic segregation, and health behaviors in the CARDIA study. </w:t>
            </w:r>
            <w:r>
              <w:rPr>
                <w:rFonts w:ascii="Arial" w:hAnsi="Arial"/>
                <w:i w:val="1"/>
                <w:sz w:val="21"/>
              </w:rPr>
              <w:t>Ethnicity and Health, 18</w:t>
            </w:r>
            <w:r>
              <w:rPr>
                <w:rFonts w:ascii="Arial" w:hAnsi="Arial"/>
                <w:sz w:val="21"/>
              </w:rPr>
              <w:t>(3), 227-243. doi:10.1080/13557858.2012.713092</w:t>
            </w:r>
          </w:p>
          <w:p>
            <w:pPr>
              <w:spacing w:before="240" w:after="240"/>
              <w:ind w:left="0" w:right="0"/>
              <w:rPr>
                <w:rFonts w:ascii="Arial" w:hAnsi="Arial"/>
                <w:sz w:val="21"/>
              </w:rPr>
            </w:pPr>
            <w:r>
              <w:rPr>
                <w:rFonts w:ascii="Arial" w:hAnsi="Arial"/>
                <w:sz w:val="21"/>
              </w:rPr>
              <w:t xml:space="preserve">Gonzalez, M., Sanders-Jackson, A., Song, A. V., Cheng, K. W., &amp; Glantz, S. A. (2013). Strong smoke-free law coverage in the United States by race/ethnicity: 2000-2009. </w:t>
            </w:r>
            <w:r>
              <w:rPr>
                <w:rFonts w:ascii="Arial" w:hAnsi="Arial"/>
                <w:i w:val="1"/>
                <w:sz w:val="21"/>
              </w:rPr>
              <w:t>American Journal of Public Health, 103</w:t>
            </w:r>
            <w:r>
              <w:rPr>
                <w:rFonts w:ascii="Arial" w:hAnsi="Arial"/>
                <w:sz w:val="21"/>
              </w:rPr>
              <w:t>(5), e62-66. doi:10.2105/AJPH.2012.301045</w:t>
            </w:r>
          </w:p>
          <w:p>
            <w:pPr>
              <w:spacing w:before="240" w:after="240"/>
              <w:ind w:left="0" w:right="0"/>
              <w:rPr>
                <w:rFonts w:ascii="Arial" w:hAnsi="Arial"/>
                <w:sz w:val="21"/>
              </w:rPr>
            </w:pPr>
            <w:r>
              <w:rPr>
                <w:rFonts w:ascii="Arial" w:hAnsi="Arial"/>
                <w:sz w:val="21"/>
              </w:rPr>
              <w:t xml:space="preserve">Siahpush, M., Jones, P. R., Singh, G. K., Timsina, L. R., &amp; Martin, J. (2010). Association of availability of tobacco products with socio-economic and racial/ethnic characteristics of neighbourhoods. </w:t>
            </w:r>
            <w:r>
              <w:rPr>
                <w:rFonts w:ascii="Arial" w:hAnsi="Arial"/>
                <w:i w:val="1"/>
                <w:sz w:val="21"/>
              </w:rPr>
              <w:t>Public Health, 124</w:t>
            </w:r>
            <w:r>
              <w:rPr>
                <w:rFonts w:ascii="Arial" w:hAnsi="Arial"/>
                <w:sz w:val="21"/>
              </w:rPr>
              <w:t>(9), 525-529. doi:10.1016/j.puhe.2010.04.010</w:t>
            </w:r>
          </w:p>
          <w:p>
            <w:pPr>
              <w:spacing w:before="240" w:after="240"/>
              <w:ind w:left="0" w:right="0"/>
              <w:rPr>
                <w:rFonts w:ascii="Arial" w:hAnsi="Arial"/>
                <w:sz w:val="21"/>
              </w:rPr>
            </w:pPr>
            <w:r>
              <w:rPr>
                <w:rFonts w:ascii="Arial" w:hAnsi="Arial"/>
                <w:sz w:val="21"/>
              </w:rPr>
              <w:t xml:space="preserve">Widome, R., Brock, B., Klein, E.. G., &amp; Forster, J. L. (2012). Smokeless tobacco advertising at the point of sale: Prevalence, placement, and demographic correlates. </w:t>
            </w:r>
            <w:r>
              <w:rPr>
                <w:rFonts w:ascii="Arial" w:hAnsi="Arial"/>
                <w:i w:val="1"/>
                <w:sz w:val="21"/>
              </w:rPr>
              <w:t>Nicotine and Tobacco Research, 14</w:t>
            </w:r>
            <w:r>
              <w:rPr>
                <w:rFonts w:ascii="Arial" w:hAnsi="Arial"/>
                <w:sz w:val="21"/>
              </w:rPr>
              <w:t>(2), 217-223. doi:10.1093/ntr/ntr188</w:t>
            </w:r>
          </w:p>
          <w:p>
            <w:pPr>
              <w:spacing w:before="240" w:after="240"/>
              <w:ind w:left="0" w:right="0"/>
              <w:rPr>
                <w:rFonts w:ascii="Arial" w:hAnsi="Arial"/>
                <w:sz w:val="21"/>
              </w:rPr>
            </w:pPr>
            <w:r>
              <w:rPr>
                <w:rFonts w:ascii="Arial" w:hAnsi="Arial"/>
                <w:sz w:val="21"/>
              </w:rPr>
              <w:t>Widome, R., Brock, B., Noble, P., &amp; Forster, J. L. (2013). The relationship of neighborhood demographic characteristics to point-of-sale tobacco advertising and marketing.</w:t>
            </w:r>
            <w:r>
              <w:rPr>
                <w:rFonts w:ascii="Arial" w:hAnsi="Arial"/>
                <w:i w:val="1"/>
                <w:sz w:val="21"/>
              </w:rPr>
              <w:t xml:space="preserve"> Ethnicity and Health, 18</w:t>
            </w:r>
            <w:r>
              <w:rPr>
                <w:rFonts w:ascii="Arial" w:hAnsi="Arial"/>
                <w:sz w:val="21"/>
              </w:rPr>
              <w:t>(2), 136-151. doi:10.1080/13557858.2012.701273</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Secondary Data Analysis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The Social Determinants of Health-X (SDoH-X) Working Group (WG) reviewed this protocol in May 2022.</w:t>
            </w:r>
          </w:p>
          <w:p>
            <w:pPr>
              <w:spacing w:before="240" w:after="240"/>
              <w:ind w:left="0" w:right="0"/>
              <w:rPr>
                <w:rFonts w:ascii="Arial" w:hAnsi="Arial"/>
                <w:sz w:val="21"/>
              </w:rPr>
            </w:pPr>
            <w:r>
              <w:rPr>
                <w:rFonts w:ascii="Arial" w:hAnsi="Arial"/>
                <w:sz w:val="21"/>
              </w:rPr>
              <w:t>Guidance from the SDoH-X WG includes:</w:t>
            </w:r>
          </w:p>
          <w:p>
            <w:pPr>
              <w:spacing w:before="240" w:after="240"/>
              <w:ind w:left="0" w:right="0"/>
              <w:rPr>
                <w:rFonts w:ascii="Arial" w:hAnsi="Arial"/>
                <w:sz w:val="21"/>
              </w:rPr>
            </w:pPr>
            <w:r>
              <w:rPr>
                <w:rFonts w:ascii="Arial" w:hAnsi="Arial"/>
                <w:sz w:val="21"/>
              </w:rPr>
              <w:t> • Replaced or Updated protocol</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29737F17"/>
    <w:multiLevelType w:val="hybridMultilevel"/>
    <w:lvl w:ilvl="0" w:tplc="52A354EB">
      <w:start w:val="1"/>
      <w:numFmt w:val="bullet"/>
      <w:suff w:val="tab"/>
      <w:lvlText w:val="·"/>
      <w:lvlJc w:val="left"/>
      <w:pPr>
        <w:ind w:hanging="360" w:left="720"/>
      </w:pPr>
      <w:rPr>
        <w:rFonts w:ascii="Symbol" w:hAnsi="Symbol"/>
      </w:rPr>
    </w:lvl>
    <w:lvl w:ilvl="1" w:tplc="7ED2336B">
      <w:start w:val="1"/>
      <w:numFmt w:val="bullet"/>
      <w:suff w:val="tab"/>
      <w:lvlText w:val="o"/>
      <w:lvlJc w:val="left"/>
      <w:pPr>
        <w:ind w:hanging="360" w:left="1440"/>
      </w:pPr>
      <w:rPr>
        <w:rFonts w:ascii="Symbol" w:hAnsi="Symbol"/>
      </w:rPr>
    </w:lvl>
    <w:lvl w:ilvl="2" w:tplc="435A317C">
      <w:start w:val="1"/>
      <w:numFmt w:val="bullet"/>
      <w:suff w:val="tab"/>
      <w:lvlText w:val="·"/>
      <w:lvlJc w:val="left"/>
      <w:pPr>
        <w:ind w:hanging="360" w:left="2160"/>
      </w:pPr>
      <w:rPr>
        <w:rFonts w:ascii="Symbol" w:hAnsi="Symbol"/>
      </w:rPr>
    </w:lvl>
    <w:lvl w:ilvl="3" w:tplc="20BCACD9">
      <w:start w:val="1"/>
      <w:numFmt w:val="bullet"/>
      <w:suff w:val="tab"/>
      <w:lvlText w:val="o"/>
      <w:lvlJc w:val="left"/>
      <w:pPr>
        <w:ind w:hanging="360" w:left="2880"/>
      </w:pPr>
      <w:rPr>
        <w:rFonts w:ascii="Symbol" w:hAnsi="Symbol"/>
      </w:rPr>
    </w:lvl>
    <w:lvl w:ilvl="4" w:tplc="3D0EF585">
      <w:start w:val="1"/>
      <w:numFmt w:val="bullet"/>
      <w:suff w:val="tab"/>
      <w:lvlText w:val="·"/>
      <w:lvlJc w:val="left"/>
      <w:pPr>
        <w:ind w:hanging="360" w:left="3600"/>
      </w:pPr>
      <w:rPr>
        <w:rFonts w:ascii="Symbol" w:hAnsi="Symbol"/>
      </w:rPr>
    </w:lvl>
    <w:lvl w:ilvl="5" w:tplc="4833D0FF">
      <w:start w:val="1"/>
      <w:numFmt w:val="bullet"/>
      <w:suff w:val="tab"/>
      <w:lvlText w:val="o"/>
      <w:lvlJc w:val="left"/>
      <w:pPr>
        <w:ind w:hanging="360" w:left="4320"/>
      </w:pPr>
      <w:rPr>
        <w:rFonts w:ascii="Symbol" w:hAnsi="Symbol"/>
      </w:rPr>
    </w:lvl>
    <w:lvl w:ilvl="6" w:tplc="7BA814DA">
      <w:start w:val="1"/>
      <w:numFmt w:val="bullet"/>
      <w:suff w:val="tab"/>
      <w:lvlText w:val="·"/>
      <w:lvlJc w:val="left"/>
      <w:pPr>
        <w:ind w:hanging="360" w:left="5040"/>
      </w:pPr>
      <w:rPr>
        <w:rFonts w:ascii="Symbol" w:hAnsi="Symbol"/>
      </w:rPr>
    </w:lvl>
    <w:lvl w:ilvl="7" w:tplc="6687B375">
      <w:start w:val="1"/>
      <w:numFmt w:val="bullet"/>
      <w:suff w:val="tab"/>
      <w:lvlText w:val="o"/>
      <w:lvlJc w:val="left"/>
      <w:pPr>
        <w:ind w:hanging="360" w:left="5760"/>
      </w:pPr>
      <w:rPr>
        <w:rFonts w:ascii="Symbol" w:hAnsi="Symbol"/>
      </w:rPr>
    </w:lvl>
    <w:lvl w:ilvl="8" w:tplc="1C268E88">
      <w:start w:val="1"/>
      <w:numFmt w:val="bullet"/>
      <w:suff w:val="tab"/>
      <w:lvlText w:val="·"/>
      <w:lvlJc w:val="left"/>
      <w:pPr>
        <w:ind w:hanging="360" w:left="6480"/>
      </w:pPr>
      <w:rPr>
        <w:rFonts w:ascii="Symbol" w:hAnsi="Symbol"/>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2024-04-23T17:00:12Z</dcterms:created>
  <cp:lastModifiedBy>Williams (He/Him), David</cp:lastModifiedBy>
  <dcterms:modified xsi:type="dcterms:W3CDTF">2024-04-23T17:00:12Z</dcterms:modified>
  <cp:revision>1</cp:revision>
</cp:coreProperties>
</file>