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1E7CD0" Type="http://schemas.openxmlformats.org/officeDocument/2006/relationships/officeDocument" Target="/word/document.xml" /><Relationship Id="coreR531E7CD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750901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Perceived Effectiveness of Anti-Tobacco Advertising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assesses the perceived effectiveness for multiple types of anti-tobacco advertisements to determine whether perceived effectiveness is predictive of changes in tobacco-related behaviors.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evaluate respondents’ reactions to anti-tobacco advertisements by using a multi-item scale. Understanding the perceived effectiveness of specific types of anti-tobacco advertisements can help identify message strategies that are most effective for improving anti-tobacco-related behaviors and outcomes.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Perceived Effectiveness of Anti-Tobacco Advertising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Perceived Effectiveness of Cessation Advertisements study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Perceived effectiveness; anti-tobacco; anti-smoking; cessation; advertising; Advertisements; mass media; campaign; receptivity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six questions of perceived effectiveness from the Perceived Effectiveness of Cessation Advertisements study to assess whether perceived effectiveness for anti-tobacco ads are causally related to tobacco-related behaviors and outcomes. Participants of the study are asked to provide their appraisals of ad effectiveness after viewing an ad.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WG recommends that after showing respondents the selected ad(s), the investigator ask the following question prior to administering the protocol:</w:t>
            </w:r>
          </w:p>
          <w:p>
            <w:pPr>
              <w:spacing w:before="240" w:after="240"/>
              <w:ind w:left="0" w:right="0"/>
              <w:rPr>
                <w:rFonts w:ascii="Arial" w:hAnsi="Arial"/>
                <w:sz w:val="21"/>
              </w:rPr>
            </w:pPr>
            <w:r>
              <w:rPr>
                <w:rFonts w:ascii="Arial" w:hAnsi="Arial"/>
                <w:sz w:val="21"/>
              </w:rPr>
              <w:t xml:space="preserve">How much do you agree or disagree with each the following statements? </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These ads are worth remembering</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p>
            <w:pPr>
              <w:spacing w:before="240" w:after="240"/>
              <w:ind w:left="0" w:right="0"/>
              <w:rPr>
                <w:rFonts w:ascii="Arial" w:hAnsi="Arial"/>
                <w:sz w:val="21"/>
              </w:rPr>
            </w:pPr>
            <w:r>
              <w:rPr>
                <w:rFonts w:ascii="Arial" w:hAnsi="Arial"/>
                <w:sz w:val="21"/>
              </w:rPr>
              <w:t>2. These ads grabbed my attention</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p>
            <w:pPr>
              <w:spacing w:before="240" w:after="240"/>
              <w:ind w:left="0" w:right="0"/>
              <w:rPr>
                <w:rFonts w:ascii="Arial" w:hAnsi="Arial"/>
                <w:sz w:val="21"/>
              </w:rPr>
            </w:pPr>
            <w:r>
              <w:rPr>
                <w:rFonts w:ascii="Arial" w:hAnsi="Arial"/>
                <w:sz w:val="21"/>
              </w:rPr>
              <w:t>3. These ads are powerful</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p>
            <w:pPr>
              <w:spacing w:before="240" w:after="240"/>
              <w:ind w:left="0" w:right="0"/>
              <w:rPr>
                <w:rFonts w:ascii="Arial" w:hAnsi="Arial"/>
                <w:sz w:val="21"/>
              </w:rPr>
            </w:pPr>
            <w:r>
              <w:rPr>
                <w:rFonts w:ascii="Arial" w:hAnsi="Arial"/>
                <w:sz w:val="21"/>
              </w:rPr>
              <w:t>4. These ads are informative</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p>
            <w:pPr>
              <w:spacing w:before="240" w:after="240"/>
              <w:ind w:left="0" w:right="0"/>
              <w:rPr>
                <w:rFonts w:ascii="Arial" w:hAnsi="Arial"/>
                <w:sz w:val="21"/>
              </w:rPr>
            </w:pPr>
            <w:r>
              <w:rPr>
                <w:rFonts w:ascii="Arial" w:hAnsi="Arial"/>
                <w:sz w:val="21"/>
              </w:rPr>
              <w:t>5. These ads are meaningful</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p>
            <w:pPr>
              <w:spacing w:before="240" w:after="240"/>
              <w:ind w:left="0" w:right="0"/>
              <w:rPr>
                <w:rFonts w:ascii="Arial" w:hAnsi="Arial"/>
                <w:sz w:val="21"/>
              </w:rPr>
            </w:pPr>
            <w:r>
              <w:rPr>
                <w:rFonts w:ascii="Arial" w:hAnsi="Arial"/>
                <w:sz w:val="21"/>
              </w:rPr>
              <w:t>6. These ads are convincing</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Disagree</w:t>
            </w:r>
          </w:p>
          <w:p>
            <w:pPr>
              <w:spacing w:before="240" w:after="240"/>
              <w:ind w:left="0" w:right="0"/>
              <w:rPr>
                <w:rFonts w:ascii="Arial" w:hAnsi="Arial"/>
                <w:sz w:val="21"/>
              </w:rPr>
            </w:pPr>
            <w:r>
              <w:rPr>
                <w:rFonts w:ascii="Arial" w:hAnsi="Arial"/>
                <w:sz w:val="21"/>
              </w:rPr>
              <w:t>[ ] 3 Neither agree nor disagree</w:t>
            </w:r>
          </w:p>
          <w:p>
            <w:pPr>
              <w:spacing w:before="240" w:after="240"/>
              <w:ind w:left="0" w:right="0"/>
              <w:rPr>
                <w:rFonts w:ascii="Arial" w:hAnsi="Arial"/>
                <w:sz w:val="21"/>
              </w:rPr>
            </w:pPr>
            <w:r>
              <w:rPr>
                <w:rFonts w:ascii="Arial" w:hAnsi="Arial"/>
                <w:sz w:val="21"/>
              </w:rPr>
              <w:t>[ ] 4 Agree</w:t>
            </w:r>
          </w:p>
          <w:p>
            <w:pPr>
              <w:spacing w:before="240" w:after="240"/>
              <w:ind w:left="0" w:right="0"/>
              <w:rPr>
                <w:rFonts w:ascii="Arial" w:hAnsi="Arial"/>
                <w:sz w:val="21"/>
              </w:rPr>
            </w:pPr>
            <w:r>
              <w:rPr>
                <w:rFonts w:ascii="Arial" w:hAnsi="Arial"/>
                <w:sz w:val="21"/>
              </w:rPr>
              <w:t>[ ] 5 Strongly agree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Each item reflects established characteristics of persuasive cessation messages, such as attention, recall, novelty, relevance, and credibility. These measures can be used to compare cessation ads while also serving as proxy measures of campaign impact when it is not possible to assess longitudinal changes in campaign-targeted attitudes, beliefs, and behaviors.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Davis, K. C., Nonnemaker, J., Duke, J., &amp; Farrelly, M. C. (2013). Perceived effectiveness of cessation advertisements: The importance of audience reactions and practical implications for media campaign planning. </w:t>
            </w:r>
            <w:r>
              <w:rPr>
                <w:rFonts w:ascii="Arial" w:hAnsi="Arial"/>
                <w:i w:val="1"/>
                <w:sz w:val="21"/>
              </w:rPr>
              <w:t>Health Communication, 28</w:t>
            </w:r>
            <w:r>
              <w:rPr>
                <w:rFonts w:ascii="Arial" w:hAnsi="Arial"/>
                <w:sz w:val="21"/>
              </w:rPr>
              <w:t>(5), 461-472.</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Davis, K. C., Nonnemaker, J., Duke, J., &amp; Farrelly, M. C. (2013). Perceived effectiveness of cessation advertisements and the importance of audience reactions and practical implications for media campaign planning. </w:t>
            </w:r>
            <w:r>
              <w:rPr>
                <w:rFonts w:ascii="Arial" w:hAnsi="Arial"/>
                <w:i w:val="1"/>
                <w:sz w:val="21"/>
              </w:rPr>
              <w:t>Health Communication, 28</w:t>
            </w:r>
            <w:r>
              <w:rPr>
                <w:rFonts w:ascii="Arial" w:hAnsi="Arial"/>
                <w:sz w:val="21"/>
              </w:rPr>
              <w:t>(5), 461-472.</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