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6794FFA0" Type="http://schemas.openxmlformats.org/officeDocument/2006/relationships/officeDocument" Target="/word/document.xml" /><Relationship Id="coreR6794FFA0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tbl>
      <w:tblPr>
        <w:tblW w:w="5000" w:type="pct"/>
        <w:tblInd w:w="0" w:type="dxa"/>
        <w:tblBorders>
          <w:top w:val="single" w:sz="6" w:space="0" w:shadow="0" w:frame="0" w:color="000000"/>
          <w:left w:val="single" w:sz="6" w:space="0" w:shadow="0" w:frame="0" w:color="000000"/>
          <w:bottom w:val="single" w:sz="6" w:space="0" w:shadow="0" w:frame="0" w:color="000000"/>
          <w:right w:val="single" w:sz="6" w:space="0" w:shadow="0" w:frame="0" w:color="000000"/>
          <w:insideH w:val="single" w:sz="6" w:space="0" w:shadow="0" w:frame="0" w:color="000000"/>
          <w:insideV w:val="single" w:sz="6" w:space="0" w:shadow="0" w:frame="0" w:color="000000"/>
        </w:tblBorders>
        <w:tblCellMar>
          <w:top w:w="15" w:type="dxa"/>
          <w:left w:w="15" w:type="dxa"/>
          <w:bottom w:w="15" w:type="dxa"/>
          <w:right w:w="15" w:type="dxa"/>
        </w:tblCellMar>
      </w:tblPr>
      <w:tblGrid/>
      <w:tr>
        <w:tc>
          <w:tcPr>
            <w:tcW w:w="0" w:type="auto"/>
            <w:gridSpan w:val="2"/>
            <w:vAlign w:val="center"/>
          </w:tcPr>
          <w:p>
            <w:pPr>
              <w:spacing w:before="240" w:after="240"/>
              <w:ind w:left="0" w:right="0"/>
              <w:rPr>
                <w:rFonts w:ascii="Arial" w:hAnsi="Arial"/>
                <w:sz w:val="27"/>
              </w:rPr>
            </w:pPr>
            <w:r>
              <w:rPr>
                <w:rFonts w:ascii="Arial" w:hAnsi="Arial"/>
                <w:b w:val="1"/>
                <w:sz w:val="27"/>
              </w:rPr>
              <w:t>About the Measure</w:t>
            </w:r>
          </w:p>
        </w:tc>
      </w:tr>
      <w:tr>
        <w:tc>
          <w:tcPr>
            <w:tcW w:w="1000" w:type="pct"/>
            <w:vAlign w:val="center"/>
          </w:tcPr>
          <w:p>
            <w:pPr>
              <w:spacing w:before="240" w:after="240"/>
              <w:ind w:left="0" w:right="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b w:val="1"/>
                <w:sz w:val="21"/>
              </w:rPr>
              <w:t>Protocol Id</w:t>
            </w:r>
          </w:p>
        </w:tc>
        <w:tc>
          <w:tcPr>
            <w:tcW w:w="0" w:type="auto"/>
            <w:vAlign w:val="center"/>
          </w:tcPr>
          <w:p>
            <w:pPr>
              <w:spacing w:before="240" w:after="240"/>
              <w:ind w:left="0" w:right="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751001</w:t>
            </w:r>
          </w:p>
        </w:tc>
      </w:tr>
      <w:tr>
        <w:tc>
          <w:tcPr>
            <w:tcW w:w="1000" w:type="pct"/>
            <w:vAlign w:val="center"/>
          </w:tcPr>
          <w:p>
            <w:pPr>
              <w:spacing w:before="240" w:after="240"/>
              <w:ind w:left="0" w:right="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b w:val="1"/>
                <w:sz w:val="21"/>
              </w:rPr>
              <w:t>Domain:</w:t>
            </w:r>
          </w:p>
        </w:tc>
        <w:tc>
          <w:tcPr>
            <w:tcW w:w="0" w:type="auto"/>
            <w:vAlign w:val="center"/>
          </w:tcPr>
          <w:p>
            <w:pPr>
              <w:ind w:left="0" w:right="0"/>
            </w:pPr>
            <w:r>
              <w:rPr>
                <w:rFonts w:ascii="Arial" w:hAnsi="Arial"/>
                <w:sz w:val="21"/>
              </w:rPr>
              <w:t xml:space="preserve">Tobacco Regulatory Research: Environment </w:t>
            </w:r>
          </w:p>
        </w:tc>
      </w:tr>
      <w:tr>
        <w:tc>
          <w:tcPr>
            <w:tcW w:w="1000" w:type="pct"/>
            <w:vAlign w:val="center"/>
          </w:tcPr>
          <w:p>
            <w:pPr>
              <w:spacing w:before="240" w:after="240"/>
              <w:ind w:left="0" w:right="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b w:val="1"/>
                <w:sz w:val="21"/>
              </w:rPr>
              <w:t>Measure:</w:t>
            </w:r>
          </w:p>
        </w:tc>
        <w:tc>
          <w:tcPr>
            <w:tcW w:w="0" w:type="auto"/>
            <w:vAlign w:val="center"/>
          </w:tcPr>
          <w:p>
            <w:pPr>
              <w:ind w:left="0" w:right="0"/>
            </w:pPr>
            <w:r>
              <w:rPr>
                <w:rFonts w:ascii="Arial" w:hAnsi="Arial"/>
                <w:sz w:val="21"/>
              </w:rPr>
              <w:t xml:space="preserve">Self-reported Exposure to Smoking on Television and in the Movies </w:t>
            </w:r>
          </w:p>
        </w:tc>
      </w:tr>
      <w:tr>
        <w:tc>
          <w:tcPr>
            <w:tcW w:w="1000" w:type="pct"/>
            <w:vAlign w:val="center"/>
          </w:tcPr>
          <w:p>
            <w:pPr>
              <w:spacing w:before="240" w:after="240"/>
              <w:ind w:left="0" w:right="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b w:val="1"/>
                <w:sz w:val="21"/>
              </w:rPr>
              <w:t>Definition:</w:t>
            </w:r>
          </w:p>
        </w:tc>
        <w:tc>
          <w:tcPr>
            <w:tcW w:w="0" w:type="auto"/>
            <w:vAlign w:val="center"/>
          </w:tcPr>
          <w:p>
            <w:pPr>
              <w:ind w:left="0" w:right="0"/>
            </w:pPr>
            <w:r>
              <w:rPr>
                <w:rFonts w:ascii="Arial" w:hAnsi="Arial"/>
                <w:sz w:val="21"/>
              </w:rPr>
              <w:t xml:space="preserve">This measure is used to assess young adolescents’ exposure to smoking in entertainment media-television and the movies. </w:t>
            </w:r>
          </w:p>
        </w:tc>
      </w:tr>
      <w:tr>
        <w:tc>
          <w:tcPr>
            <w:tcW w:w="1000" w:type="pct"/>
            <w:vAlign w:val="center"/>
          </w:tcPr>
          <w:p>
            <w:pPr>
              <w:spacing w:before="240" w:after="240"/>
              <w:ind w:left="0" w:right="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b w:val="1"/>
                <w:sz w:val="21"/>
              </w:rPr>
              <w:t>Purpose:</w:t>
            </w:r>
          </w:p>
        </w:tc>
        <w:tc>
          <w:tcPr>
            <w:tcW w:w="0" w:type="auto"/>
            <w:vAlign w:val="center"/>
          </w:tcPr>
          <w:p>
            <w:pPr>
              <w:ind w:left="0" w:right="0"/>
            </w:pPr>
            <w:r>
              <w:rPr>
                <w:rFonts w:ascii="Arial" w:hAnsi="Arial"/>
                <w:sz w:val="21"/>
              </w:rPr>
              <w:t xml:space="preserve">The purpose of this measure is to gain an understanding of an adolescent’s exposure to smoking in the media. </w:t>
            </w:r>
          </w:p>
        </w:tc>
      </w:tr>
      <w:tr>
        <w:tc>
          <w:tcPr>
            <w:tcW w:w="1000" w:type="pct"/>
            <w:vAlign w:val="center"/>
          </w:tcPr>
          <w:p>
            <w:pPr>
              <w:spacing w:before="240" w:after="240"/>
              <w:ind w:left="0" w:right="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b w:val="1"/>
                <w:sz w:val="21"/>
              </w:rPr>
              <w:t>Essential PhenX Protocols:</w:t>
            </w:r>
          </w:p>
        </w:tc>
        <w:tc>
          <w:tcPr>
            <w:tcW w:w="0" w:type="auto"/>
            <w:vAlign w:val="center"/>
          </w:tcPr>
          <w:p>
            <w:pPr>
              <w:ind w:left="0" w:right="0"/>
            </w:pPr>
          </w:p>
        </w:tc>
      </w:tr>
      <w:tr>
        <w:tc>
          <w:tcPr>
            <w:tcW w:w="1000" w:type="pct"/>
            <w:vAlign w:val="center"/>
          </w:tcPr>
          <w:p>
            <w:pPr>
              <w:spacing w:before="240" w:after="240"/>
              <w:ind w:left="0" w:right="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b w:val="1"/>
                <w:sz w:val="21"/>
              </w:rPr>
              <w:t>Related PhenX Protocols:</w:t>
            </w:r>
          </w:p>
        </w:tc>
        <w:tc>
          <w:tcPr>
            <w:tcW w:w="0" w:type="auto"/>
            <w:vAlign w:val="center"/>
          </w:tcPr>
          <w:p>
            <w:pPr>
              <w:ind w:left="0" w:right="0"/>
            </w:pPr>
          </w:p>
        </w:tc>
      </w:tr>
      <w:tr>
        <w:tc>
          <w:tcPr>
            <w:tcW w:w="1000" w:type="pct"/>
            <w:vAlign w:val="center"/>
          </w:tcPr>
          <w:p>
            <w:pPr>
              <w:spacing w:before="240" w:after="240"/>
              <w:ind w:left="0" w:right="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b w:val="1"/>
                <w:sz w:val="21"/>
              </w:rPr>
              <w:t>Measure Release Date:</w:t>
            </w:r>
          </w:p>
        </w:tc>
        <w:tc>
          <w:tcPr>
            <w:tcW w:w="0" w:type="auto"/>
            <w:vAlign w:val="center"/>
          </w:tcPr>
          <w:p>
            <w:pPr>
              <w:ind w:left="0" w:right="0"/>
            </w:pPr>
            <w:r>
              <w:rPr>
                <w:rFonts w:ascii="Arial" w:hAnsi="Arial"/>
                <w:sz w:val="21"/>
              </w:rPr>
              <w:t xml:space="preserve">June 24, 2015 </w:t>
            </w:r>
          </w:p>
        </w:tc>
      </w:tr>
    </w:tbl>
    <w:p>
      <w:pPr>
        <w:spacing w:before="0" w:after="0"/>
        <w:ind w:firstLine="0" w:left="0" w:right="0"/>
      </w:pPr>
      <w:r>
        <w:br w:type="textWrapping"/>
      </w:r>
    </w:p>
    <w:tbl>
      <w:tblPr>
        <w:tblW w:w="5000" w:type="pct"/>
        <w:tblInd w:w="0" w:type="dxa"/>
        <w:tblBorders>
          <w:top w:val="single" w:sz="6" w:space="0" w:shadow="0" w:frame="0" w:color="000000"/>
          <w:left w:val="single" w:sz="6" w:space="0" w:shadow="0" w:frame="0" w:color="000000"/>
          <w:bottom w:val="single" w:sz="6" w:space="0" w:shadow="0" w:frame="0" w:color="000000"/>
          <w:right w:val="single" w:sz="6" w:space="0" w:shadow="0" w:frame="0" w:color="000000"/>
          <w:insideH w:val="single" w:sz="6" w:space="0" w:shadow="0" w:frame="0" w:color="000000"/>
          <w:insideV w:val="single" w:sz="6" w:space="0" w:shadow="0" w:frame="0" w:color="000000"/>
        </w:tblBorders>
        <w:tblCellMar>
          <w:top w:w="15" w:type="dxa"/>
          <w:left w:w="15" w:type="dxa"/>
          <w:bottom w:w="15" w:type="dxa"/>
          <w:right w:w="15" w:type="dxa"/>
        </w:tblCellMar>
      </w:tblPr>
      <w:tblGrid/>
      <w:tr>
        <w:tc>
          <w:tcPr>
            <w:tcW w:w="0" w:type="auto"/>
            <w:gridSpan w:val="2"/>
            <w:vAlign w:val="center"/>
          </w:tcPr>
          <w:p>
            <w:pPr>
              <w:spacing w:before="240" w:after="240"/>
              <w:ind w:left="0" w:right="0"/>
              <w:rPr>
                <w:rFonts w:ascii="Arial" w:hAnsi="Arial"/>
                <w:sz w:val="27"/>
              </w:rPr>
            </w:pPr>
            <w:r>
              <w:rPr>
                <w:rFonts w:ascii="Arial" w:hAnsi="Arial"/>
                <w:b w:val="1"/>
                <w:sz w:val="27"/>
              </w:rPr>
              <w:t>About the Protocol</w:t>
            </w:r>
          </w:p>
        </w:tc>
      </w:tr>
      <w:tr>
        <w:tc>
          <w:tcPr>
            <w:tcW w:w="1000" w:type="pct"/>
            <w:vAlign w:val="center"/>
          </w:tcPr>
          <w:p>
            <w:pPr>
              <w:spacing w:before="240" w:after="240"/>
              <w:ind w:left="0" w:right="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b w:val="1"/>
                <w:sz w:val="21"/>
              </w:rPr>
              <w:t>Protocol Release Date:</w:t>
            </w:r>
          </w:p>
        </w:tc>
        <w:tc>
          <w:tcPr>
            <w:tcW w:w="0" w:type="auto"/>
            <w:vAlign w:val="center"/>
          </w:tcPr>
          <w:p>
            <w:pPr>
              <w:ind w:left="0" w:right="0"/>
            </w:pPr>
            <w:r>
              <w:rPr>
                <w:rFonts w:ascii="Arial" w:hAnsi="Arial"/>
                <w:sz w:val="21"/>
              </w:rPr>
              <w:t xml:space="preserve">June 24, 2015 </w:t>
            </w:r>
          </w:p>
        </w:tc>
      </w:tr>
      <w:tr>
        <w:tc>
          <w:tcPr>
            <w:tcW w:w="1000" w:type="pct"/>
            <w:vAlign w:val="center"/>
          </w:tcPr>
          <w:p>
            <w:pPr>
              <w:spacing w:before="240" w:after="240"/>
              <w:ind w:left="0" w:right="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b w:val="1"/>
                <w:sz w:val="21"/>
              </w:rPr>
              <w:t>Protocol Review Date:</w:t>
            </w:r>
          </w:p>
        </w:tc>
        <w:tc>
          <w:tcPr>
            <w:tcW w:w="0" w:type="auto"/>
            <w:vAlign w:val="center"/>
          </w:tcPr>
          <w:p>
            <w:pPr>
              <w:ind w:left="0" w:right="0"/>
            </w:pPr>
            <w:r>
              <w:rPr>
                <w:rFonts w:ascii="Arial" w:hAnsi="Arial"/>
                <w:sz w:val="21"/>
              </w:rPr>
              <w:t xml:space="preserve">June 24, 2015 </w:t>
            </w:r>
          </w:p>
        </w:tc>
      </w:tr>
      <w:tr>
        <w:tc>
          <w:tcPr>
            <w:tcW w:w="1000" w:type="pct"/>
            <w:vAlign w:val="center"/>
          </w:tcPr>
          <w:p>
            <w:pPr>
              <w:spacing w:before="240" w:after="240"/>
              <w:ind w:left="0" w:right="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b w:val="1"/>
                <w:sz w:val="21"/>
              </w:rPr>
              <w:t>PhenX Protocol Name:</w:t>
            </w:r>
          </w:p>
        </w:tc>
        <w:tc>
          <w:tcPr>
            <w:tcW w:w="0" w:type="auto"/>
            <w:vAlign w:val="center"/>
          </w:tcPr>
          <w:p>
            <w:pPr>
              <w:ind w:left="0" w:right="0"/>
            </w:pPr>
            <w:r>
              <w:rPr>
                <w:rFonts w:ascii="Arial" w:hAnsi="Arial"/>
                <w:sz w:val="21"/>
              </w:rPr>
              <w:t xml:space="preserve">Self-reported Exposure to Smoking on Television and in the Movies </w:t>
            </w:r>
          </w:p>
        </w:tc>
      </w:tr>
      <w:tr>
        <w:tc>
          <w:tcPr>
            <w:tcW w:w="1000" w:type="pct"/>
            <w:vAlign w:val="center"/>
          </w:tcPr>
          <w:p>
            <w:pPr>
              <w:spacing w:before="240" w:after="240"/>
              <w:ind w:left="0" w:right="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b w:val="1"/>
                <w:sz w:val="21"/>
              </w:rPr>
              <w:t>Protocol Name From Source:</w:t>
            </w:r>
          </w:p>
        </w:tc>
        <w:tc>
          <w:tcPr>
            <w:tcW w:w="0" w:type="auto"/>
            <w:vAlign w:val="center"/>
          </w:tcPr>
          <w:p>
            <w:pPr>
              <w:ind w:left="0" w:right="0"/>
            </w:pPr>
            <w:r>
              <w:rPr>
                <w:rFonts w:ascii="Arial" w:hAnsi="Arial"/>
                <w:sz w:val="21"/>
              </w:rPr>
              <w:t xml:space="preserve">Survey of Teen Opinions about Retail Environments (STORE) </w:t>
            </w:r>
          </w:p>
        </w:tc>
      </w:tr>
      <w:tr>
        <w:tc>
          <w:tcPr>
            <w:tcW w:w="1000" w:type="pct"/>
            <w:vAlign w:val="center"/>
          </w:tcPr>
          <w:p>
            <w:pPr>
              <w:spacing w:before="240" w:after="240"/>
              <w:ind w:left="0" w:right="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b w:val="1"/>
                <w:sz w:val="21"/>
              </w:rPr>
              <w:t>Protocol Availability:</w:t>
            </w:r>
          </w:p>
        </w:tc>
        <w:tc>
          <w:tcPr>
            <w:tcW w:w="0" w:type="auto"/>
            <w:vAlign w:val="center"/>
          </w:tcPr>
          <w:p>
            <w:pPr>
              <w:ind w:left="0" w:right="0"/>
            </w:pPr>
            <w:r>
              <w:rPr>
                <w:rFonts w:ascii="Arial" w:hAnsi="Arial"/>
                <w:sz w:val="21"/>
              </w:rPr>
              <w:t xml:space="preserve">Available </w:t>
            </w:r>
          </w:p>
        </w:tc>
      </w:tr>
      <w:tr>
        <w:tc>
          <w:tcPr>
            <w:tcW w:w="1000" w:type="pct"/>
            <w:vAlign w:val="center"/>
          </w:tcPr>
          <w:p>
            <w:pPr>
              <w:spacing w:before="240" w:after="240"/>
              <w:ind w:left="0" w:right="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b w:val="1"/>
                <w:sz w:val="21"/>
              </w:rPr>
              <w:t>Keywords:</w:t>
            </w:r>
          </w:p>
        </w:tc>
        <w:tc>
          <w:tcPr>
            <w:tcW w:w="0" w:type="auto"/>
            <w:vAlign w:val="center"/>
          </w:tcPr>
          <w:p>
            <w:pPr>
              <w:ind w:left="0" w:right="0"/>
            </w:pPr>
            <w:r>
              <w:rPr>
                <w:rFonts w:ascii="Arial" w:hAnsi="Arial"/>
                <w:sz w:val="21"/>
              </w:rPr>
              <w:t xml:space="preserve">smoking; tobacco; television; TV; televisions shows; movies; media; youth; Adolescents </w:t>
            </w:r>
          </w:p>
        </w:tc>
      </w:tr>
      <w:tr>
        <w:tc>
          <w:tcPr>
            <w:tcW w:w="1000" w:type="pct"/>
            <w:vAlign w:val="center"/>
          </w:tcPr>
          <w:p>
            <w:pPr>
              <w:spacing w:before="240" w:after="240"/>
              <w:ind w:left="0" w:right="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b w:val="1"/>
                <w:sz w:val="21"/>
              </w:rPr>
              <w:t>Description:</w:t>
            </w:r>
          </w:p>
        </w:tc>
        <w:tc>
          <w:tcPr>
            <w:tcW w:w="0" w:type="auto"/>
            <w:vAlign w:val="center"/>
          </w:tcPr>
          <w:p>
            <w:pPr>
              <w:spacing w:before="240" w:after="240"/>
              <w:ind w:left="0" w:right="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This protocol uses one item from the Survey of Teen Opinions about Retail Environments (STORE), a school-based survey that included 1,681 adolescents (ages 11-14 years). This item assesses perceived exposure to people who smoke in movies or on television.</w:t>
            </w:r>
          </w:p>
        </w:tc>
      </w:tr>
      <w:tr>
        <w:tc>
          <w:tcPr>
            <w:tcW w:w="1000" w:type="pct"/>
            <w:vAlign w:val="center"/>
          </w:tcPr>
          <w:p>
            <w:pPr>
              <w:spacing w:before="240" w:after="240"/>
              <w:ind w:left="0" w:right="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b w:val="1"/>
                <w:sz w:val="21"/>
              </w:rPr>
              <w:t>Specific Instructions:</w:t>
            </w:r>
          </w:p>
        </w:tc>
        <w:tc>
          <w:tcPr>
            <w:tcW w:w="0" w:type="auto"/>
            <w:vAlign w:val="center"/>
          </w:tcPr>
          <w:p>
            <w:pPr>
              <w:spacing w:before="240" w:after="240"/>
              <w:ind w:left="0" w:right="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For the purposes of scoring, the WG recommends that the following scale be used: Never = 1, Rarely = 2, Sometimes = 3, and Often = 4</w:t>
            </w:r>
          </w:p>
          <w:p>
            <w:pPr>
              <w:spacing w:before="240" w:after="240"/>
              <w:ind w:left="0" w:right="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 xml:space="preserve">In addition, the WG recommends that investigators consider </w:t>
            </w:r>
            <w:r>
              <w:rPr>
                <w:rFonts w:ascii="Arial" w:hAnsi="Arial"/>
                <w:i w:val="1"/>
                <w:sz w:val="21"/>
              </w:rPr>
              <w:t>clearly</w:t>
            </w:r>
            <w:r>
              <w:rPr>
                <w:rFonts w:ascii="Arial" w:hAnsi="Arial"/>
                <w:sz w:val="21"/>
              </w:rPr>
              <w:t xml:space="preserve"> defining "tobacco products" </w:t>
            </w:r>
            <w:r>
              <w:rPr>
                <w:rFonts w:ascii="Arial" w:hAnsi="Arial"/>
                <w:i w:val="1"/>
                <w:sz w:val="21"/>
              </w:rPr>
              <w:t>by noting whether that definition includes or excludes</w:t>
            </w:r>
            <w:r>
              <w:rPr>
                <w:rFonts w:ascii="Arial" w:hAnsi="Arial"/>
                <w:sz w:val="21"/>
              </w:rPr>
              <w:t xml:space="preserve"> certain types of related products </w:t>
            </w:r>
            <w:r>
              <w:rPr>
                <w:rFonts w:ascii="Arial" w:hAnsi="Arial"/>
                <w:i w:val="1"/>
                <w:sz w:val="21"/>
              </w:rPr>
              <w:t>based on these criteria</w:t>
            </w:r>
            <w:r>
              <w:rPr>
                <w:rFonts w:ascii="Arial" w:hAnsi="Arial"/>
                <w:sz w:val="21"/>
              </w:rPr>
              <w:t>: products that are intended for human consumption; made or derived from tobacco; typically contain nicotine, but sometimes do not; and are not Food and Drug Administration-approved tobacco-cessation products.</w:t>
            </w:r>
          </w:p>
        </w:tc>
      </w:tr>
      <w:tr>
        <w:tc>
          <w:tcPr>
            <w:tcW w:w="1000" w:type="pct"/>
            <w:vAlign w:val="center"/>
          </w:tcPr>
          <w:p>
            <w:pPr>
              <w:spacing w:before="240" w:after="240"/>
              <w:ind w:left="0" w:right="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b w:val="1"/>
                <w:sz w:val="21"/>
              </w:rPr>
              <w:t>Protocol:</w:t>
            </w:r>
          </w:p>
        </w:tc>
        <w:tc>
          <w:tcPr>
            <w:tcW w:w="0" w:type="auto"/>
            <w:vAlign w:val="center"/>
          </w:tcPr>
          <w:p>
            <w:pPr>
              <w:spacing w:before="240" w:after="240"/>
              <w:ind w:left="0" w:right="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1. In the past 7 days, how often did you see TV shows or movies where someone was smoking?</w:t>
            </w:r>
          </w:p>
          <w:p>
            <w:pPr>
              <w:spacing w:before="240" w:after="240"/>
              <w:ind w:left="0" w:right="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[ ] Never</w:t>
            </w:r>
          </w:p>
          <w:p>
            <w:pPr>
              <w:spacing w:before="240" w:after="240"/>
              <w:ind w:left="0" w:right="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[ ] Rarely</w:t>
            </w:r>
          </w:p>
          <w:p>
            <w:pPr>
              <w:spacing w:before="240" w:after="240"/>
              <w:ind w:left="0" w:right="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[ ] Sometimes</w:t>
            </w:r>
          </w:p>
          <w:p>
            <w:pPr>
              <w:spacing w:before="240" w:after="240"/>
              <w:ind w:left="0" w:right="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[ ] Often</w:t>
            </w:r>
          </w:p>
        </w:tc>
      </w:tr>
      <w:tr>
        <w:tc>
          <w:tcPr>
            <w:tcW w:w="1000" w:type="pct"/>
            <w:vAlign w:val="center"/>
          </w:tcPr>
          <w:p>
            <w:pPr>
              <w:spacing w:before="240" w:after="240"/>
              <w:ind w:left="0" w:right="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b w:val="1"/>
                <w:sz w:val="21"/>
              </w:rPr>
              <w:t>Selection Rationale:</w:t>
            </w:r>
          </w:p>
        </w:tc>
        <w:tc>
          <w:tcPr>
            <w:tcW w:w="0" w:type="auto"/>
            <w:vAlign w:val="center"/>
          </w:tcPr>
          <w:p>
            <w:pPr>
              <w:spacing w:before="240" w:after="240"/>
              <w:ind w:left="0" w:right="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Consensus documents (e.g., Surgeon General reports, National Cancer Institute monographs) indicate that exposure to smoking in movies promotes smoking initiation, and the World Health Organization recommends a variety of policies to reduce youth exposure to tobacco imagery in entertainment media. Fine-grained assessment of exposure to tobacco in films (e.g., Beach Method) requires a significant amount of resources and survey questions that are likely beyond the scope of most tobacco research. This single item selected here shows evidence of predictive validity amongst young adolescents.</w:t>
            </w:r>
          </w:p>
        </w:tc>
      </w:tr>
      <w:tr>
        <w:tc>
          <w:tcPr>
            <w:tcW w:w="1000" w:type="pct"/>
            <w:vAlign w:val="center"/>
          </w:tcPr>
          <w:p>
            <w:pPr>
              <w:spacing w:before="240" w:after="240"/>
              <w:ind w:left="0" w:right="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b w:val="1"/>
                <w:sz w:val="21"/>
              </w:rPr>
              <w:t>Source:</w:t>
            </w:r>
          </w:p>
        </w:tc>
        <w:tc>
          <w:tcPr>
            <w:tcW w:w="0" w:type="auto"/>
            <w:vAlign w:val="center"/>
          </w:tcPr>
          <w:p>
            <w:pPr>
              <w:spacing w:before="240" w:after="240"/>
              <w:ind w:left="0" w:right="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Survey of Teen Opinions about Retail Environments (STORE)</w:t>
            </w:r>
          </w:p>
        </w:tc>
      </w:tr>
      <w:tr>
        <w:tc>
          <w:tcPr>
            <w:tcW w:w="1000" w:type="pct"/>
            <w:vAlign w:val="center"/>
          </w:tcPr>
          <w:p>
            <w:pPr>
              <w:spacing w:before="240" w:after="240"/>
              <w:ind w:left="0" w:right="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b w:val="1"/>
                <w:sz w:val="21"/>
              </w:rPr>
              <w:t>Language</w:t>
            </w:r>
          </w:p>
        </w:tc>
        <w:tc>
          <w:tcPr>
            <w:tcW w:w="0" w:type="auto"/>
            <w:vAlign w:val="center"/>
          </w:tcPr>
          <w:p>
            <w:pPr>
              <w:ind w:left="0" w:right="0"/>
            </w:pPr>
            <w:r>
              <w:rPr>
                <w:rFonts w:ascii="Arial" w:hAnsi="Arial"/>
                <w:sz w:val="21"/>
              </w:rPr>
              <w:t xml:space="preserve">English </w:t>
            </w:r>
          </w:p>
        </w:tc>
      </w:tr>
      <w:tr>
        <w:tc>
          <w:tcPr>
            <w:tcW w:w="1000" w:type="pct"/>
            <w:vAlign w:val="center"/>
          </w:tcPr>
          <w:p>
            <w:pPr>
              <w:spacing w:before="240" w:after="240"/>
              <w:ind w:left="0" w:right="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b w:val="1"/>
                <w:sz w:val="21"/>
              </w:rPr>
              <w:t>Participant:</w:t>
            </w:r>
          </w:p>
        </w:tc>
        <w:tc>
          <w:tcPr>
            <w:tcW w:w="0" w:type="auto"/>
            <w:vAlign w:val="center"/>
          </w:tcPr>
          <w:p>
            <w:pPr>
              <w:spacing w:before="240" w:after="240"/>
              <w:ind w:left="0" w:right="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 xml:space="preserve">Adolescents (ages 11-14). </w:t>
            </w:r>
          </w:p>
        </w:tc>
      </w:tr>
      <w:tr>
        <w:tc>
          <w:tcPr>
            <w:tcW w:w="1000" w:type="pct"/>
            <w:vAlign w:val="center"/>
          </w:tcPr>
          <w:p>
            <w:pPr>
              <w:spacing w:before="240" w:after="240"/>
              <w:ind w:left="0" w:right="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b w:val="1"/>
                <w:sz w:val="21"/>
              </w:rPr>
              <w:t>Personnel and Training Required:</w:t>
            </w:r>
          </w:p>
        </w:tc>
        <w:tc>
          <w:tcPr>
            <w:tcW w:w="0" w:type="auto"/>
            <w:vAlign w:val="center"/>
          </w:tcPr>
          <w:p>
            <w:pPr>
              <w:spacing w:before="240" w:after="240"/>
              <w:ind w:left="0" w:right="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None</w:t>
            </w:r>
          </w:p>
        </w:tc>
      </w:tr>
      <w:tr>
        <w:tc>
          <w:tcPr>
            <w:tcW w:w="1000" w:type="pct"/>
            <w:vAlign w:val="center"/>
          </w:tcPr>
          <w:p>
            <w:pPr>
              <w:spacing w:before="240" w:after="240"/>
              <w:ind w:left="0" w:right="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b w:val="1"/>
                <w:sz w:val="21"/>
              </w:rPr>
              <w:t>Equipment Needs:</w:t>
            </w:r>
          </w:p>
        </w:tc>
        <w:tc>
          <w:tcPr>
            <w:tcW w:w="0" w:type="auto"/>
            <w:vAlign w:val="center"/>
          </w:tcPr>
          <w:p>
            <w:pPr>
              <w:spacing w:before="240" w:after="240"/>
              <w:ind w:left="0" w:right="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None</w:t>
            </w:r>
          </w:p>
        </w:tc>
      </w:tr>
      <w:tr>
        <w:tc>
          <w:tcPr>
            <w:tcW w:w="1000" w:type="pct"/>
            <w:vAlign w:val="center"/>
          </w:tcPr>
          <w:p>
            <w:pPr>
              <w:spacing w:before="240" w:after="240"/>
              <w:ind w:left="0" w:right="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b w:val="1"/>
                <w:sz w:val="21"/>
              </w:rPr>
              <w:t>Standards</w:t>
            </w:r>
          </w:p>
        </w:tc>
        <w:tc>
          <w:tcPr>
            <w:tcW w:w="0" w:type="auto"/>
            <w:vAlign w:val="center"/>
          </w:tcPr>
          <w:p>
            <w:pPr>
              <w:ind w:left="0" w:right="0"/>
            </w:pPr>
          </w:p>
        </w:tc>
      </w:tr>
      <w:tr>
        <w:tc>
          <w:tcPr>
            <w:tcW w:w="1000" w:type="pct"/>
            <w:vAlign w:val="center"/>
          </w:tcPr>
          <w:p>
            <w:pPr>
              <w:spacing w:before="240" w:after="240"/>
              <w:ind w:left="0" w:right="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b w:val="1"/>
                <w:sz w:val="21"/>
              </w:rPr>
              <w:t>General References:</w:t>
            </w:r>
          </w:p>
        </w:tc>
        <w:tc>
          <w:tcPr>
            <w:tcW w:w="0" w:type="auto"/>
            <w:vAlign w:val="center"/>
          </w:tcPr>
          <w:p>
            <w:pPr>
              <w:spacing w:before="240" w:after="240"/>
              <w:ind w:left="0" w:right="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None.</w:t>
            </w:r>
          </w:p>
        </w:tc>
      </w:tr>
      <w:tr>
        <w:tc>
          <w:tcPr>
            <w:tcW w:w="1000" w:type="pct"/>
            <w:vAlign w:val="center"/>
          </w:tcPr>
          <w:p>
            <w:pPr>
              <w:spacing w:before="240" w:after="240"/>
              <w:ind w:left="0" w:right="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b w:val="1"/>
                <w:sz w:val="21"/>
              </w:rPr>
              <w:t>Mode of Administration:</w:t>
            </w:r>
          </w:p>
        </w:tc>
        <w:tc>
          <w:tcPr>
            <w:tcW w:w="0" w:type="auto"/>
            <w:vAlign w:val="center"/>
          </w:tcPr>
          <w:p>
            <w:pPr>
              <w:ind w:left="0" w:right="0"/>
            </w:pPr>
            <w:r>
              <w:rPr>
                <w:rFonts w:ascii="Arial" w:hAnsi="Arial"/>
                <w:sz w:val="21"/>
              </w:rPr>
              <w:t xml:space="preserve">Self-administered questionnaire </w:t>
            </w:r>
          </w:p>
        </w:tc>
      </w:tr>
      <w:tr>
        <w:tc>
          <w:tcPr>
            <w:tcW w:w="1000" w:type="pct"/>
            <w:vAlign w:val="center"/>
          </w:tcPr>
          <w:p>
            <w:pPr>
              <w:spacing w:before="240" w:after="240"/>
              <w:ind w:left="0" w:right="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b w:val="1"/>
                <w:sz w:val="21"/>
              </w:rPr>
              <w:t>Derived Variables:</w:t>
            </w:r>
          </w:p>
        </w:tc>
        <w:tc>
          <w:tcPr>
            <w:tcW w:w="0" w:type="auto"/>
            <w:vAlign w:val="center"/>
          </w:tcPr>
          <w:p>
            <w:pPr>
              <w:spacing w:before="240" w:after="240"/>
              <w:ind w:left="0" w:right="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None.</w:t>
            </w:r>
          </w:p>
        </w:tc>
      </w:tr>
      <w:tr>
        <w:tc>
          <w:tcPr>
            <w:tcW w:w="1000" w:type="pct"/>
            <w:vAlign w:val="center"/>
          </w:tcPr>
          <w:p>
            <w:pPr>
              <w:spacing w:before="240" w:after="240"/>
              <w:ind w:left="0" w:right="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b w:val="1"/>
                <w:sz w:val="21"/>
              </w:rPr>
              <w:t>Requirements:</w:t>
            </w:r>
          </w:p>
        </w:tc>
        <w:tc>
          <w:tcPr>
            <w:tcW w:w="0" w:type="auto"/>
            <w:vAlign w:val="center"/>
          </w:tcPr>
          <w:tbl>
            <w:tblPr>
              <w:tblW w:w="0" w:type="auto"/>
              <w:tblInd w:w="0" w:type="dxa"/>
              <w:tblBorders>
                <w:top w:val="single" w:sz="6" w:space="0" w:shadow="0" w:frame="0" w:color="000000"/>
                <w:left w:val="single" w:sz="6" w:space="0" w:shadow="0" w:frame="0" w:color="000000"/>
                <w:bottom w:val="single" w:sz="6" w:space="0" w:shadow="0" w:frame="0" w:color="000000"/>
                <w:right w:val="single" w:sz="6" w:space="0" w:shadow="0" w:frame="0" w:color="000000"/>
                <w:insideH w:val="single" w:sz="6" w:space="0" w:shadow="0" w:frame="0" w:color="000000"/>
                <w:insideV w:val="single" w:sz="6" w:space="0" w:shadow="0" w:frame="0" w:color="00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/>
            <w:tr>
              <w:tc>
                <w:tcPr>
                  <w:tcW w:w="0" w:type="auto"/>
                  <w:vAlign w:val="center"/>
                </w:tcPr>
                <w:p>
                  <w:pPr>
                    <w:spacing w:before="240" w:after="240"/>
                    <w:ind w:left="0" w:right="0"/>
                    <w:rPr>
                      <w:rFonts w:ascii="Arial" w:hAnsi="Arial"/>
                      <w:sz w:val="21"/>
                    </w:rPr>
                  </w:pPr>
                  <w:r>
                    <w:rPr>
                      <w:rFonts w:ascii="Arial" w:hAnsi="Arial"/>
                      <w:b w:val="1"/>
                      <w:sz w:val="21"/>
                    </w:rPr>
                    <w:t>Requirement Category</w:t>
                  </w:r>
                </w:p>
              </w:tc>
              <w:tc>
                <w:tcPr>
                  <w:tcW w:w="0" w:type="auto"/>
                  <w:vAlign w:val="center"/>
                </w:tcPr>
                <w:p>
                  <w:pPr>
                    <w:spacing w:before="240" w:after="240"/>
                    <w:ind w:left="0" w:right="0"/>
                    <w:rPr>
                      <w:rFonts w:ascii="Arial" w:hAnsi="Arial"/>
                      <w:sz w:val="21"/>
                    </w:rPr>
                  </w:pPr>
                  <w:r>
                    <w:rPr>
                      <w:rFonts w:ascii="Arial" w:hAnsi="Arial"/>
                      <w:b w:val="1"/>
                      <w:sz w:val="21"/>
                    </w:rPr>
                    <w:t>Required (Yes/No)</w:t>
                  </w:r>
                </w:p>
              </w:tc>
            </w:tr>
            <w:tr>
              <w:tc>
                <w:tcPr>
                  <w:tcW w:w="0" w:type="auto"/>
                  <w:vAlign w:val="center"/>
                </w:tcPr>
                <w:p>
                  <w:pPr>
                    <w:spacing w:before="240" w:after="240"/>
                    <w:ind w:left="0" w:right="0"/>
                    <w:rPr>
                      <w:rFonts w:ascii="Arial" w:hAnsi="Arial"/>
                      <w:sz w:val="21"/>
                    </w:rPr>
                  </w:pPr>
                  <w:r>
                    <w:rPr>
                      <w:rFonts w:ascii="Arial" w:hAnsi="Arial"/>
                      <w:b w:val="1"/>
                      <w:sz w:val="21"/>
                    </w:rPr>
                    <w:t>Major equipment</w:t>
                  </w:r>
                </w:p>
              </w:tc>
              <w:tc>
                <w:tcPr>
                  <w:tcW w:w="0" w:type="auto"/>
                  <w:vAlign w:val="center"/>
                </w:tcPr>
                <w:p>
                  <w:pPr>
                    <w:spacing w:before="240" w:after="240"/>
                    <w:ind w:left="0" w:right="0"/>
                    <w:rPr>
                      <w:rFonts w:ascii="Arial" w:hAnsi="Arial"/>
                      <w:sz w:val="21"/>
                    </w:rPr>
                  </w:pPr>
                  <w:r>
                    <w:rPr>
                      <w:rFonts w:ascii="Arial" w:hAnsi="Arial"/>
                      <w:sz w:val="21"/>
                    </w:rPr>
                    <w:t>No</w:t>
                  </w:r>
                </w:p>
              </w:tc>
            </w:tr>
            <w:tr>
              <w:tc>
                <w:tcPr>
                  <w:tcW w:w="0" w:type="auto"/>
                  <w:vAlign w:val="center"/>
                </w:tcPr>
                <w:p>
                  <w:pPr>
                    <w:spacing w:before="240" w:after="240"/>
                    <w:ind w:left="0" w:right="0"/>
                    <w:rPr>
                      <w:rFonts w:ascii="Arial" w:hAnsi="Arial"/>
                      <w:sz w:val="21"/>
                    </w:rPr>
                  </w:pPr>
                  <w:r>
                    <w:rPr>
                      <w:rFonts w:ascii="Arial" w:hAnsi="Arial"/>
                      <w:b w:val="1"/>
                      <w:sz w:val="21"/>
                    </w:rPr>
                    <w:t>Specialized training</w:t>
                  </w:r>
                </w:p>
              </w:tc>
              <w:tc>
                <w:tcPr>
                  <w:tcW w:w="0" w:type="auto"/>
                  <w:vAlign w:val="center"/>
                </w:tcPr>
                <w:p>
                  <w:pPr>
                    <w:spacing w:before="240" w:after="240"/>
                    <w:ind w:left="0" w:right="0"/>
                    <w:rPr>
                      <w:rFonts w:ascii="Arial" w:hAnsi="Arial"/>
                      <w:sz w:val="21"/>
                    </w:rPr>
                  </w:pPr>
                  <w:r>
                    <w:rPr>
                      <w:rFonts w:ascii="Arial" w:hAnsi="Arial"/>
                      <w:sz w:val="21"/>
                    </w:rPr>
                    <w:t>No</w:t>
                  </w:r>
                </w:p>
              </w:tc>
            </w:tr>
            <w:tr>
              <w:tc>
                <w:tcPr>
                  <w:tcW w:w="0" w:type="auto"/>
                  <w:vAlign w:val="center"/>
                </w:tcPr>
                <w:p>
                  <w:pPr>
                    <w:spacing w:before="240" w:after="240"/>
                    <w:ind w:left="0" w:right="0"/>
                    <w:rPr>
                      <w:rFonts w:ascii="Arial" w:hAnsi="Arial"/>
                      <w:sz w:val="21"/>
                    </w:rPr>
                  </w:pPr>
                  <w:r>
                    <w:rPr>
                      <w:rFonts w:ascii="Arial" w:hAnsi="Arial"/>
                      <w:b w:val="1"/>
                      <w:sz w:val="21"/>
                    </w:rPr>
                    <w:t>Specialized requirements for biospecimen collection</w:t>
                  </w:r>
                </w:p>
              </w:tc>
              <w:tc>
                <w:tcPr>
                  <w:tcW w:w="0" w:type="auto"/>
                  <w:vAlign w:val="center"/>
                </w:tcPr>
                <w:p>
                  <w:pPr>
                    <w:spacing w:before="240" w:after="240"/>
                    <w:ind w:left="0" w:right="0"/>
                    <w:rPr>
                      <w:rFonts w:ascii="Arial" w:hAnsi="Arial"/>
                      <w:sz w:val="21"/>
                    </w:rPr>
                  </w:pPr>
                  <w:r>
                    <w:rPr>
                      <w:rFonts w:ascii="Arial" w:hAnsi="Arial"/>
                      <w:sz w:val="21"/>
                    </w:rPr>
                    <w:t>No</w:t>
                  </w:r>
                </w:p>
              </w:tc>
            </w:tr>
            <w:tr>
              <w:tc>
                <w:tcPr>
                  <w:tcW w:w="0" w:type="auto"/>
                  <w:vAlign w:val="center"/>
                </w:tcPr>
                <w:p>
                  <w:pPr>
                    <w:spacing w:before="240" w:after="240"/>
                    <w:ind w:left="0" w:right="0"/>
                    <w:rPr>
                      <w:rFonts w:ascii="Arial" w:hAnsi="Arial"/>
                      <w:sz w:val="21"/>
                    </w:rPr>
                  </w:pPr>
                  <w:r>
                    <w:rPr>
                      <w:rFonts w:ascii="Arial" w:hAnsi="Arial"/>
                      <w:b w:val="1"/>
                      <w:sz w:val="21"/>
                    </w:rPr>
                    <w:t>Average time of greater than 15 minutes in an unaffected individual</w:t>
                  </w:r>
                </w:p>
              </w:tc>
              <w:tc>
                <w:tcPr>
                  <w:tcW w:w="0" w:type="auto"/>
                  <w:vAlign w:val="center"/>
                </w:tcPr>
                <w:p>
                  <w:pPr>
                    <w:spacing w:before="240" w:after="240"/>
                    <w:ind w:left="0" w:right="0"/>
                    <w:rPr>
                      <w:rFonts w:ascii="Arial" w:hAnsi="Arial"/>
                      <w:sz w:val="21"/>
                    </w:rPr>
                  </w:pPr>
                  <w:r>
                    <w:rPr>
                      <w:rFonts w:ascii="Arial" w:hAnsi="Arial"/>
                      <w:sz w:val="21"/>
                    </w:rPr>
                    <w:t>No</w:t>
                  </w:r>
                </w:p>
              </w:tc>
            </w:tr>
          </w:tbl>
          <w:p>
            <w:pPr>
              <w:ind w:left="0" w:right="0"/>
            </w:pPr>
          </w:p>
        </w:tc>
      </w:tr>
      <w:tr>
        <w:tc>
          <w:tcPr>
            <w:tcW w:w="1000" w:type="pct"/>
            <w:vAlign w:val="center"/>
          </w:tcPr>
          <w:p>
            <w:pPr>
              <w:spacing w:before="240" w:after="240"/>
              <w:ind w:left="0" w:right="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b w:val="1"/>
                <w:sz w:val="21"/>
              </w:rPr>
              <w:t>Annotations for Specific Conditions:</w:t>
            </w:r>
          </w:p>
        </w:tc>
        <w:tc>
          <w:tcPr>
            <w:tcW w:w="0" w:type="auto"/>
            <w:vAlign w:val="center"/>
          </w:tcPr>
          <w:p>
            <w:pPr>
              <w:ind w:left="0" w:right="0"/>
            </w:pPr>
            <w:r>
              <w:rPr>
                <w:rFonts w:ascii="Arial" w:hAnsi="Arial"/>
                <w:sz w:val="21"/>
              </w:rPr>
              <w:t>None</w:t>
            </w:r>
          </w:p>
        </w:tc>
      </w:tr>
      <w:tr>
        <w:tc>
          <w:tcPr>
            <w:tcW w:w="1000" w:type="pct"/>
            <w:vAlign w:val="center"/>
          </w:tcPr>
          <w:p>
            <w:pPr>
              <w:spacing w:before="240" w:after="240"/>
              <w:ind w:left="0" w:right="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b w:val="1"/>
                <w:sz w:val="21"/>
              </w:rPr>
              <w:t>Process and Review:</w:t>
            </w:r>
          </w:p>
        </w:tc>
        <w:tc>
          <w:tcPr>
            <w:tcW w:w="0" w:type="auto"/>
            <w:vAlign w:val="center"/>
          </w:tcPr>
          <w:p>
            <w:pPr>
              <w:ind w:left="0" w:right="0"/>
            </w:pPr>
            <w:r>
              <w:rPr>
                <w:rFonts w:ascii="Arial" w:hAnsi="Arial"/>
                <w:sz w:val="21"/>
              </w:rPr>
              <w:t xml:space="preserve">Not applicable. </w:t>
            </w:r>
          </w:p>
        </w:tc>
      </w:tr>
    </w:tbl>
    <w:p>
      <w:pPr>
        <w:spacing w:before="240" w:after="240"/>
        <w:ind w:firstLine="0" w:left="0" w:right="0"/>
      </w:pPr>
    </w:p>
    <w:sectPr>
      <w:type w:val="nextPage"/>
      <w:pgMar w:left="1700" w:right="850" w:top="1133" w:bottom="1133" w:header="708" w:footer="708" w:gutter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4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pPr/>
    <w:rPr/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terms:created xsi:type="dcterms:W3CDTF">2024-04-23T17:00:12Z</dcterms:created>
  <cp:lastModifiedBy>Williams (He/Him), David</cp:lastModifiedBy>
  <dcterms:modified xsi:type="dcterms:W3CDTF">2024-04-23T17:00:12Z</dcterms:modified>
  <cp:revision>1</cp:revision>
</cp:coreProperties>
</file>