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D863" w14:textId="77777777" w:rsidR="003F496E" w:rsidRPr="00C609C4" w:rsidRDefault="003F496E" w:rsidP="00154EFB">
      <w:pPr>
        <w:rPr>
          <w:rFonts w:ascii="Arial" w:hAnsi="Arial" w:cs="Arial"/>
          <w:b/>
          <w:color w:val="000000" w:themeColor="text1"/>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FA0416" w:rsidRPr="00FA0416" w14:paraId="785D1216" w14:textId="77777777" w:rsidTr="00A354B0">
        <w:trPr>
          <w:trHeight w:val="479"/>
        </w:trPr>
        <w:tc>
          <w:tcPr>
            <w:tcW w:w="10940" w:type="dxa"/>
            <w:gridSpan w:val="2"/>
          </w:tcPr>
          <w:p w14:paraId="1A25FE39" w14:textId="77777777" w:rsidR="00BA3E27" w:rsidRPr="00C609C4" w:rsidRDefault="00BA3E27" w:rsidP="00154EFB">
            <w:pPr>
              <w:jc w:val="center"/>
              <w:rPr>
                <w:rFonts w:ascii="Arial" w:hAnsi="Arial" w:cs="Arial"/>
                <w:b/>
                <w:color w:val="000000" w:themeColor="text1"/>
                <w:sz w:val="22"/>
                <w:szCs w:val="22"/>
              </w:rPr>
            </w:pPr>
          </w:p>
          <w:p w14:paraId="3E968349" w14:textId="77777777" w:rsidR="00BA3E27" w:rsidRPr="00C609C4" w:rsidRDefault="0007791C" w:rsidP="00154EFB">
            <w:pPr>
              <w:jc w:val="center"/>
              <w:rPr>
                <w:rFonts w:ascii="Arial" w:hAnsi="Arial" w:cs="Arial"/>
                <w:b/>
                <w:color w:val="000000" w:themeColor="text1"/>
                <w:sz w:val="22"/>
                <w:szCs w:val="22"/>
              </w:rPr>
            </w:pPr>
            <w:r w:rsidRPr="00C609C4">
              <w:rPr>
                <w:rFonts w:ascii="Arial" w:hAnsi="Arial" w:cs="Arial"/>
                <w:b/>
                <w:color w:val="000000" w:themeColor="text1"/>
                <w:sz w:val="22"/>
                <w:szCs w:val="22"/>
              </w:rPr>
              <w:t xml:space="preserve">About the Measure </w:t>
            </w:r>
          </w:p>
          <w:p w14:paraId="2F37524D" w14:textId="77777777" w:rsidR="00BA3E27" w:rsidRPr="00C609C4" w:rsidRDefault="00BA3E27" w:rsidP="00154EFB">
            <w:pPr>
              <w:rPr>
                <w:rFonts w:ascii="Arial" w:hAnsi="Arial" w:cs="Arial"/>
                <w:color w:val="000000" w:themeColor="text1"/>
                <w:sz w:val="22"/>
                <w:szCs w:val="22"/>
              </w:rPr>
            </w:pPr>
          </w:p>
        </w:tc>
      </w:tr>
      <w:tr w:rsidR="00FA0416" w:rsidRPr="00FA0416" w14:paraId="39EDB5A4" w14:textId="77777777" w:rsidTr="009A76F2">
        <w:trPr>
          <w:trHeight w:val="58"/>
        </w:trPr>
        <w:tc>
          <w:tcPr>
            <w:tcW w:w="2245" w:type="dxa"/>
            <w:tcBorders>
              <w:bottom w:val="single" w:sz="4" w:space="0" w:color="auto"/>
            </w:tcBorders>
            <w:shd w:val="clear" w:color="auto" w:fill="D9D9D9"/>
          </w:tcPr>
          <w:p w14:paraId="258BC616" w14:textId="77777777" w:rsidR="009A76F2" w:rsidRPr="00C609C4" w:rsidRDefault="00F9334E" w:rsidP="009A76F2">
            <w:pPr>
              <w:rPr>
                <w:rFonts w:ascii="Arial" w:hAnsi="Arial" w:cs="Arial"/>
                <w:b/>
                <w:color w:val="000000" w:themeColor="text1"/>
                <w:sz w:val="22"/>
                <w:szCs w:val="22"/>
              </w:rPr>
            </w:pPr>
            <w:r w:rsidRPr="00C609C4">
              <w:rPr>
                <w:rFonts w:ascii="Arial" w:hAnsi="Arial" w:cs="Arial"/>
                <w:b/>
                <w:color w:val="000000" w:themeColor="text1"/>
                <w:sz w:val="22"/>
                <w:szCs w:val="22"/>
              </w:rPr>
              <w:t>Domain</w:t>
            </w:r>
            <w:r w:rsidR="00037186" w:rsidRPr="00C609C4">
              <w:rPr>
                <w:rFonts w:ascii="Arial" w:hAnsi="Arial" w:cs="Arial"/>
                <w:b/>
                <w:color w:val="000000" w:themeColor="text1"/>
                <w:sz w:val="22"/>
                <w:szCs w:val="22"/>
              </w:rPr>
              <w:t>:</w:t>
            </w:r>
          </w:p>
        </w:tc>
        <w:tc>
          <w:tcPr>
            <w:tcW w:w="8695" w:type="dxa"/>
          </w:tcPr>
          <w:p w14:paraId="7E3B09A3" w14:textId="40BF985B" w:rsidR="00C51D2E" w:rsidRPr="00C609C4" w:rsidRDefault="00C51D2E" w:rsidP="00154EFB">
            <w:pPr>
              <w:rPr>
                <w:rFonts w:ascii="Arial" w:hAnsi="Arial" w:cs="Arial"/>
                <w:color w:val="000000" w:themeColor="text1"/>
                <w:sz w:val="22"/>
                <w:szCs w:val="22"/>
              </w:rPr>
            </w:pPr>
            <w:r w:rsidRPr="00C609C4">
              <w:rPr>
                <w:rFonts w:ascii="Arial" w:hAnsi="Arial" w:cs="Arial"/>
                <w:color w:val="000000" w:themeColor="text1"/>
                <w:sz w:val="22"/>
                <w:szCs w:val="22"/>
              </w:rPr>
              <w:t>Sickle Cell Disease Core: Tier 1</w:t>
            </w:r>
          </w:p>
        </w:tc>
      </w:tr>
      <w:tr w:rsidR="00FA0416" w:rsidRPr="00FA0416" w14:paraId="27C49C58" w14:textId="77777777" w:rsidTr="009A76F2">
        <w:trPr>
          <w:trHeight w:val="58"/>
        </w:trPr>
        <w:tc>
          <w:tcPr>
            <w:tcW w:w="2245" w:type="dxa"/>
            <w:tcBorders>
              <w:bottom w:val="single" w:sz="4" w:space="0" w:color="auto"/>
            </w:tcBorders>
            <w:shd w:val="clear" w:color="auto" w:fill="auto"/>
          </w:tcPr>
          <w:p w14:paraId="6F5E1F21" w14:textId="77777777" w:rsidR="00BA3E27" w:rsidRPr="00C609C4" w:rsidRDefault="00F9334E" w:rsidP="0038448E">
            <w:pPr>
              <w:rPr>
                <w:rFonts w:ascii="Arial" w:hAnsi="Arial" w:cs="Arial"/>
                <w:b/>
                <w:color w:val="000000" w:themeColor="text1"/>
                <w:sz w:val="22"/>
                <w:szCs w:val="22"/>
              </w:rPr>
            </w:pPr>
            <w:r w:rsidRPr="00C609C4">
              <w:rPr>
                <w:rFonts w:ascii="Arial" w:hAnsi="Arial" w:cs="Arial"/>
                <w:b/>
                <w:color w:val="000000" w:themeColor="text1"/>
                <w:sz w:val="22"/>
                <w:szCs w:val="22"/>
              </w:rPr>
              <w:t>Measure</w:t>
            </w:r>
            <w:r w:rsidR="00037186" w:rsidRPr="00C609C4">
              <w:rPr>
                <w:rFonts w:ascii="Arial" w:hAnsi="Arial" w:cs="Arial"/>
                <w:b/>
                <w:color w:val="000000" w:themeColor="text1"/>
                <w:sz w:val="22"/>
                <w:szCs w:val="22"/>
              </w:rPr>
              <w:t>:</w:t>
            </w:r>
          </w:p>
        </w:tc>
        <w:tc>
          <w:tcPr>
            <w:tcW w:w="8695" w:type="dxa"/>
          </w:tcPr>
          <w:p w14:paraId="08DD2AEE" w14:textId="7B6B4169" w:rsidR="006C41DD" w:rsidRPr="00C609C4" w:rsidRDefault="00C51D2E" w:rsidP="005F2503">
            <w:pPr>
              <w:rPr>
                <w:rFonts w:ascii="Arial" w:hAnsi="Arial" w:cs="Arial"/>
                <w:color w:val="000000" w:themeColor="text1"/>
                <w:sz w:val="22"/>
                <w:szCs w:val="22"/>
              </w:rPr>
            </w:pPr>
            <w:r w:rsidRPr="00C609C4">
              <w:rPr>
                <w:rFonts w:ascii="Arial" w:hAnsi="Arial" w:cs="Arial"/>
                <w:color w:val="000000" w:themeColor="text1"/>
                <w:sz w:val="22"/>
                <w:szCs w:val="22"/>
                <w:shd w:val="clear" w:color="auto" w:fill="FFFFFF"/>
              </w:rPr>
              <w:t>Hemoglobin Characterization</w:t>
            </w:r>
          </w:p>
        </w:tc>
      </w:tr>
      <w:tr w:rsidR="00FA0416" w:rsidRPr="00FA0416" w14:paraId="2E78D18E" w14:textId="77777777" w:rsidTr="009A76F2">
        <w:trPr>
          <w:trHeight w:val="58"/>
        </w:trPr>
        <w:tc>
          <w:tcPr>
            <w:tcW w:w="2245" w:type="dxa"/>
            <w:shd w:val="clear" w:color="auto" w:fill="D9D9D9"/>
          </w:tcPr>
          <w:p w14:paraId="3CAE9211" w14:textId="77777777" w:rsidR="00A14486" w:rsidRPr="00C609C4" w:rsidRDefault="00055008" w:rsidP="0038448E">
            <w:pPr>
              <w:rPr>
                <w:rFonts w:ascii="Arial" w:hAnsi="Arial" w:cs="Arial"/>
                <w:b/>
                <w:color w:val="000000" w:themeColor="text1"/>
                <w:sz w:val="22"/>
                <w:szCs w:val="22"/>
              </w:rPr>
            </w:pPr>
            <w:r w:rsidRPr="00C609C4">
              <w:rPr>
                <w:rFonts w:ascii="Arial" w:hAnsi="Arial" w:cs="Arial"/>
                <w:b/>
                <w:color w:val="000000" w:themeColor="text1"/>
                <w:sz w:val="22"/>
                <w:szCs w:val="22"/>
              </w:rPr>
              <w:t>Definition</w:t>
            </w:r>
            <w:r w:rsidR="009A76F2" w:rsidRPr="00C609C4">
              <w:rPr>
                <w:rFonts w:ascii="Arial" w:hAnsi="Arial" w:cs="Arial"/>
                <w:b/>
                <w:color w:val="000000" w:themeColor="text1"/>
                <w:sz w:val="22"/>
                <w:szCs w:val="22"/>
              </w:rPr>
              <w:t>:</w:t>
            </w:r>
          </w:p>
        </w:tc>
        <w:tc>
          <w:tcPr>
            <w:tcW w:w="8695" w:type="dxa"/>
          </w:tcPr>
          <w:p w14:paraId="10267590" w14:textId="019F7260" w:rsidR="00A354B0" w:rsidRPr="00C609C4" w:rsidRDefault="00C51D2E" w:rsidP="00443256">
            <w:pPr>
              <w:autoSpaceDE w:val="0"/>
              <w:autoSpaceDN w:val="0"/>
              <w:adjustRightInd w:val="0"/>
              <w:rPr>
                <w:rFonts w:ascii="Arial" w:hAnsi="Arial" w:cs="Arial"/>
                <w:b/>
                <w:bCs/>
                <w:color w:val="000000" w:themeColor="text1"/>
                <w:sz w:val="22"/>
                <w:szCs w:val="22"/>
                <w:u w:val="single"/>
              </w:rPr>
            </w:pPr>
            <w:r w:rsidRPr="00C609C4">
              <w:rPr>
                <w:rFonts w:ascii="Arial" w:hAnsi="Arial" w:cs="Arial"/>
                <w:color w:val="000000" w:themeColor="text1"/>
                <w:sz w:val="22"/>
                <w:szCs w:val="22"/>
                <w:shd w:val="clear" w:color="auto" w:fill="FFFFFF"/>
              </w:rPr>
              <w:t>A bioassay for hemoglobin classification.</w:t>
            </w:r>
          </w:p>
        </w:tc>
      </w:tr>
      <w:tr w:rsidR="00FA0416" w:rsidRPr="00FA0416" w14:paraId="13C59F6C" w14:textId="77777777" w:rsidTr="009A76F2">
        <w:trPr>
          <w:trHeight w:val="58"/>
        </w:trPr>
        <w:tc>
          <w:tcPr>
            <w:tcW w:w="2245" w:type="dxa"/>
          </w:tcPr>
          <w:p w14:paraId="6C0C0FEC" w14:textId="77777777" w:rsidR="00A02104" w:rsidRPr="00C609C4" w:rsidRDefault="00366447" w:rsidP="00154EFB">
            <w:pPr>
              <w:rPr>
                <w:rFonts w:ascii="Arial" w:hAnsi="Arial" w:cs="Arial"/>
                <w:b/>
                <w:color w:val="000000" w:themeColor="text1"/>
                <w:sz w:val="22"/>
                <w:szCs w:val="22"/>
              </w:rPr>
            </w:pPr>
            <w:r w:rsidRPr="00C609C4">
              <w:rPr>
                <w:rFonts w:ascii="Arial" w:hAnsi="Arial" w:cs="Arial"/>
                <w:b/>
                <w:color w:val="000000" w:themeColor="text1"/>
                <w:sz w:val="22"/>
                <w:szCs w:val="22"/>
              </w:rPr>
              <w:t>Purpose</w:t>
            </w:r>
            <w:r w:rsidR="00037186" w:rsidRPr="00C609C4">
              <w:rPr>
                <w:rFonts w:ascii="Arial" w:hAnsi="Arial" w:cs="Arial"/>
                <w:b/>
                <w:color w:val="000000" w:themeColor="text1"/>
                <w:sz w:val="22"/>
                <w:szCs w:val="22"/>
              </w:rPr>
              <w:t>:</w:t>
            </w:r>
          </w:p>
        </w:tc>
        <w:tc>
          <w:tcPr>
            <w:tcW w:w="8695" w:type="dxa"/>
          </w:tcPr>
          <w:p w14:paraId="25CBBAAF" w14:textId="14A4AF33" w:rsidR="00F63900" w:rsidRPr="00C609C4" w:rsidRDefault="00C51D2E" w:rsidP="005F2503">
            <w:pPr>
              <w:rPr>
                <w:rFonts w:ascii="Arial" w:hAnsi="Arial" w:cs="Arial"/>
                <w:color w:val="000000" w:themeColor="text1"/>
                <w:sz w:val="22"/>
                <w:szCs w:val="22"/>
              </w:rPr>
            </w:pPr>
            <w:r w:rsidRPr="00C609C4">
              <w:rPr>
                <w:rFonts w:ascii="Arial" w:hAnsi="Arial" w:cs="Arial"/>
                <w:color w:val="000000" w:themeColor="text1"/>
                <w:sz w:val="22"/>
                <w:szCs w:val="22"/>
                <w:shd w:val="clear" w:color="auto" w:fill="FFFFFF"/>
              </w:rPr>
              <w:t>This protocol can be used to identify and characterize the different variants in structure and synthesis of hemoglobin that cause sickle cell disease.</w:t>
            </w:r>
          </w:p>
        </w:tc>
      </w:tr>
      <w:tr w:rsidR="00FA0416" w:rsidRPr="00FA0416" w14:paraId="68C93672" w14:textId="77777777" w:rsidTr="009A76F2">
        <w:trPr>
          <w:trHeight w:val="107"/>
        </w:trPr>
        <w:tc>
          <w:tcPr>
            <w:tcW w:w="2245" w:type="dxa"/>
            <w:shd w:val="clear" w:color="auto" w:fill="D9D9D9"/>
          </w:tcPr>
          <w:p w14:paraId="1F81AF87" w14:textId="77777777" w:rsidR="004C6528" w:rsidRPr="00C609C4" w:rsidRDefault="004C6528" w:rsidP="0038448E">
            <w:pPr>
              <w:rPr>
                <w:rFonts w:ascii="Arial" w:hAnsi="Arial" w:cs="Arial"/>
                <w:b/>
                <w:color w:val="000000" w:themeColor="text1"/>
                <w:sz w:val="22"/>
                <w:szCs w:val="22"/>
              </w:rPr>
            </w:pPr>
            <w:r w:rsidRPr="00C609C4">
              <w:rPr>
                <w:rFonts w:ascii="Arial" w:hAnsi="Arial" w:cs="Arial"/>
                <w:b/>
                <w:color w:val="000000" w:themeColor="text1"/>
                <w:sz w:val="22"/>
                <w:szCs w:val="22"/>
              </w:rPr>
              <w:t xml:space="preserve">Essential </w:t>
            </w:r>
            <w:r w:rsidR="00932760" w:rsidRPr="00C609C4">
              <w:rPr>
                <w:rFonts w:ascii="Arial" w:hAnsi="Arial" w:cs="Arial"/>
                <w:b/>
                <w:color w:val="000000" w:themeColor="text1"/>
                <w:sz w:val="22"/>
                <w:szCs w:val="22"/>
              </w:rPr>
              <w:t xml:space="preserve">PhenX </w:t>
            </w:r>
            <w:r w:rsidRPr="00C609C4">
              <w:rPr>
                <w:rFonts w:ascii="Arial" w:hAnsi="Arial" w:cs="Arial"/>
                <w:b/>
                <w:color w:val="000000" w:themeColor="text1"/>
                <w:sz w:val="22"/>
                <w:szCs w:val="22"/>
              </w:rPr>
              <w:t>Measures:</w:t>
            </w:r>
          </w:p>
        </w:tc>
        <w:tc>
          <w:tcPr>
            <w:tcW w:w="8695" w:type="dxa"/>
          </w:tcPr>
          <w:p w14:paraId="0DF55551"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Biological Sex Assigned at Birth</w:t>
            </w:r>
          </w:p>
          <w:p w14:paraId="17D6B2A9"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Complete Blood Count (CBC)</w:t>
            </w:r>
          </w:p>
          <w:p w14:paraId="2290B3A5" w14:textId="19C3B2B9"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Current Age</w:t>
            </w:r>
          </w:p>
          <w:p w14:paraId="244887E7"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Gender Identity</w:t>
            </w:r>
          </w:p>
          <w:p w14:paraId="0D925CEC"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History of Transfusion</w:t>
            </w:r>
          </w:p>
          <w:p w14:paraId="4D3797D9" w14:textId="43037F75" w:rsidR="004C6528" w:rsidRPr="00C609C4" w:rsidRDefault="00C51D2E" w:rsidP="00C51D2E">
            <w:pPr>
              <w:rPr>
                <w:rFonts w:ascii="Arial" w:hAnsi="Arial" w:cs="Arial"/>
                <w:b/>
                <w:bCs/>
                <w:color w:val="000000" w:themeColor="text1"/>
                <w:sz w:val="22"/>
                <w:szCs w:val="22"/>
                <w:u w:val="single"/>
              </w:rPr>
            </w:pPr>
            <w:r w:rsidRPr="00C609C4">
              <w:rPr>
                <w:rFonts w:ascii="Arial" w:hAnsi="Arial" w:cs="Arial"/>
                <w:color w:val="000000" w:themeColor="text1"/>
                <w:sz w:val="22"/>
                <w:szCs w:val="22"/>
              </w:rPr>
              <w:t>Medication Inventory</w:t>
            </w:r>
          </w:p>
        </w:tc>
      </w:tr>
      <w:tr w:rsidR="00FA0416" w:rsidRPr="00FA0416" w14:paraId="314C6B41" w14:textId="77777777" w:rsidTr="009A76F2">
        <w:trPr>
          <w:trHeight w:val="58"/>
        </w:trPr>
        <w:tc>
          <w:tcPr>
            <w:tcW w:w="2245" w:type="dxa"/>
          </w:tcPr>
          <w:p w14:paraId="0A3AB2B9" w14:textId="77777777" w:rsidR="004C6528" w:rsidRPr="00C609C4" w:rsidRDefault="004C6528" w:rsidP="0038448E">
            <w:pPr>
              <w:rPr>
                <w:rFonts w:ascii="Arial" w:hAnsi="Arial" w:cs="Arial"/>
                <w:b/>
                <w:color w:val="000000" w:themeColor="text1"/>
                <w:sz w:val="22"/>
                <w:szCs w:val="22"/>
              </w:rPr>
            </w:pPr>
            <w:r w:rsidRPr="00C609C4">
              <w:rPr>
                <w:rFonts w:ascii="Arial" w:hAnsi="Arial" w:cs="Arial"/>
                <w:b/>
                <w:color w:val="000000" w:themeColor="text1"/>
                <w:sz w:val="22"/>
                <w:szCs w:val="22"/>
              </w:rPr>
              <w:t>Related PhenX Measures:</w:t>
            </w:r>
          </w:p>
        </w:tc>
        <w:tc>
          <w:tcPr>
            <w:tcW w:w="8695" w:type="dxa"/>
          </w:tcPr>
          <w:p w14:paraId="6EB1FBC4"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Aspartate Aminotransferase Level</w:t>
            </w:r>
          </w:p>
          <w:p w14:paraId="3D1473CE"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Bilirubin Level</w:t>
            </w:r>
          </w:p>
          <w:p w14:paraId="54AB8B5D"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Haptoglobin Level</w:t>
            </w:r>
          </w:p>
          <w:p w14:paraId="540E4D58" w14:textId="77777777" w:rsidR="00C51D2E" w:rsidRPr="00C609C4"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Lactate Dehydrogenase Level</w:t>
            </w:r>
          </w:p>
          <w:p w14:paraId="221C433E" w14:textId="2CC88497" w:rsidR="004C6528" w:rsidRPr="00C609C4" w:rsidRDefault="00C51D2E" w:rsidP="00C51D2E">
            <w:pPr>
              <w:rPr>
                <w:rFonts w:ascii="Arial" w:hAnsi="Arial" w:cs="Arial"/>
                <w:b/>
                <w:bCs/>
                <w:color w:val="000000" w:themeColor="text1"/>
                <w:sz w:val="22"/>
                <w:szCs w:val="22"/>
                <w:u w:val="single"/>
              </w:rPr>
            </w:pPr>
            <w:r w:rsidRPr="00C609C4">
              <w:rPr>
                <w:rFonts w:ascii="Arial" w:hAnsi="Arial" w:cs="Arial"/>
                <w:color w:val="000000" w:themeColor="text1"/>
                <w:sz w:val="22"/>
                <w:szCs w:val="22"/>
              </w:rPr>
              <w:t>Reticulocyte Count</w:t>
            </w:r>
          </w:p>
        </w:tc>
      </w:tr>
      <w:tr w:rsidR="00FA0416" w:rsidRPr="00FA0416" w14:paraId="519BF0D2" w14:textId="77777777" w:rsidTr="009A76F2">
        <w:trPr>
          <w:trHeight w:val="71"/>
        </w:trPr>
        <w:tc>
          <w:tcPr>
            <w:tcW w:w="2245" w:type="dxa"/>
            <w:shd w:val="clear" w:color="auto" w:fill="D9D9D9"/>
          </w:tcPr>
          <w:p w14:paraId="5BBB6C43" w14:textId="77777777" w:rsidR="004C6528" w:rsidRPr="00C609C4"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t>Measure Release Date:</w:t>
            </w:r>
          </w:p>
        </w:tc>
        <w:tc>
          <w:tcPr>
            <w:tcW w:w="8695" w:type="dxa"/>
          </w:tcPr>
          <w:p w14:paraId="40352367" w14:textId="19F4A07E" w:rsidR="004C6528" w:rsidRPr="00C609C4" w:rsidRDefault="00C51D2E" w:rsidP="004C6528">
            <w:pPr>
              <w:rPr>
                <w:rFonts w:ascii="Arial" w:hAnsi="Arial" w:cs="Arial"/>
                <w:b/>
                <w:bCs/>
                <w:color w:val="000000" w:themeColor="text1"/>
                <w:sz w:val="22"/>
                <w:szCs w:val="22"/>
                <w:u w:val="single"/>
              </w:rPr>
            </w:pPr>
            <w:r w:rsidRPr="00C609C4">
              <w:rPr>
                <w:rFonts w:ascii="Arial" w:hAnsi="Arial" w:cs="Arial"/>
                <w:color w:val="000000" w:themeColor="text1"/>
                <w:sz w:val="22"/>
                <w:szCs w:val="22"/>
                <w:shd w:val="clear" w:color="auto" w:fill="FFFFFF"/>
              </w:rPr>
              <w:t>July 30, 2015</w:t>
            </w:r>
          </w:p>
        </w:tc>
      </w:tr>
    </w:tbl>
    <w:p w14:paraId="6672904A" w14:textId="77777777" w:rsidR="008B4EA6" w:rsidRPr="00C609C4" w:rsidRDefault="008B4EA6" w:rsidP="00154EFB">
      <w:pPr>
        <w:rPr>
          <w:rFonts w:ascii="Arial" w:hAnsi="Arial" w:cs="Arial"/>
          <w:color w:val="000000" w:themeColor="text1"/>
          <w:sz w:val="22"/>
          <w:szCs w:val="22"/>
        </w:rPr>
      </w:pPr>
    </w:p>
    <w:p w14:paraId="54164537" w14:textId="77777777" w:rsidR="008B4EA6" w:rsidRPr="00C609C4" w:rsidRDefault="008B4EA6" w:rsidP="00154EFB">
      <w:pPr>
        <w:rPr>
          <w:rFonts w:ascii="Arial" w:hAnsi="Arial" w:cs="Arial"/>
          <w:color w:val="000000" w:themeColor="text1"/>
          <w:sz w:val="22"/>
          <w:szCs w:val="22"/>
        </w:rPr>
      </w:pPr>
    </w:p>
    <w:p w14:paraId="756A431E" w14:textId="77777777" w:rsidR="003F496E" w:rsidRPr="00C609C4" w:rsidRDefault="003F496E" w:rsidP="00154EFB">
      <w:pPr>
        <w:rPr>
          <w:rFonts w:ascii="Arial" w:hAnsi="Arial" w:cs="Arial"/>
          <w:b/>
          <w:color w:val="000000" w:themeColor="text1"/>
          <w:sz w:val="22"/>
          <w:szCs w:val="22"/>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8953"/>
      </w:tblGrid>
      <w:tr w:rsidR="00FA0416" w:rsidRPr="00FA0416" w14:paraId="13DEEEBF" w14:textId="77777777" w:rsidTr="00C609C4">
        <w:trPr>
          <w:trHeight w:val="420"/>
          <w:jc w:val="center"/>
        </w:trPr>
        <w:tc>
          <w:tcPr>
            <w:tcW w:w="10795" w:type="dxa"/>
            <w:gridSpan w:val="2"/>
          </w:tcPr>
          <w:p w14:paraId="278AD375" w14:textId="6435C402" w:rsidR="007F7390" w:rsidRPr="00C609C4" w:rsidRDefault="00376CF0" w:rsidP="00C51D2E">
            <w:pPr>
              <w:jc w:val="center"/>
              <w:rPr>
                <w:rFonts w:ascii="Arial" w:hAnsi="Arial" w:cs="Arial"/>
                <w:b/>
                <w:color w:val="000000" w:themeColor="text1"/>
                <w:sz w:val="22"/>
                <w:szCs w:val="22"/>
              </w:rPr>
            </w:pPr>
            <w:r w:rsidRPr="00C609C4">
              <w:rPr>
                <w:rFonts w:ascii="Arial" w:hAnsi="Arial" w:cs="Arial"/>
                <w:b/>
                <w:color w:val="000000" w:themeColor="text1"/>
                <w:sz w:val="22"/>
                <w:szCs w:val="22"/>
              </w:rPr>
              <w:t xml:space="preserve">About </w:t>
            </w:r>
            <w:r w:rsidR="0029042F" w:rsidRPr="00C609C4">
              <w:rPr>
                <w:rFonts w:ascii="Arial" w:hAnsi="Arial" w:cs="Arial"/>
                <w:b/>
                <w:color w:val="000000" w:themeColor="text1"/>
                <w:sz w:val="22"/>
                <w:szCs w:val="22"/>
              </w:rPr>
              <w:t xml:space="preserve">the </w:t>
            </w:r>
            <w:r w:rsidR="003F496E" w:rsidRPr="00C609C4">
              <w:rPr>
                <w:rFonts w:ascii="Arial" w:hAnsi="Arial" w:cs="Arial"/>
                <w:b/>
                <w:color w:val="000000" w:themeColor="text1"/>
                <w:sz w:val="22"/>
                <w:szCs w:val="22"/>
              </w:rPr>
              <w:t>Protocol</w:t>
            </w:r>
            <w:r w:rsidR="0029042F" w:rsidRPr="00C609C4">
              <w:rPr>
                <w:rFonts w:ascii="Arial" w:hAnsi="Arial" w:cs="Arial"/>
                <w:b/>
                <w:color w:val="000000" w:themeColor="text1"/>
                <w:sz w:val="22"/>
                <w:szCs w:val="22"/>
              </w:rPr>
              <w:t xml:space="preserve"> </w:t>
            </w:r>
          </w:p>
        </w:tc>
      </w:tr>
      <w:tr w:rsidR="00FA0416" w:rsidRPr="00FA0416" w14:paraId="3989F256" w14:textId="77777777" w:rsidTr="00C609C4">
        <w:trPr>
          <w:trHeight w:val="71"/>
          <w:jc w:val="center"/>
        </w:trPr>
        <w:tc>
          <w:tcPr>
            <w:tcW w:w="1842" w:type="dxa"/>
            <w:shd w:val="clear" w:color="auto" w:fill="auto"/>
          </w:tcPr>
          <w:p w14:paraId="6A79D48D" w14:textId="77777777" w:rsidR="00C53427" w:rsidRPr="00C609C4" w:rsidRDefault="00C53427" w:rsidP="00BF5AF4">
            <w:pPr>
              <w:rPr>
                <w:rFonts w:ascii="Arial" w:hAnsi="Arial" w:cs="Arial"/>
                <w:b/>
                <w:color w:val="000000" w:themeColor="text1"/>
                <w:sz w:val="22"/>
                <w:szCs w:val="22"/>
              </w:rPr>
            </w:pPr>
            <w:r w:rsidRPr="00C609C4">
              <w:rPr>
                <w:rFonts w:ascii="Arial" w:hAnsi="Arial" w:cs="Arial"/>
                <w:b/>
                <w:color w:val="000000" w:themeColor="text1"/>
                <w:sz w:val="22"/>
                <w:szCs w:val="22"/>
              </w:rPr>
              <w:t>Protocol Release Date:</w:t>
            </w:r>
          </w:p>
        </w:tc>
        <w:tc>
          <w:tcPr>
            <w:tcW w:w="8953" w:type="dxa"/>
          </w:tcPr>
          <w:p w14:paraId="5EDC03C8" w14:textId="59BB2CC6" w:rsidR="00C53427" w:rsidRPr="00C609C4" w:rsidRDefault="00C51D2E" w:rsidP="00154EFB">
            <w:pPr>
              <w:rPr>
                <w:rFonts w:ascii="Arial" w:hAnsi="Arial" w:cs="Arial"/>
                <w:b/>
                <w:bCs/>
                <w:color w:val="000000" w:themeColor="text1"/>
                <w:sz w:val="22"/>
                <w:szCs w:val="22"/>
                <w:u w:val="single"/>
              </w:rPr>
            </w:pPr>
            <w:r w:rsidRPr="00C609C4">
              <w:rPr>
                <w:rFonts w:ascii="Arial" w:hAnsi="Arial" w:cs="Arial"/>
                <w:color w:val="000000" w:themeColor="text1"/>
                <w:sz w:val="22"/>
                <w:szCs w:val="22"/>
                <w:shd w:val="clear" w:color="auto" w:fill="FFFFFF"/>
              </w:rPr>
              <w:t>July 30, 2015</w:t>
            </w:r>
          </w:p>
        </w:tc>
      </w:tr>
      <w:tr w:rsidR="00FA0416" w:rsidRPr="00FA0416" w14:paraId="2123FB16" w14:textId="77777777" w:rsidTr="00C609C4">
        <w:trPr>
          <w:trHeight w:val="58"/>
          <w:jc w:val="center"/>
        </w:trPr>
        <w:tc>
          <w:tcPr>
            <w:tcW w:w="1842" w:type="dxa"/>
            <w:shd w:val="clear" w:color="auto" w:fill="D9D9D9"/>
          </w:tcPr>
          <w:p w14:paraId="7C22AF8B" w14:textId="77777777" w:rsidR="00A02104" w:rsidRPr="00C609C4" w:rsidRDefault="00542C20" w:rsidP="004C6528">
            <w:pPr>
              <w:rPr>
                <w:rFonts w:ascii="Arial" w:hAnsi="Arial" w:cs="Arial"/>
                <w:b/>
                <w:color w:val="000000" w:themeColor="text1"/>
                <w:sz w:val="22"/>
                <w:szCs w:val="22"/>
              </w:rPr>
            </w:pPr>
            <w:r w:rsidRPr="00C609C4">
              <w:rPr>
                <w:rFonts w:ascii="Arial" w:hAnsi="Arial" w:cs="Arial"/>
                <w:b/>
                <w:color w:val="000000" w:themeColor="text1"/>
                <w:sz w:val="22"/>
                <w:szCs w:val="22"/>
              </w:rPr>
              <w:t>PhenX Protocol Name</w:t>
            </w:r>
            <w:r w:rsidR="003D284C" w:rsidRPr="00C609C4">
              <w:rPr>
                <w:rFonts w:ascii="Arial" w:hAnsi="Arial" w:cs="Arial"/>
                <w:b/>
                <w:color w:val="000000" w:themeColor="text1"/>
                <w:sz w:val="22"/>
                <w:szCs w:val="22"/>
              </w:rPr>
              <w:t>:</w:t>
            </w:r>
          </w:p>
        </w:tc>
        <w:tc>
          <w:tcPr>
            <w:tcW w:w="8953" w:type="dxa"/>
          </w:tcPr>
          <w:p w14:paraId="59B573B0" w14:textId="73400CA3" w:rsidR="00542C20" w:rsidRPr="00C609C4" w:rsidRDefault="00C51D2E" w:rsidP="00642105">
            <w:pPr>
              <w:rPr>
                <w:rFonts w:ascii="Arial" w:hAnsi="Arial" w:cs="Arial"/>
                <w:color w:val="000000" w:themeColor="text1"/>
                <w:sz w:val="22"/>
                <w:szCs w:val="22"/>
              </w:rPr>
            </w:pPr>
            <w:r w:rsidRPr="00C609C4">
              <w:rPr>
                <w:rFonts w:ascii="Arial" w:hAnsi="Arial" w:cs="Arial"/>
                <w:color w:val="000000" w:themeColor="text1"/>
                <w:sz w:val="22"/>
                <w:szCs w:val="22"/>
              </w:rPr>
              <w:t>Hemoglobin Characterization</w:t>
            </w:r>
          </w:p>
        </w:tc>
      </w:tr>
      <w:tr w:rsidR="00FA0416" w:rsidRPr="00FA0416" w14:paraId="19D9E827" w14:textId="77777777" w:rsidTr="00C609C4">
        <w:trPr>
          <w:trHeight w:val="58"/>
          <w:jc w:val="center"/>
        </w:trPr>
        <w:tc>
          <w:tcPr>
            <w:tcW w:w="1842" w:type="dxa"/>
            <w:shd w:val="clear" w:color="auto" w:fill="auto"/>
          </w:tcPr>
          <w:p w14:paraId="7C642DCA" w14:textId="77777777" w:rsidR="00591B5E" w:rsidRPr="00C609C4" w:rsidRDefault="00591B5E" w:rsidP="00591B5E">
            <w:pPr>
              <w:rPr>
                <w:rFonts w:ascii="Arial" w:hAnsi="Arial" w:cs="Arial"/>
                <w:b/>
                <w:color w:val="000000" w:themeColor="text1"/>
                <w:sz w:val="22"/>
                <w:szCs w:val="22"/>
              </w:rPr>
            </w:pPr>
            <w:r w:rsidRPr="00C609C4">
              <w:rPr>
                <w:rFonts w:ascii="Arial" w:hAnsi="Arial" w:cs="Arial"/>
                <w:b/>
                <w:color w:val="000000" w:themeColor="text1"/>
                <w:sz w:val="22"/>
                <w:szCs w:val="22"/>
              </w:rPr>
              <w:t xml:space="preserve">Keywords: </w:t>
            </w:r>
          </w:p>
        </w:tc>
        <w:tc>
          <w:tcPr>
            <w:tcW w:w="8953" w:type="dxa"/>
          </w:tcPr>
          <w:p w14:paraId="2A3DA46E" w14:textId="35B0F31A" w:rsidR="00591B5E" w:rsidRPr="00C609C4" w:rsidRDefault="00C51D2E" w:rsidP="00591B5E">
            <w:pPr>
              <w:rPr>
                <w:rFonts w:ascii="Arial" w:hAnsi="Arial" w:cs="Arial"/>
                <w:b/>
                <w:bCs/>
                <w:color w:val="000000" w:themeColor="text1"/>
                <w:sz w:val="22"/>
                <w:szCs w:val="22"/>
                <w:u w:val="single"/>
              </w:rPr>
            </w:pPr>
            <w:r w:rsidRPr="00C609C4">
              <w:rPr>
                <w:rFonts w:ascii="Arial" w:hAnsi="Arial" w:cs="Arial"/>
                <w:color w:val="000000" w:themeColor="text1"/>
                <w:sz w:val="22"/>
                <w:szCs w:val="22"/>
                <w:shd w:val="clear" w:color="auto" w:fill="FFFFFF"/>
              </w:rPr>
              <w:t>hemoglobin characterization, sickle cell disease, SCD, SC disease, anemia, thalassemia, hemoglobin, hemoglobinopathy, high-performance liquid chromatography, HPLC, isoelectric focusing, IEF, immunoassay</w:t>
            </w:r>
          </w:p>
        </w:tc>
      </w:tr>
      <w:tr w:rsidR="00FA0416" w:rsidRPr="00FA0416" w14:paraId="1D7F1025" w14:textId="77777777" w:rsidTr="00C609C4">
        <w:trPr>
          <w:trHeight w:val="58"/>
          <w:jc w:val="center"/>
        </w:trPr>
        <w:tc>
          <w:tcPr>
            <w:tcW w:w="1842" w:type="dxa"/>
            <w:shd w:val="clear" w:color="auto" w:fill="D9D9D9"/>
          </w:tcPr>
          <w:p w14:paraId="57ABF1FD" w14:textId="77777777" w:rsidR="004C6528" w:rsidRPr="00C609C4" w:rsidRDefault="004C6528" w:rsidP="009A76F2">
            <w:pPr>
              <w:shd w:val="clear" w:color="auto" w:fill="D9D9D9"/>
              <w:rPr>
                <w:rFonts w:ascii="Arial" w:hAnsi="Arial" w:cs="Arial"/>
                <w:b/>
                <w:color w:val="000000" w:themeColor="text1"/>
                <w:sz w:val="22"/>
                <w:szCs w:val="22"/>
              </w:rPr>
            </w:pPr>
            <w:r w:rsidRPr="00C609C4">
              <w:rPr>
                <w:rFonts w:ascii="Arial" w:hAnsi="Arial" w:cs="Arial"/>
                <w:b/>
                <w:color w:val="000000" w:themeColor="text1"/>
                <w:sz w:val="22"/>
                <w:szCs w:val="22"/>
              </w:rPr>
              <w:t>Protocol Name</w:t>
            </w:r>
            <w:r w:rsidR="00F67CF6" w:rsidRPr="00C609C4">
              <w:rPr>
                <w:rFonts w:ascii="Arial" w:hAnsi="Arial" w:cs="Arial"/>
                <w:b/>
                <w:color w:val="000000" w:themeColor="text1"/>
                <w:sz w:val="22"/>
                <w:szCs w:val="22"/>
              </w:rPr>
              <w:t xml:space="preserve"> from Source</w:t>
            </w:r>
            <w:r w:rsidRPr="00C609C4">
              <w:rPr>
                <w:rFonts w:ascii="Arial" w:hAnsi="Arial" w:cs="Arial"/>
                <w:b/>
                <w:color w:val="000000" w:themeColor="text1"/>
                <w:sz w:val="22"/>
                <w:szCs w:val="22"/>
              </w:rPr>
              <w:t>:</w:t>
            </w:r>
          </w:p>
        </w:tc>
        <w:tc>
          <w:tcPr>
            <w:tcW w:w="8953" w:type="dxa"/>
          </w:tcPr>
          <w:p w14:paraId="7A6F5E3C" w14:textId="71761D76" w:rsidR="004D086D" w:rsidRPr="00C609C4" w:rsidRDefault="00C51D2E" w:rsidP="005F2503">
            <w:pPr>
              <w:rPr>
                <w:rFonts w:ascii="Arial" w:hAnsi="Arial" w:cs="Arial"/>
                <w:color w:val="000000" w:themeColor="text1"/>
                <w:sz w:val="22"/>
                <w:szCs w:val="22"/>
              </w:rPr>
            </w:pPr>
            <w:r w:rsidRPr="00C609C4">
              <w:rPr>
                <w:rFonts w:ascii="Arial" w:hAnsi="Arial" w:cs="Arial"/>
                <w:color w:val="000000" w:themeColor="text1"/>
                <w:sz w:val="22"/>
                <w:szCs w:val="22"/>
              </w:rPr>
              <w:t>The Laboratory Diagnosis of Haemoglobinopathies, 1998</w:t>
            </w:r>
          </w:p>
        </w:tc>
      </w:tr>
      <w:tr w:rsidR="00FA0416" w:rsidRPr="00FA0416" w14:paraId="5C56BDA6" w14:textId="77777777" w:rsidTr="00C609C4">
        <w:trPr>
          <w:trHeight w:val="58"/>
          <w:jc w:val="center"/>
        </w:trPr>
        <w:tc>
          <w:tcPr>
            <w:tcW w:w="1842" w:type="dxa"/>
            <w:shd w:val="clear" w:color="auto" w:fill="FFFFFF"/>
          </w:tcPr>
          <w:p w14:paraId="2E9B2818" w14:textId="77777777" w:rsidR="005A32A6" w:rsidRPr="00C609C4" w:rsidRDefault="000753CA" w:rsidP="009A76F2">
            <w:pPr>
              <w:rPr>
                <w:rFonts w:ascii="Arial" w:hAnsi="Arial" w:cs="Arial"/>
                <w:b/>
                <w:color w:val="000000" w:themeColor="text1"/>
                <w:sz w:val="22"/>
                <w:szCs w:val="22"/>
              </w:rPr>
            </w:pPr>
            <w:r w:rsidRPr="00C609C4">
              <w:rPr>
                <w:rFonts w:ascii="Arial" w:hAnsi="Arial" w:cs="Arial"/>
                <w:b/>
                <w:color w:val="000000" w:themeColor="text1"/>
                <w:sz w:val="22"/>
                <w:szCs w:val="22"/>
              </w:rPr>
              <w:t>Description</w:t>
            </w:r>
            <w:r w:rsidR="00037186" w:rsidRPr="00C609C4">
              <w:rPr>
                <w:rFonts w:ascii="Arial" w:hAnsi="Arial" w:cs="Arial"/>
                <w:b/>
                <w:color w:val="000000" w:themeColor="text1"/>
                <w:sz w:val="22"/>
                <w:szCs w:val="22"/>
              </w:rPr>
              <w:t>:</w:t>
            </w:r>
          </w:p>
        </w:tc>
        <w:tc>
          <w:tcPr>
            <w:tcW w:w="8953" w:type="dxa"/>
          </w:tcPr>
          <w:p w14:paraId="115DF398" w14:textId="51CE7713" w:rsidR="00154EFB" w:rsidRPr="00C609C4" w:rsidRDefault="00C51D2E" w:rsidP="001D14E2">
            <w:pPr>
              <w:autoSpaceDE w:val="0"/>
              <w:autoSpaceDN w:val="0"/>
              <w:adjustRightInd w:val="0"/>
              <w:rPr>
                <w:rFonts w:ascii="Arial" w:hAnsi="Arial" w:cs="Arial"/>
                <w:color w:val="000000" w:themeColor="text1"/>
                <w:sz w:val="22"/>
                <w:szCs w:val="22"/>
              </w:rPr>
            </w:pPr>
            <w:r w:rsidRPr="00C609C4">
              <w:rPr>
                <w:rFonts w:ascii="Arial" w:hAnsi="Arial" w:cs="Arial"/>
                <w:color w:val="000000" w:themeColor="text1"/>
                <w:sz w:val="22"/>
                <w:szCs w:val="22"/>
              </w:rPr>
              <w:t>This protocol provides basic instructions for drawing and storing blood and performing the bioassay for hemoglobin characterization. Because there are many assays that may be required to characterize hemoglobin abnormalities, the protocol also provides basic guidelines to increase comparability among different studies.</w:t>
            </w:r>
          </w:p>
        </w:tc>
      </w:tr>
      <w:tr w:rsidR="00FA0416" w:rsidRPr="00FA0416" w14:paraId="36CF2921" w14:textId="77777777" w:rsidTr="00C609C4">
        <w:trPr>
          <w:trHeight w:val="58"/>
          <w:jc w:val="center"/>
        </w:trPr>
        <w:tc>
          <w:tcPr>
            <w:tcW w:w="1842" w:type="dxa"/>
            <w:shd w:val="clear" w:color="auto" w:fill="D9D9D9"/>
          </w:tcPr>
          <w:p w14:paraId="06B66253" w14:textId="77777777" w:rsidR="00C53427" w:rsidRPr="00C609C4" w:rsidRDefault="00C53427" w:rsidP="0038448E">
            <w:pPr>
              <w:rPr>
                <w:rFonts w:ascii="Arial" w:hAnsi="Arial" w:cs="Arial"/>
                <w:b/>
                <w:color w:val="000000" w:themeColor="text1"/>
                <w:sz w:val="22"/>
                <w:szCs w:val="22"/>
              </w:rPr>
            </w:pPr>
            <w:r w:rsidRPr="00C609C4">
              <w:rPr>
                <w:rFonts w:ascii="Arial" w:hAnsi="Arial" w:cs="Arial"/>
                <w:b/>
                <w:color w:val="000000" w:themeColor="text1"/>
                <w:sz w:val="22"/>
                <w:szCs w:val="22"/>
              </w:rPr>
              <w:t>Specific Instructions:</w:t>
            </w:r>
          </w:p>
        </w:tc>
        <w:tc>
          <w:tcPr>
            <w:tcW w:w="8953" w:type="dxa"/>
          </w:tcPr>
          <w:p w14:paraId="1E0BBFFE" w14:textId="2C2A484E" w:rsidR="00C51D2E" w:rsidRPr="00C609C4" w:rsidRDefault="00C51D2E" w:rsidP="00C51D2E">
            <w:pPr>
              <w:pStyle w:val="NormalWeb"/>
              <w:shd w:val="clear" w:color="auto" w:fill="FFFFFF"/>
              <w:spacing w:before="0" w:beforeAutospacing="0"/>
              <w:rPr>
                <w:rFonts w:ascii="Arial" w:hAnsi="Arial" w:cs="Arial"/>
                <w:color w:val="000000" w:themeColor="text1"/>
                <w:sz w:val="22"/>
                <w:szCs w:val="22"/>
              </w:rPr>
            </w:pPr>
            <w:r w:rsidRPr="00C609C4">
              <w:rPr>
                <w:rFonts w:ascii="Arial" w:hAnsi="Arial" w:cs="Arial"/>
                <w:color w:val="000000" w:themeColor="text1"/>
                <w:sz w:val="22"/>
                <w:szCs w:val="22"/>
              </w:rPr>
              <w:t>The Sickle Cell Disease Research and Scientific Panel (SRSP) recommends that investigators also capture Complete Blood Count and Reticulocyte Count.</w:t>
            </w:r>
          </w:p>
          <w:p w14:paraId="43D1422C" w14:textId="30A0FEE1" w:rsidR="00C51D2E" w:rsidRPr="00C609C4" w:rsidRDefault="00C51D2E" w:rsidP="00C51D2E">
            <w:pPr>
              <w:pStyle w:val="NormalWeb"/>
              <w:shd w:val="clear" w:color="auto" w:fill="FFFFFF"/>
              <w:spacing w:before="0" w:beforeAutospacing="0"/>
              <w:rPr>
                <w:rFonts w:ascii="Arial" w:hAnsi="Arial" w:cs="Arial"/>
                <w:color w:val="000000" w:themeColor="text1"/>
                <w:sz w:val="22"/>
                <w:szCs w:val="22"/>
              </w:rPr>
            </w:pPr>
            <w:r w:rsidRPr="00C609C4">
              <w:rPr>
                <w:rFonts w:ascii="Arial" w:hAnsi="Arial" w:cs="Arial"/>
                <w:color w:val="000000" w:themeColor="text1"/>
                <w:sz w:val="22"/>
                <w:szCs w:val="22"/>
              </w:rPr>
              <w:t xml:space="preserve">The SRSP recommends that results from Hemoglobin Characterization be interpreted in the context of </w:t>
            </w:r>
            <w:proofErr w:type="gramStart"/>
            <w:r w:rsidRPr="00C609C4">
              <w:rPr>
                <w:rFonts w:ascii="Arial" w:hAnsi="Arial" w:cs="Arial"/>
                <w:color w:val="000000" w:themeColor="text1"/>
                <w:sz w:val="22"/>
                <w:szCs w:val="22"/>
              </w:rPr>
              <w:t>age appropriate</w:t>
            </w:r>
            <w:proofErr w:type="gramEnd"/>
            <w:r w:rsidRPr="00C609C4">
              <w:rPr>
                <w:rFonts w:ascii="Arial" w:hAnsi="Arial" w:cs="Arial"/>
                <w:color w:val="000000" w:themeColor="text1"/>
                <w:sz w:val="22"/>
                <w:szCs w:val="22"/>
              </w:rPr>
              <w:t xml:space="preserve"> normal values and blood transfusions within the last 120 days.</w:t>
            </w:r>
          </w:p>
          <w:p w14:paraId="1DE6B58A" w14:textId="5818B828" w:rsidR="00C53427" w:rsidRPr="00C609C4" w:rsidRDefault="00C51D2E" w:rsidP="00C51D2E">
            <w:pPr>
              <w:pStyle w:val="NormalWeb"/>
              <w:shd w:val="clear" w:color="auto" w:fill="FFFFFF"/>
              <w:spacing w:before="0" w:beforeAutospacing="0"/>
              <w:rPr>
                <w:rFonts w:ascii="Arial" w:hAnsi="Arial" w:cs="Arial"/>
                <w:color w:val="000000" w:themeColor="text1"/>
                <w:sz w:val="22"/>
                <w:szCs w:val="22"/>
              </w:rPr>
            </w:pPr>
            <w:r w:rsidRPr="00C609C4">
              <w:rPr>
                <w:rFonts w:ascii="Arial" w:hAnsi="Arial" w:cs="Arial"/>
                <w:color w:val="000000" w:themeColor="text1"/>
                <w:sz w:val="22"/>
                <w:szCs w:val="22"/>
              </w:rPr>
              <w:t>The results of the Hemoglobin Characterization can be interpreted using the hemoglobinopathy case definition worksheets and classification tables from the Newborn Screening Technical Assistance and Evaluation Program (</w:t>
            </w:r>
            <w:proofErr w:type="spellStart"/>
            <w:r w:rsidRPr="00C609C4">
              <w:rPr>
                <w:rFonts w:ascii="Arial" w:hAnsi="Arial" w:cs="Arial"/>
                <w:color w:val="000000" w:themeColor="text1"/>
                <w:sz w:val="22"/>
                <w:szCs w:val="22"/>
              </w:rPr>
              <w:t>NewSTEPS</w:t>
            </w:r>
            <w:proofErr w:type="spellEnd"/>
            <w:r w:rsidRPr="00C609C4">
              <w:rPr>
                <w:rFonts w:ascii="Arial" w:hAnsi="Arial" w:cs="Arial"/>
                <w:color w:val="000000" w:themeColor="text1"/>
                <w:sz w:val="22"/>
                <w:szCs w:val="22"/>
              </w:rPr>
              <w:t>, see </w:t>
            </w:r>
            <w:hyperlink r:id="rId7" w:tgtFrame="_blank" w:history="1">
              <w:r w:rsidRPr="00C609C4">
                <w:rPr>
                  <w:rStyle w:val="Hyperlink"/>
                  <w:rFonts w:ascii="Arial" w:hAnsi="Arial" w:cs="Arial"/>
                  <w:color w:val="000000" w:themeColor="text1"/>
                  <w:sz w:val="22"/>
                  <w:szCs w:val="22"/>
                  <w:u w:val="none"/>
                </w:rPr>
                <w:t>Sickle Cell Disease Case Definitions</w:t>
              </w:r>
            </w:hyperlink>
            <w:r w:rsidRPr="00C609C4">
              <w:rPr>
                <w:rFonts w:ascii="Arial" w:hAnsi="Arial" w:cs="Arial"/>
                <w:color w:val="000000" w:themeColor="text1"/>
                <w:sz w:val="22"/>
                <w:szCs w:val="22"/>
              </w:rPr>
              <w:t xml:space="preserve">) funded by the Health Resources and Services Administration (HRSA). Investigators complete the case definition worksheets using available clinical </w:t>
            </w:r>
            <w:r w:rsidRPr="00C609C4">
              <w:rPr>
                <w:rFonts w:ascii="Arial" w:hAnsi="Arial" w:cs="Arial"/>
                <w:color w:val="000000" w:themeColor="text1"/>
                <w:sz w:val="22"/>
                <w:szCs w:val="22"/>
              </w:rPr>
              <w:lastRenderedPageBreak/>
              <w:t xml:space="preserve">data </w:t>
            </w:r>
            <w:proofErr w:type="gramStart"/>
            <w:r w:rsidRPr="00C609C4">
              <w:rPr>
                <w:rFonts w:ascii="Arial" w:hAnsi="Arial" w:cs="Arial"/>
                <w:color w:val="000000" w:themeColor="text1"/>
                <w:sz w:val="22"/>
                <w:szCs w:val="22"/>
              </w:rPr>
              <w:t>including:</w:t>
            </w:r>
            <w:proofErr w:type="gramEnd"/>
            <w:r w:rsidRPr="00C609C4">
              <w:rPr>
                <w:rFonts w:ascii="Arial" w:hAnsi="Arial" w:cs="Arial"/>
                <w:color w:val="000000" w:themeColor="text1"/>
                <w:sz w:val="22"/>
                <w:szCs w:val="22"/>
              </w:rPr>
              <w:t xml:space="preserve"> family history of hemoglobin variants, hemoglobin newborn screening results, laboratory record of complete blood count (CBC) with mean corpuscular volume (MCV), hemoglobin electrophoresis, isoelectric focusing, high performance liquid chromatography, and DNA genotype. Investigators then use the associated classification tables to interpret the results and make a diagnosis. The classification tables indicate the level of certainty (e.g., definite, probable, possible, or unlikely) of the diagnosis based on the type of clinical data available.</w:t>
            </w:r>
          </w:p>
        </w:tc>
      </w:tr>
      <w:tr w:rsidR="00FA0416" w:rsidRPr="00FA0416" w14:paraId="30C60A4A" w14:textId="77777777" w:rsidTr="00C609C4">
        <w:trPr>
          <w:trHeight w:val="58"/>
          <w:jc w:val="center"/>
        </w:trPr>
        <w:tc>
          <w:tcPr>
            <w:tcW w:w="1842" w:type="dxa"/>
            <w:shd w:val="clear" w:color="auto" w:fill="FFFFFF"/>
          </w:tcPr>
          <w:p w14:paraId="4469A118" w14:textId="77777777" w:rsidR="00C53427" w:rsidRPr="00C609C4" w:rsidRDefault="00C53427" w:rsidP="0038448E">
            <w:pPr>
              <w:rPr>
                <w:rFonts w:ascii="Arial" w:hAnsi="Arial" w:cs="Arial"/>
                <w:b/>
                <w:color w:val="000000" w:themeColor="text1"/>
                <w:sz w:val="22"/>
                <w:szCs w:val="22"/>
              </w:rPr>
            </w:pPr>
            <w:r w:rsidRPr="00C609C4">
              <w:rPr>
                <w:rFonts w:ascii="Arial" w:hAnsi="Arial" w:cs="Arial"/>
                <w:b/>
                <w:color w:val="000000" w:themeColor="text1"/>
                <w:sz w:val="22"/>
                <w:szCs w:val="22"/>
              </w:rPr>
              <w:lastRenderedPageBreak/>
              <w:t>Protocol:</w:t>
            </w:r>
          </w:p>
        </w:tc>
        <w:tc>
          <w:tcPr>
            <w:tcW w:w="8953" w:type="dxa"/>
          </w:tcPr>
          <w:p w14:paraId="34970829" w14:textId="77777777" w:rsidR="00C51D2E" w:rsidRPr="00C609C4" w:rsidRDefault="00C51D2E" w:rsidP="00C51D2E">
            <w:pPr>
              <w:shd w:val="clear" w:color="auto" w:fill="FFFFFF"/>
              <w:spacing w:after="100" w:afterAutospacing="1"/>
              <w:rPr>
                <w:rFonts w:ascii="Arial" w:eastAsia="Times New Roman" w:hAnsi="Arial" w:cs="Arial"/>
                <w:color w:val="000000" w:themeColor="text1"/>
                <w:sz w:val="22"/>
                <w:szCs w:val="22"/>
              </w:rPr>
            </w:pPr>
            <w:r w:rsidRPr="00C609C4">
              <w:rPr>
                <w:rFonts w:ascii="Arial" w:eastAsia="Times New Roman" w:hAnsi="Arial" w:cs="Arial"/>
                <w:b/>
                <w:bCs/>
                <w:color w:val="000000" w:themeColor="text1"/>
                <w:sz w:val="22"/>
                <w:szCs w:val="22"/>
              </w:rPr>
              <w:t>Hemoglobin Characterization</w:t>
            </w:r>
          </w:p>
          <w:p w14:paraId="2120EF5A" w14:textId="77777777" w:rsidR="00C51D2E" w:rsidRPr="00C609C4" w:rsidRDefault="00C51D2E" w:rsidP="00C51D2E">
            <w:pPr>
              <w:shd w:val="clear" w:color="auto" w:fill="FFFFFF"/>
              <w:spacing w:after="100" w:afterAutospacing="1"/>
              <w:rPr>
                <w:rFonts w:ascii="Arial" w:eastAsia="Times New Roman" w:hAnsi="Arial" w:cs="Arial"/>
                <w:color w:val="000000" w:themeColor="text1"/>
                <w:sz w:val="22"/>
                <w:szCs w:val="22"/>
              </w:rPr>
            </w:pPr>
            <w:r w:rsidRPr="00C609C4">
              <w:rPr>
                <w:rFonts w:ascii="Arial" w:eastAsia="Times New Roman" w:hAnsi="Arial" w:cs="Arial"/>
                <w:b/>
                <w:bCs/>
                <w:color w:val="000000" w:themeColor="text1"/>
                <w:sz w:val="22"/>
                <w:szCs w:val="22"/>
              </w:rPr>
              <w:t>Blood Draw</w:t>
            </w:r>
          </w:p>
          <w:p w14:paraId="078B1D1A" w14:textId="77777777" w:rsidR="00C51D2E" w:rsidRPr="00C609C4" w:rsidRDefault="00C51D2E" w:rsidP="00C51D2E">
            <w:pPr>
              <w:shd w:val="clear" w:color="auto" w:fill="FFFFFF"/>
              <w:spacing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Blood should be drawn into an appropriate EDTA tube.</w:t>
            </w:r>
          </w:p>
          <w:p w14:paraId="7EE813E8" w14:textId="54EBD91E" w:rsidR="00C51D2E" w:rsidRPr="00C609C4" w:rsidRDefault="00C51D2E" w:rsidP="00C51D2E">
            <w:pPr>
              <w:shd w:val="clear" w:color="auto" w:fill="FFFFFF"/>
              <w:spacing w:after="100" w:afterAutospacing="1"/>
              <w:rPr>
                <w:rFonts w:ascii="Arial" w:eastAsia="Times New Roman" w:hAnsi="Arial" w:cs="Arial"/>
                <w:color w:val="000000" w:themeColor="text1"/>
                <w:sz w:val="22"/>
                <w:szCs w:val="22"/>
              </w:rPr>
            </w:pPr>
            <w:r w:rsidRPr="00C609C4">
              <w:rPr>
                <w:rFonts w:ascii="Arial" w:eastAsia="Times New Roman" w:hAnsi="Arial" w:cs="Arial"/>
                <w:b/>
                <w:bCs/>
                <w:color w:val="000000" w:themeColor="text1"/>
                <w:sz w:val="22"/>
                <w:szCs w:val="22"/>
              </w:rPr>
              <w:t>Laboratory Assay for Hemoglobin Characterization</w:t>
            </w:r>
          </w:p>
          <w:p w14:paraId="2850A498" w14:textId="346ABFA1" w:rsidR="00C51D2E" w:rsidRPr="00C609C4" w:rsidRDefault="00C51D2E" w:rsidP="00C51D2E">
            <w:pPr>
              <w:shd w:val="clear" w:color="auto" w:fill="FFFFFF"/>
              <w:spacing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The Sickle Cell Disease Scientific and Research Panel (SRSP) notes that there are numerous different assays and instruments (e.g., hemoglobin electrophoresis, isoelectric focusing, high performance liquid chromatography, DNA sequencing analysis) that are appropriate to characterize hemoglobin variants. Once an assay is chosen for a particular study, the SRSP recommends that no changes in the protocol be made over the course of the study. To aid comparability, the SRSP recommends that the investigator record the make and manufacturer of equipment used and the repeatability and coefficients of variation for the assay.</w:t>
            </w:r>
          </w:p>
          <w:p w14:paraId="38C711B1" w14:textId="37F11488" w:rsidR="00C51D2E" w:rsidRPr="00C609C4" w:rsidRDefault="00C51D2E" w:rsidP="00C51D2E">
            <w:pPr>
              <w:shd w:val="clear" w:color="auto" w:fill="FFFFFF"/>
              <w:spacing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 xml:space="preserve">The SRSP notes that investigators should record the assay results for the following </w:t>
            </w:r>
            <w:proofErr w:type="spellStart"/>
            <w:r w:rsidRPr="00C609C4">
              <w:rPr>
                <w:rFonts w:ascii="Arial" w:eastAsia="Times New Roman" w:hAnsi="Arial" w:cs="Arial"/>
                <w:color w:val="000000" w:themeColor="text1"/>
                <w:sz w:val="22"/>
                <w:szCs w:val="22"/>
              </w:rPr>
              <w:t>hemoglobins</w:t>
            </w:r>
            <w:proofErr w:type="spellEnd"/>
            <w:r w:rsidRPr="00C609C4">
              <w:rPr>
                <w:rFonts w:ascii="Arial" w:eastAsia="Times New Roman" w:hAnsi="Arial" w:cs="Arial"/>
                <w:color w:val="000000" w:themeColor="text1"/>
                <w:sz w:val="22"/>
                <w:szCs w:val="22"/>
              </w:rPr>
              <w:t xml:space="preserve"> (the exact list of </w:t>
            </w:r>
            <w:proofErr w:type="spellStart"/>
            <w:r w:rsidRPr="00C609C4">
              <w:rPr>
                <w:rFonts w:ascii="Arial" w:eastAsia="Times New Roman" w:hAnsi="Arial" w:cs="Arial"/>
                <w:color w:val="000000" w:themeColor="text1"/>
                <w:sz w:val="22"/>
                <w:szCs w:val="22"/>
              </w:rPr>
              <w:t>hemoglobins</w:t>
            </w:r>
            <w:proofErr w:type="spellEnd"/>
            <w:r w:rsidRPr="00C609C4">
              <w:rPr>
                <w:rFonts w:ascii="Arial" w:eastAsia="Times New Roman" w:hAnsi="Arial" w:cs="Arial"/>
                <w:color w:val="000000" w:themeColor="text1"/>
                <w:sz w:val="22"/>
                <w:szCs w:val="22"/>
              </w:rPr>
              <w:t xml:space="preserve"> that can be distinguished will depend on the assay being used). The </w:t>
            </w:r>
            <w:proofErr w:type="spellStart"/>
            <w:r w:rsidRPr="00C609C4">
              <w:rPr>
                <w:rFonts w:ascii="Arial" w:eastAsia="Times New Roman" w:hAnsi="Arial" w:cs="Arial"/>
                <w:color w:val="000000" w:themeColor="text1"/>
                <w:sz w:val="22"/>
                <w:szCs w:val="22"/>
              </w:rPr>
              <w:t>hemoglobins</w:t>
            </w:r>
            <w:proofErr w:type="spellEnd"/>
            <w:r w:rsidRPr="00C609C4">
              <w:rPr>
                <w:rFonts w:ascii="Arial" w:eastAsia="Times New Roman" w:hAnsi="Arial" w:cs="Arial"/>
                <w:color w:val="000000" w:themeColor="text1"/>
                <w:sz w:val="22"/>
                <w:szCs w:val="22"/>
              </w:rPr>
              <w:t xml:space="preserve"> are listed in order of the amount present with the most prevalent coming first.</w:t>
            </w:r>
          </w:p>
          <w:p w14:paraId="47FE8F2A" w14:textId="3A41F6B0"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A</w:t>
            </w:r>
          </w:p>
          <w:p w14:paraId="0BC70C43" w14:textId="432EF726"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F</w:t>
            </w:r>
          </w:p>
          <w:p w14:paraId="6E2E1D2F" w14:textId="672F1491"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S</w:t>
            </w:r>
          </w:p>
          <w:p w14:paraId="7A2292C6" w14:textId="4EFD9C9A"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C</w:t>
            </w:r>
          </w:p>
          <w:p w14:paraId="1B65BC21" w14:textId="7161094F"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E/A2</w:t>
            </w:r>
          </w:p>
          <w:p w14:paraId="28EEFDC1" w14:textId="02CE3EAB"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D-Punjab</w:t>
            </w:r>
          </w:p>
          <w:p w14:paraId="73899EB1" w14:textId="6310A901"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G-Philadelphia</w:t>
            </w:r>
          </w:p>
          <w:p w14:paraId="0199D461" w14:textId="0A0BBD88" w:rsidR="00C51D2E" w:rsidRPr="00C609C4" w:rsidRDefault="00C51D2E" w:rsidP="00C51D2E">
            <w:pPr>
              <w:numPr>
                <w:ilvl w:val="0"/>
                <w:numId w:val="25"/>
              </w:numPr>
              <w:shd w:val="clear" w:color="auto" w:fill="FFFFFF"/>
              <w:spacing w:before="100" w:beforeAutospacing="1" w:after="100" w:afterAutospacing="1"/>
              <w:rPr>
                <w:rFonts w:ascii="Arial" w:eastAsia="Times New Roman" w:hAnsi="Arial" w:cs="Arial"/>
                <w:color w:val="000000" w:themeColor="text1"/>
                <w:sz w:val="22"/>
                <w:szCs w:val="22"/>
              </w:rPr>
            </w:pPr>
            <w:r w:rsidRPr="00C609C4">
              <w:rPr>
                <w:rFonts w:ascii="Arial" w:eastAsia="Times New Roman" w:hAnsi="Arial" w:cs="Arial"/>
                <w:color w:val="000000" w:themeColor="text1"/>
                <w:sz w:val="22"/>
                <w:szCs w:val="22"/>
              </w:rPr>
              <w:t>O-Arab</w:t>
            </w:r>
          </w:p>
          <w:p w14:paraId="2355E1D9" w14:textId="77777777" w:rsidR="00C53427" w:rsidRPr="00C609C4" w:rsidRDefault="00C53427" w:rsidP="005F2503">
            <w:pPr>
              <w:autoSpaceDE w:val="0"/>
              <w:autoSpaceDN w:val="0"/>
              <w:adjustRightInd w:val="0"/>
              <w:rPr>
                <w:rFonts w:ascii="Arial" w:hAnsi="Arial" w:cs="Arial"/>
                <w:b/>
                <w:bCs/>
                <w:color w:val="000000" w:themeColor="text1"/>
                <w:sz w:val="22"/>
                <w:szCs w:val="22"/>
                <w:u w:val="single"/>
              </w:rPr>
            </w:pPr>
          </w:p>
        </w:tc>
      </w:tr>
      <w:tr w:rsidR="00FA0416" w:rsidRPr="00FA0416" w14:paraId="714576EA" w14:textId="77777777" w:rsidTr="00C609C4">
        <w:trPr>
          <w:trHeight w:val="58"/>
          <w:jc w:val="center"/>
        </w:trPr>
        <w:tc>
          <w:tcPr>
            <w:tcW w:w="1842" w:type="dxa"/>
            <w:shd w:val="clear" w:color="auto" w:fill="D9D9D9"/>
          </w:tcPr>
          <w:p w14:paraId="38858529" w14:textId="77777777" w:rsidR="00A02104" w:rsidRPr="006C4DA8" w:rsidRDefault="00C53427" w:rsidP="0038448E">
            <w:pPr>
              <w:rPr>
                <w:rFonts w:ascii="Arial" w:hAnsi="Arial" w:cs="Arial"/>
                <w:b/>
                <w:color w:val="000000" w:themeColor="text1"/>
                <w:sz w:val="22"/>
                <w:szCs w:val="22"/>
              </w:rPr>
            </w:pPr>
            <w:r w:rsidRPr="006C4DA8">
              <w:rPr>
                <w:rFonts w:ascii="Arial" w:hAnsi="Arial" w:cs="Arial"/>
                <w:b/>
                <w:color w:val="000000" w:themeColor="text1"/>
                <w:sz w:val="22"/>
                <w:szCs w:val="22"/>
              </w:rPr>
              <w:t>Selection Rationale:</w:t>
            </w:r>
          </w:p>
        </w:tc>
        <w:tc>
          <w:tcPr>
            <w:tcW w:w="8953" w:type="dxa"/>
          </w:tcPr>
          <w:p w14:paraId="75524C49" w14:textId="7D35F904" w:rsidR="00C53427" w:rsidRPr="00FE7B12" w:rsidRDefault="00C51D2E" w:rsidP="005F2503">
            <w:pPr>
              <w:rPr>
                <w:rFonts w:ascii="Arial" w:hAnsi="Arial" w:cs="Arial"/>
                <w:sz w:val="22"/>
                <w:szCs w:val="22"/>
              </w:rPr>
            </w:pPr>
            <w:r w:rsidRPr="006C4DA8">
              <w:rPr>
                <w:rFonts w:ascii="Arial" w:hAnsi="Arial" w:cs="Arial"/>
                <w:color w:val="000000" w:themeColor="text1"/>
                <w:sz w:val="22"/>
                <w:szCs w:val="22"/>
              </w:rPr>
              <w:t xml:space="preserve">The </w:t>
            </w:r>
            <w:r w:rsidRPr="00FE7B12">
              <w:rPr>
                <w:rFonts w:ascii="Arial" w:hAnsi="Arial" w:cs="Arial"/>
                <w:sz w:val="22"/>
                <w:szCs w:val="22"/>
              </w:rPr>
              <w:t>Laboratory Diagnosis of Haemoglobinopathies (1998) was compared to other protocols and selected by the Sickle Cell Disease Research and Scientific Panel (SRSP) because it includes advantages and disadvantages of the various techniques as well as the ability of the assays to separate the various hemoglobin variants.</w:t>
            </w:r>
          </w:p>
        </w:tc>
      </w:tr>
      <w:tr w:rsidR="00FA0416" w:rsidRPr="00FA0416" w14:paraId="4B383814" w14:textId="77777777" w:rsidTr="00C609C4">
        <w:trPr>
          <w:trHeight w:val="58"/>
          <w:jc w:val="center"/>
        </w:trPr>
        <w:tc>
          <w:tcPr>
            <w:tcW w:w="1842" w:type="dxa"/>
            <w:shd w:val="clear" w:color="auto" w:fill="FFFFFF"/>
          </w:tcPr>
          <w:p w14:paraId="10EFEC84" w14:textId="77777777" w:rsidR="004C6528" w:rsidRPr="006C4DA8" w:rsidDel="00C53427" w:rsidRDefault="004C6528" w:rsidP="0038448E">
            <w:pPr>
              <w:rPr>
                <w:rFonts w:ascii="Arial" w:hAnsi="Arial" w:cs="Arial"/>
                <w:b/>
                <w:color w:val="000000" w:themeColor="text1"/>
                <w:sz w:val="22"/>
                <w:szCs w:val="22"/>
              </w:rPr>
            </w:pPr>
            <w:r w:rsidRPr="006C4DA8">
              <w:rPr>
                <w:rFonts w:ascii="Arial" w:hAnsi="Arial" w:cs="Arial"/>
                <w:b/>
                <w:color w:val="000000" w:themeColor="text1"/>
                <w:sz w:val="22"/>
                <w:szCs w:val="22"/>
              </w:rPr>
              <w:t xml:space="preserve">Source: </w:t>
            </w:r>
          </w:p>
        </w:tc>
        <w:tc>
          <w:tcPr>
            <w:tcW w:w="8953" w:type="dxa"/>
          </w:tcPr>
          <w:p w14:paraId="5F514105" w14:textId="2BE17570" w:rsidR="004C6528" w:rsidRPr="00C609C4" w:rsidDel="00C53427" w:rsidRDefault="00C51D2E" w:rsidP="001F15B7">
            <w:pPr>
              <w:rPr>
                <w:rFonts w:ascii="Arial" w:hAnsi="Arial" w:cs="Arial"/>
                <w:color w:val="000000" w:themeColor="text1"/>
                <w:sz w:val="22"/>
                <w:szCs w:val="22"/>
              </w:rPr>
            </w:pPr>
            <w:r w:rsidRPr="00C609C4">
              <w:rPr>
                <w:rFonts w:ascii="Arial" w:hAnsi="Arial" w:cs="Arial"/>
                <w:color w:val="000000" w:themeColor="text1"/>
                <w:sz w:val="22"/>
                <w:szCs w:val="22"/>
              </w:rPr>
              <w:t xml:space="preserve">The Laboratory Diagnosis of Haemoglobinopathies. (1998). British Journal of </w:t>
            </w:r>
            <w:proofErr w:type="spellStart"/>
            <w:r w:rsidRPr="00C609C4">
              <w:rPr>
                <w:rFonts w:ascii="Arial" w:hAnsi="Arial" w:cs="Arial"/>
                <w:color w:val="000000" w:themeColor="text1"/>
                <w:sz w:val="22"/>
                <w:szCs w:val="22"/>
              </w:rPr>
              <w:t>Haematology</w:t>
            </w:r>
            <w:proofErr w:type="spellEnd"/>
            <w:r w:rsidRPr="00C609C4">
              <w:rPr>
                <w:rFonts w:ascii="Arial" w:hAnsi="Arial" w:cs="Arial"/>
                <w:color w:val="000000" w:themeColor="text1"/>
                <w:sz w:val="22"/>
                <w:szCs w:val="22"/>
              </w:rPr>
              <w:t xml:space="preserve">, 101(4), 783-792. </w:t>
            </w:r>
            <w:proofErr w:type="spellStart"/>
            <w:r w:rsidRPr="00C609C4">
              <w:rPr>
                <w:rFonts w:ascii="Arial" w:hAnsi="Arial" w:cs="Arial"/>
                <w:color w:val="000000" w:themeColor="text1"/>
                <w:sz w:val="22"/>
                <w:szCs w:val="22"/>
              </w:rPr>
              <w:t>doi</w:t>
            </w:r>
            <w:proofErr w:type="spellEnd"/>
            <w:r w:rsidRPr="00C609C4">
              <w:rPr>
                <w:rFonts w:ascii="Arial" w:hAnsi="Arial" w:cs="Arial"/>
                <w:color w:val="000000" w:themeColor="text1"/>
                <w:sz w:val="22"/>
                <w:szCs w:val="22"/>
              </w:rPr>
              <w:t>: 10.1046/j.1365-2141.</w:t>
            </w:r>
            <w:proofErr w:type="gramStart"/>
            <w:r w:rsidRPr="00C609C4">
              <w:rPr>
                <w:rFonts w:ascii="Arial" w:hAnsi="Arial" w:cs="Arial"/>
                <w:color w:val="000000" w:themeColor="text1"/>
                <w:sz w:val="22"/>
                <w:szCs w:val="22"/>
              </w:rPr>
              <w:t>1998.00809.x</w:t>
            </w:r>
            <w:proofErr w:type="gramEnd"/>
          </w:p>
        </w:tc>
      </w:tr>
      <w:tr w:rsidR="00FA0416" w:rsidRPr="00FA0416" w14:paraId="641B80BB" w14:textId="77777777" w:rsidTr="00C609C4">
        <w:trPr>
          <w:trHeight w:val="58"/>
          <w:jc w:val="center"/>
        </w:trPr>
        <w:tc>
          <w:tcPr>
            <w:tcW w:w="1842" w:type="dxa"/>
            <w:shd w:val="clear" w:color="auto" w:fill="D9D9D9"/>
          </w:tcPr>
          <w:p w14:paraId="46CC3A3F" w14:textId="77777777" w:rsidR="0054144D" w:rsidRPr="00C609C4" w:rsidRDefault="00AE3AA7" w:rsidP="004C6528">
            <w:pPr>
              <w:rPr>
                <w:rFonts w:ascii="Arial" w:hAnsi="Arial" w:cs="Arial"/>
                <w:b/>
                <w:color w:val="000000" w:themeColor="text1"/>
                <w:sz w:val="22"/>
                <w:szCs w:val="22"/>
              </w:rPr>
            </w:pPr>
            <w:r w:rsidRPr="00C609C4">
              <w:rPr>
                <w:rFonts w:ascii="Arial" w:hAnsi="Arial" w:cs="Arial"/>
                <w:b/>
                <w:color w:val="000000" w:themeColor="text1"/>
                <w:sz w:val="22"/>
                <w:szCs w:val="22"/>
              </w:rPr>
              <w:t>Availability:</w:t>
            </w:r>
          </w:p>
        </w:tc>
        <w:tc>
          <w:tcPr>
            <w:tcW w:w="8953" w:type="dxa"/>
          </w:tcPr>
          <w:p w14:paraId="23E35AB4" w14:textId="7EF96F01" w:rsidR="0054144D" w:rsidRPr="00C609C4" w:rsidRDefault="00C51D2E" w:rsidP="00230346">
            <w:pPr>
              <w:rPr>
                <w:rFonts w:ascii="Arial" w:hAnsi="Arial" w:cs="Arial"/>
                <w:bCs/>
                <w:color w:val="000000" w:themeColor="text1"/>
                <w:sz w:val="22"/>
                <w:szCs w:val="22"/>
              </w:rPr>
            </w:pPr>
            <w:r w:rsidRPr="00C609C4">
              <w:rPr>
                <w:rFonts w:ascii="Arial" w:hAnsi="Arial" w:cs="Arial"/>
                <w:bCs/>
                <w:color w:val="000000" w:themeColor="text1"/>
                <w:sz w:val="22"/>
                <w:szCs w:val="22"/>
              </w:rPr>
              <w:t>Available</w:t>
            </w:r>
          </w:p>
        </w:tc>
      </w:tr>
      <w:tr w:rsidR="00FA0416" w:rsidRPr="00FA0416" w14:paraId="188B2197" w14:textId="77777777" w:rsidTr="00C609C4">
        <w:trPr>
          <w:trHeight w:val="58"/>
          <w:jc w:val="center"/>
        </w:trPr>
        <w:tc>
          <w:tcPr>
            <w:tcW w:w="1842" w:type="dxa"/>
            <w:shd w:val="clear" w:color="auto" w:fill="FFFFFF"/>
          </w:tcPr>
          <w:p w14:paraId="0E2681DE" w14:textId="77777777" w:rsidR="00A02104" w:rsidRPr="00C609C4" w:rsidDel="00C53427"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t>Life Stage:</w:t>
            </w:r>
          </w:p>
        </w:tc>
        <w:tc>
          <w:tcPr>
            <w:tcW w:w="8953" w:type="dxa"/>
          </w:tcPr>
          <w:p w14:paraId="7650E5C1" w14:textId="770CF469" w:rsidR="004926F7" w:rsidRPr="00C609C4" w:rsidDel="00C53427" w:rsidRDefault="00C51D2E" w:rsidP="009A76F2">
            <w:pPr>
              <w:rPr>
                <w:rFonts w:ascii="Arial" w:hAnsi="Arial" w:cs="Arial"/>
                <w:color w:val="000000" w:themeColor="text1"/>
                <w:sz w:val="22"/>
                <w:szCs w:val="22"/>
              </w:rPr>
            </w:pPr>
            <w:r w:rsidRPr="00C609C4">
              <w:rPr>
                <w:rFonts w:ascii="Arial" w:hAnsi="Arial" w:cs="Arial"/>
                <w:color w:val="000000" w:themeColor="text1"/>
                <w:sz w:val="22"/>
                <w:szCs w:val="22"/>
              </w:rPr>
              <w:t>Infant, Toddler, Child, Adolescent, Adult, Senior, Pregnancy</w:t>
            </w:r>
          </w:p>
        </w:tc>
      </w:tr>
      <w:tr w:rsidR="00FA0416" w:rsidRPr="00FA0416" w14:paraId="318CF1BE" w14:textId="77777777" w:rsidTr="00C609C4">
        <w:trPr>
          <w:trHeight w:val="58"/>
          <w:jc w:val="center"/>
        </w:trPr>
        <w:tc>
          <w:tcPr>
            <w:tcW w:w="1842" w:type="dxa"/>
            <w:shd w:val="clear" w:color="auto" w:fill="D9D9D9"/>
          </w:tcPr>
          <w:p w14:paraId="2C9456BA" w14:textId="77777777" w:rsidR="00A02104" w:rsidRPr="00C609C4" w:rsidDel="00C53427" w:rsidRDefault="004C6528" w:rsidP="0038448E">
            <w:pPr>
              <w:rPr>
                <w:rFonts w:ascii="Arial" w:hAnsi="Arial" w:cs="Arial"/>
                <w:b/>
                <w:color w:val="000000" w:themeColor="text1"/>
                <w:sz w:val="22"/>
                <w:szCs w:val="22"/>
              </w:rPr>
            </w:pPr>
            <w:r w:rsidRPr="00C609C4">
              <w:rPr>
                <w:rFonts w:ascii="Arial" w:hAnsi="Arial" w:cs="Arial"/>
                <w:b/>
                <w:color w:val="000000" w:themeColor="text1"/>
                <w:sz w:val="22"/>
                <w:szCs w:val="22"/>
              </w:rPr>
              <w:t>Language:</w:t>
            </w:r>
          </w:p>
        </w:tc>
        <w:tc>
          <w:tcPr>
            <w:tcW w:w="8953" w:type="dxa"/>
          </w:tcPr>
          <w:p w14:paraId="51CFF23D" w14:textId="2AAD2499" w:rsidR="004C6528" w:rsidRPr="00C609C4" w:rsidDel="00C53427" w:rsidRDefault="00C51D2E" w:rsidP="00C51D2E">
            <w:pPr>
              <w:rPr>
                <w:rFonts w:ascii="Arial" w:hAnsi="Arial" w:cs="Arial"/>
                <w:color w:val="000000" w:themeColor="text1"/>
                <w:sz w:val="22"/>
                <w:szCs w:val="22"/>
              </w:rPr>
            </w:pPr>
            <w:r w:rsidRPr="00C609C4">
              <w:rPr>
                <w:rFonts w:ascii="Arial" w:hAnsi="Arial" w:cs="Arial"/>
                <w:color w:val="000000" w:themeColor="text1"/>
                <w:sz w:val="22"/>
                <w:szCs w:val="22"/>
              </w:rPr>
              <w:t>English</w:t>
            </w:r>
          </w:p>
        </w:tc>
      </w:tr>
      <w:tr w:rsidR="00FA0416" w:rsidRPr="00FA0416" w14:paraId="47EE7DF6" w14:textId="77777777" w:rsidTr="00C609C4">
        <w:trPr>
          <w:trHeight w:val="58"/>
          <w:jc w:val="center"/>
        </w:trPr>
        <w:tc>
          <w:tcPr>
            <w:tcW w:w="1842" w:type="dxa"/>
            <w:shd w:val="clear" w:color="auto" w:fill="FFFFFF"/>
          </w:tcPr>
          <w:p w14:paraId="0722C8DD" w14:textId="77777777" w:rsidR="004C6528" w:rsidRPr="00C609C4"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t>Participant:</w:t>
            </w:r>
          </w:p>
        </w:tc>
        <w:tc>
          <w:tcPr>
            <w:tcW w:w="8953" w:type="dxa"/>
          </w:tcPr>
          <w:p w14:paraId="5C807AA9" w14:textId="1E0374E8" w:rsidR="004C6528" w:rsidRPr="00C609C4" w:rsidRDefault="00C51D2E" w:rsidP="005F2503">
            <w:pPr>
              <w:rPr>
                <w:rFonts w:ascii="Arial" w:hAnsi="Arial" w:cs="Arial"/>
                <w:color w:val="000000" w:themeColor="text1"/>
                <w:sz w:val="22"/>
                <w:szCs w:val="22"/>
              </w:rPr>
            </w:pPr>
            <w:r w:rsidRPr="00C609C4">
              <w:rPr>
                <w:rFonts w:ascii="Arial" w:hAnsi="Arial" w:cs="Arial"/>
                <w:color w:val="000000" w:themeColor="text1"/>
                <w:sz w:val="22"/>
                <w:szCs w:val="22"/>
              </w:rPr>
              <w:t>All ages</w:t>
            </w:r>
          </w:p>
        </w:tc>
      </w:tr>
      <w:tr w:rsidR="00FA0416" w:rsidRPr="00FA0416" w14:paraId="079F4454" w14:textId="77777777" w:rsidTr="00C609C4">
        <w:trPr>
          <w:trHeight w:val="58"/>
          <w:jc w:val="center"/>
        </w:trPr>
        <w:tc>
          <w:tcPr>
            <w:tcW w:w="1842" w:type="dxa"/>
            <w:tcBorders>
              <w:bottom w:val="single" w:sz="4" w:space="0" w:color="auto"/>
            </w:tcBorders>
            <w:shd w:val="clear" w:color="auto" w:fill="D9D9D9"/>
          </w:tcPr>
          <w:p w14:paraId="236314AB" w14:textId="77777777" w:rsidR="004C6528" w:rsidRPr="00C609C4"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t>Personnel and Training Required:</w:t>
            </w:r>
          </w:p>
        </w:tc>
        <w:tc>
          <w:tcPr>
            <w:tcW w:w="8953" w:type="dxa"/>
          </w:tcPr>
          <w:p w14:paraId="2B1CB6D8" w14:textId="26E4F3EC" w:rsidR="004C6528" w:rsidRPr="00C609C4" w:rsidRDefault="00C51D2E" w:rsidP="009A76F2">
            <w:pPr>
              <w:rPr>
                <w:rFonts w:ascii="Arial" w:hAnsi="Arial" w:cs="Arial"/>
                <w:color w:val="000000" w:themeColor="text1"/>
                <w:sz w:val="22"/>
                <w:szCs w:val="22"/>
              </w:rPr>
            </w:pPr>
            <w:r w:rsidRPr="00C609C4">
              <w:rPr>
                <w:rFonts w:ascii="Arial" w:hAnsi="Arial" w:cs="Arial"/>
                <w:color w:val="000000" w:themeColor="text1"/>
                <w:sz w:val="22"/>
                <w:szCs w:val="22"/>
              </w:rPr>
              <w:t>Phlebotomist</w:t>
            </w:r>
          </w:p>
        </w:tc>
      </w:tr>
      <w:tr w:rsidR="00FA0416" w:rsidRPr="00FA0416" w14:paraId="3749727B" w14:textId="77777777" w:rsidTr="00C609C4">
        <w:trPr>
          <w:trHeight w:val="58"/>
          <w:jc w:val="center"/>
        </w:trPr>
        <w:tc>
          <w:tcPr>
            <w:tcW w:w="1842" w:type="dxa"/>
            <w:shd w:val="clear" w:color="auto" w:fill="FFFFFF"/>
          </w:tcPr>
          <w:p w14:paraId="040D056A" w14:textId="77777777" w:rsidR="004C6528" w:rsidRPr="00C609C4"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lastRenderedPageBreak/>
              <w:t>Equipment Needs:</w:t>
            </w:r>
          </w:p>
        </w:tc>
        <w:tc>
          <w:tcPr>
            <w:tcW w:w="8953" w:type="dxa"/>
          </w:tcPr>
          <w:p w14:paraId="02955E25" w14:textId="6D405FC9" w:rsidR="004C6528" w:rsidRPr="00C609C4" w:rsidRDefault="00C51D2E" w:rsidP="009A76F2">
            <w:pPr>
              <w:rPr>
                <w:rFonts w:ascii="Arial" w:hAnsi="Arial" w:cs="Arial"/>
                <w:color w:val="000000" w:themeColor="text1"/>
                <w:sz w:val="22"/>
                <w:szCs w:val="22"/>
              </w:rPr>
            </w:pPr>
            <w:r w:rsidRPr="00C609C4">
              <w:rPr>
                <w:rFonts w:ascii="Arial" w:hAnsi="Arial" w:cs="Arial"/>
                <w:color w:val="000000" w:themeColor="text1"/>
                <w:sz w:val="22"/>
                <w:szCs w:val="22"/>
              </w:rPr>
              <w:t>CLIA certified laboratory with the capability to perform the hemoglobin assay.</w:t>
            </w:r>
          </w:p>
        </w:tc>
      </w:tr>
      <w:tr w:rsidR="00FA0416" w:rsidRPr="00FA0416" w14:paraId="4B8BF930" w14:textId="77777777" w:rsidTr="00C609C4">
        <w:trPr>
          <w:trHeight w:val="58"/>
          <w:jc w:val="center"/>
        </w:trPr>
        <w:tc>
          <w:tcPr>
            <w:tcW w:w="1842" w:type="dxa"/>
            <w:shd w:val="clear" w:color="auto" w:fill="D9D9D9"/>
          </w:tcPr>
          <w:p w14:paraId="17B9A5A4" w14:textId="77777777" w:rsidR="004C6528" w:rsidRPr="00C609C4"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t>General References:</w:t>
            </w:r>
          </w:p>
        </w:tc>
        <w:tc>
          <w:tcPr>
            <w:tcW w:w="8953" w:type="dxa"/>
          </w:tcPr>
          <w:p w14:paraId="69581D6B" w14:textId="5F733E36" w:rsidR="00C51D2E" w:rsidRPr="00C609C4" w:rsidRDefault="00C51D2E" w:rsidP="00FA0416">
            <w:pPr>
              <w:rPr>
                <w:rFonts w:ascii="Arial" w:hAnsi="Arial" w:cs="Arial"/>
                <w:color w:val="000000" w:themeColor="text1"/>
                <w:sz w:val="22"/>
                <w:szCs w:val="22"/>
              </w:rPr>
            </w:pPr>
            <w:proofErr w:type="spellStart"/>
            <w:r w:rsidRPr="00C609C4">
              <w:rPr>
                <w:rFonts w:ascii="Arial" w:hAnsi="Arial" w:cs="Arial"/>
                <w:color w:val="000000" w:themeColor="text1"/>
                <w:sz w:val="22"/>
                <w:szCs w:val="22"/>
              </w:rPr>
              <w:t>Kutlar</w:t>
            </w:r>
            <w:proofErr w:type="spellEnd"/>
            <w:r w:rsidRPr="00C609C4">
              <w:rPr>
                <w:rFonts w:ascii="Arial" w:hAnsi="Arial" w:cs="Arial"/>
                <w:color w:val="000000" w:themeColor="text1"/>
                <w:sz w:val="22"/>
                <w:szCs w:val="22"/>
              </w:rPr>
              <w:t>, F. (2007). Diagnostic approach to hemoglobinopathies. Hemoglobin, 31(2), 243-250.</w:t>
            </w:r>
          </w:p>
          <w:p w14:paraId="746D8F4D" w14:textId="6D448F60" w:rsidR="00C51D2E" w:rsidRPr="00C609C4" w:rsidRDefault="00C51D2E" w:rsidP="00C51D2E">
            <w:pPr>
              <w:rPr>
                <w:rFonts w:ascii="Arial" w:hAnsi="Arial" w:cs="Arial"/>
                <w:color w:val="000000" w:themeColor="text1"/>
                <w:sz w:val="22"/>
                <w:szCs w:val="22"/>
              </w:rPr>
            </w:pPr>
          </w:p>
          <w:p w14:paraId="48143D99" w14:textId="1D55B803" w:rsidR="004C6528" w:rsidRPr="00C609C4" w:rsidRDefault="00C51D2E" w:rsidP="00C51D2E">
            <w:pPr>
              <w:rPr>
                <w:rFonts w:ascii="Arial" w:hAnsi="Arial" w:cs="Arial"/>
                <w:b/>
                <w:bCs/>
                <w:color w:val="000000" w:themeColor="text1"/>
                <w:sz w:val="22"/>
                <w:szCs w:val="22"/>
                <w:u w:val="single"/>
              </w:rPr>
            </w:pPr>
            <w:proofErr w:type="spellStart"/>
            <w:r w:rsidRPr="00C609C4">
              <w:rPr>
                <w:rFonts w:ascii="Arial" w:hAnsi="Arial" w:cs="Arial"/>
                <w:color w:val="000000" w:themeColor="text1"/>
                <w:sz w:val="22"/>
                <w:szCs w:val="22"/>
              </w:rPr>
              <w:t>Kutlar</w:t>
            </w:r>
            <w:proofErr w:type="spellEnd"/>
            <w:r w:rsidRPr="00C609C4">
              <w:rPr>
                <w:rFonts w:ascii="Arial" w:hAnsi="Arial" w:cs="Arial"/>
                <w:color w:val="000000" w:themeColor="text1"/>
                <w:sz w:val="22"/>
                <w:szCs w:val="22"/>
              </w:rPr>
              <w:t>, A., &amp; Huisman, T. (1996). Detection of hemoglobinopathies. In F. Hommes (Ed.), Techniques in Diagnostic Human Biochemical Genetics: A Laboratory Manual (pp. 519-560). New York, New York: J. Wiley &amp; Sons.</w:t>
            </w:r>
          </w:p>
        </w:tc>
      </w:tr>
      <w:tr w:rsidR="00FA0416" w:rsidRPr="00FA0416" w14:paraId="5EA1F56E" w14:textId="77777777" w:rsidTr="00C609C4">
        <w:trPr>
          <w:trHeight w:val="58"/>
          <w:jc w:val="center"/>
        </w:trPr>
        <w:tc>
          <w:tcPr>
            <w:tcW w:w="1842" w:type="dxa"/>
            <w:shd w:val="clear" w:color="auto" w:fill="FFFFFF"/>
          </w:tcPr>
          <w:p w14:paraId="53E381C6" w14:textId="77777777" w:rsidR="00A02104" w:rsidRPr="00C609C4" w:rsidRDefault="004C6528" w:rsidP="004C6528">
            <w:pPr>
              <w:rPr>
                <w:rFonts w:ascii="Arial" w:hAnsi="Arial" w:cs="Arial"/>
                <w:b/>
                <w:color w:val="000000" w:themeColor="text1"/>
                <w:sz w:val="22"/>
                <w:szCs w:val="22"/>
              </w:rPr>
            </w:pPr>
            <w:r w:rsidRPr="00C609C4">
              <w:rPr>
                <w:rFonts w:ascii="Arial" w:hAnsi="Arial" w:cs="Arial"/>
                <w:b/>
                <w:color w:val="000000" w:themeColor="text1"/>
                <w:sz w:val="22"/>
                <w:szCs w:val="22"/>
              </w:rPr>
              <w:t>Mode of Administration:</w:t>
            </w:r>
          </w:p>
        </w:tc>
        <w:tc>
          <w:tcPr>
            <w:tcW w:w="8953" w:type="dxa"/>
          </w:tcPr>
          <w:p w14:paraId="59F672E1" w14:textId="51AC83EA" w:rsidR="001F47C8" w:rsidRPr="00C609C4" w:rsidRDefault="00C51D2E" w:rsidP="009A76F2">
            <w:pPr>
              <w:rPr>
                <w:rFonts w:ascii="Arial" w:hAnsi="Arial" w:cs="Arial"/>
                <w:color w:val="000000" w:themeColor="text1"/>
                <w:sz w:val="22"/>
                <w:szCs w:val="22"/>
              </w:rPr>
            </w:pPr>
            <w:r w:rsidRPr="00C609C4">
              <w:rPr>
                <w:rFonts w:ascii="Arial" w:hAnsi="Arial" w:cs="Arial"/>
                <w:color w:val="000000" w:themeColor="text1"/>
                <w:sz w:val="22"/>
                <w:szCs w:val="22"/>
              </w:rPr>
              <w:t>Bioassay</w:t>
            </w:r>
          </w:p>
        </w:tc>
      </w:tr>
      <w:tr w:rsidR="00FA0416" w:rsidRPr="00FA0416" w14:paraId="786D14DC" w14:textId="77777777" w:rsidTr="00C609C4">
        <w:trPr>
          <w:trHeight w:val="58"/>
          <w:jc w:val="center"/>
        </w:trPr>
        <w:tc>
          <w:tcPr>
            <w:tcW w:w="1842" w:type="dxa"/>
            <w:shd w:val="clear" w:color="auto" w:fill="D9D9D9"/>
          </w:tcPr>
          <w:p w14:paraId="0651790C" w14:textId="77777777" w:rsidR="002B7F74" w:rsidRPr="00C609C4" w:rsidRDefault="002B7F74" w:rsidP="002B7F74">
            <w:pPr>
              <w:rPr>
                <w:rFonts w:ascii="Arial" w:hAnsi="Arial" w:cs="Arial"/>
                <w:b/>
                <w:color w:val="000000" w:themeColor="text1"/>
                <w:sz w:val="22"/>
                <w:szCs w:val="22"/>
              </w:rPr>
            </w:pPr>
            <w:r w:rsidRPr="00C609C4">
              <w:rPr>
                <w:rFonts w:ascii="Arial" w:hAnsi="Arial" w:cs="Arial"/>
                <w:b/>
                <w:color w:val="000000" w:themeColor="text1"/>
                <w:sz w:val="22"/>
                <w:szCs w:val="22"/>
              </w:rPr>
              <w:t>Derived Variables:</w:t>
            </w:r>
          </w:p>
        </w:tc>
        <w:tc>
          <w:tcPr>
            <w:tcW w:w="8953" w:type="dxa"/>
          </w:tcPr>
          <w:p w14:paraId="7E9D6D0A" w14:textId="45769374" w:rsidR="002B7F74" w:rsidRPr="00C609C4" w:rsidRDefault="00C51D2E" w:rsidP="002B7F74">
            <w:pPr>
              <w:rPr>
                <w:rFonts w:ascii="Arial" w:hAnsi="Arial" w:cs="Arial"/>
                <w:color w:val="000000" w:themeColor="text1"/>
                <w:sz w:val="22"/>
                <w:szCs w:val="22"/>
              </w:rPr>
            </w:pPr>
            <w:r w:rsidRPr="00C609C4">
              <w:rPr>
                <w:rFonts w:ascii="Arial" w:hAnsi="Arial" w:cs="Arial"/>
                <w:color w:val="000000" w:themeColor="text1"/>
                <w:sz w:val="22"/>
                <w:szCs w:val="22"/>
              </w:rPr>
              <w:t>None</w:t>
            </w:r>
          </w:p>
        </w:tc>
      </w:tr>
      <w:tr w:rsidR="00FA0416" w:rsidRPr="00FA0416" w14:paraId="6DE799C4" w14:textId="77777777" w:rsidTr="00C609C4">
        <w:trPr>
          <w:trHeight w:val="953"/>
          <w:jc w:val="center"/>
        </w:trPr>
        <w:tc>
          <w:tcPr>
            <w:tcW w:w="1842" w:type="dxa"/>
            <w:shd w:val="clear" w:color="auto" w:fill="FFFFFF"/>
          </w:tcPr>
          <w:p w14:paraId="0BC6426C" w14:textId="77777777" w:rsidR="00A02104" w:rsidRPr="00C609C4" w:rsidRDefault="002B7F74" w:rsidP="0038448E">
            <w:pPr>
              <w:rPr>
                <w:rFonts w:ascii="Arial" w:hAnsi="Arial" w:cs="Arial"/>
                <w:b/>
                <w:color w:val="000000" w:themeColor="text1"/>
                <w:sz w:val="22"/>
                <w:szCs w:val="22"/>
              </w:rPr>
            </w:pPr>
            <w:r w:rsidRPr="00C609C4">
              <w:rPr>
                <w:rFonts w:ascii="Arial" w:hAnsi="Arial" w:cs="Arial"/>
                <w:b/>
                <w:color w:val="000000" w:themeColor="text1"/>
                <w:sz w:val="22"/>
                <w:szCs w:val="22"/>
              </w:rPr>
              <w:t>Requirements:</w:t>
            </w:r>
          </w:p>
        </w:tc>
        <w:tc>
          <w:tcPr>
            <w:tcW w:w="8953" w:type="dxa"/>
          </w:tcPr>
          <w:p w14:paraId="4FEEDE82" w14:textId="77777777" w:rsidR="002B7F74" w:rsidRPr="00C609C4" w:rsidRDefault="002B7F74" w:rsidP="002B7F74">
            <w:pPr>
              <w:rPr>
                <w:rFonts w:ascii="Arial" w:hAnsi="Arial" w:cs="Arial"/>
                <w:color w:val="000000" w:themeColor="text1"/>
                <w:sz w:val="22"/>
                <w:szCs w:val="22"/>
              </w:rPr>
            </w:pPr>
          </w:p>
          <w:tbl>
            <w:tblPr>
              <w:tblW w:w="0" w:type="auto"/>
              <w:tblLayout w:type="fixed"/>
              <w:tblCellMar>
                <w:left w:w="10" w:type="dxa"/>
                <w:right w:w="10" w:type="dxa"/>
              </w:tblCellMar>
              <w:tblLook w:val="0000" w:firstRow="0" w:lastRow="0" w:firstColumn="0" w:lastColumn="0" w:noHBand="0" w:noVBand="0"/>
            </w:tblPr>
            <w:tblGrid>
              <w:gridCol w:w="4680"/>
              <w:gridCol w:w="2250"/>
            </w:tblGrid>
            <w:tr w:rsidR="00FA0416" w:rsidRPr="00FA0416" w14:paraId="436F4005" w14:textId="77777777" w:rsidTr="00C609C4">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19DB00B0" w14:textId="77777777" w:rsidR="002B7F74" w:rsidRPr="00C609C4" w:rsidRDefault="002B7F74" w:rsidP="002B7F74">
                  <w:pPr>
                    <w:autoSpaceDE w:val="0"/>
                    <w:autoSpaceDN w:val="0"/>
                    <w:adjustRightInd w:val="0"/>
                    <w:rPr>
                      <w:rFonts w:ascii="Arial" w:hAnsi="Arial" w:cs="Arial"/>
                      <w:color w:val="000000" w:themeColor="text1"/>
                      <w:sz w:val="22"/>
                      <w:szCs w:val="22"/>
                    </w:rPr>
                  </w:pPr>
                  <w:r w:rsidRPr="00C609C4">
                    <w:rPr>
                      <w:rFonts w:ascii="Arial" w:hAnsi="Arial" w:cs="Arial"/>
                      <w:b/>
                      <w:bCs/>
                      <w:color w:val="000000" w:themeColor="text1"/>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01B62327" w14:textId="77777777" w:rsidR="002B7F74" w:rsidRPr="00C609C4" w:rsidRDefault="002B7F74" w:rsidP="002B7F74">
                  <w:pPr>
                    <w:autoSpaceDE w:val="0"/>
                    <w:autoSpaceDN w:val="0"/>
                    <w:adjustRightInd w:val="0"/>
                    <w:rPr>
                      <w:rFonts w:ascii="Arial" w:hAnsi="Arial" w:cs="Arial"/>
                      <w:color w:val="000000" w:themeColor="text1"/>
                      <w:sz w:val="22"/>
                      <w:szCs w:val="22"/>
                    </w:rPr>
                  </w:pPr>
                  <w:r w:rsidRPr="00C609C4">
                    <w:rPr>
                      <w:rFonts w:ascii="Arial" w:hAnsi="Arial" w:cs="Arial"/>
                      <w:b/>
                      <w:bCs/>
                      <w:color w:val="000000" w:themeColor="text1"/>
                      <w:sz w:val="22"/>
                      <w:szCs w:val="22"/>
                    </w:rPr>
                    <w:t>Required (Yes/No):</w:t>
                  </w:r>
                </w:p>
              </w:tc>
            </w:tr>
            <w:tr w:rsidR="00FA0416" w:rsidRPr="00FA0416" w14:paraId="4D6CF206" w14:textId="77777777" w:rsidTr="00C609C4">
              <w:trPr>
                <w:trHeight w:val="384"/>
              </w:trPr>
              <w:tc>
                <w:tcPr>
                  <w:tcW w:w="4680" w:type="dxa"/>
                  <w:tcBorders>
                    <w:top w:val="nil"/>
                    <w:left w:val="single" w:sz="8" w:space="0" w:color="auto"/>
                    <w:bottom w:val="single" w:sz="8" w:space="0" w:color="auto"/>
                    <w:right w:val="single" w:sz="8" w:space="0" w:color="auto"/>
                  </w:tcBorders>
                </w:tcPr>
                <w:p w14:paraId="1DF7EA25" w14:textId="77777777" w:rsidR="002B7F74" w:rsidRPr="00C609C4" w:rsidRDefault="002B7F74" w:rsidP="002B7F74">
                  <w:pPr>
                    <w:autoSpaceDE w:val="0"/>
                    <w:autoSpaceDN w:val="0"/>
                    <w:adjustRightInd w:val="0"/>
                    <w:spacing w:before="40"/>
                    <w:rPr>
                      <w:rFonts w:ascii="Arial" w:hAnsi="Arial" w:cs="Arial"/>
                      <w:color w:val="000000" w:themeColor="text1"/>
                      <w:sz w:val="22"/>
                      <w:szCs w:val="22"/>
                    </w:rPr>
                  </w:pPr>
                  <w:r w:rsidRPr="00C609C4">
                    <w:rPr>
                      <w:rFonts w:ascii="Arial" w:hAnsi="Arial" w:cs="Arial"/>
                      <w:color w:val="000000" w:themeColor="text1"/>
                      <w:sz w:val="22"/>
                      <w:szCs w:val="22"/>
                    </w:rPr>
                    <w:t>Major equipment</w:t>
                  </w:r>
                </w:p>
              </w:tc>
              <w:tc>
                <w:tcPr>
                  <w:tcW w:w="2250" w:type="dxa"/>
                  <w:tcBorders>
                    <w:top w:val="nil"/>
                    <w:left w:val="nil"/>
                    <w:bottom w:val="single" w:sz="8" w:space="0" w:color="auto"/>
                    <w:right w:val="single" w:sz="8" w:space="0" w:color="auto"/>
                  </w:tcBorders>
                </w:tcPr>
                <w:p w14:paraId="4ADE4E41" w14:textId="242392DE" w:rsidR="002B7F74" w:rsidRPr="00C609C4" w:rsidRDefault="00C609C4" w:rsidP="002B7F74">
                  <w:pPr>
                    <w:autoSpaceDE w:val="0"/>
                    <w:autoSpaceDN w:val="0"/>
                    <w:adjustRightInd w:val="0"/>
                    <w:spacing w:before="40"/>
                    <w:jc w:val="center"/>
                    <w:rPr>
                      <w:rFonts w:ascii="Arial" w:hAnsi="Arial" w:cs="Arial"/>
                      <w:color w:val="000000" w:themeColor="text1"/>
                      <w:sz w:val="22"/>
                      <w:szCs w:val="22"/>
                    </w:rPr>
                  </w:pPr>
                  <w:r>
                    <w:rPr>
                      <w:rFonts w:ascii="Arial" w:hAnsi="Arial" w:cs="Arial"/>
                      <w:color w:val="000000" w:themeColor="text1"/>
                      <w:sz w:val="22"/>
                      <w:szCs w:val="22"/>
                    </w:rPr>
                    <w:t>No</w:t>
                  </w:r>
                </w:p>
              </w:tc>
            </w:tr>
            <w:tr w:rsidR="00C609C4" w:rsidRPr="00FA0416" w14:paraId="629B9B3C" w14:textId="77777777" w:rsidTr="00C609C4">
              <w:trPr>
                <w:trHeight w:val="384"/>
              </w:trPr>
              <w:tc>
                <w:tcPr>
                  <w:tcW w:w="4680" w:type="dxa"/>
                  <w:tcBorders>
                    <w:top w:val="nil"/>
                    <w:left w:val="single" w:sz="8" w:space="0" w:color="auto"/>
                    <w:bottom w:val="single" w:sz="8" w:space="0" w:color="auto"/>
                    <w:right w:val="single" w:sz="8" w:space="0" w:color="auto"/>
                  </w:tcBorders>
                </w:tcPr>
                <w:p w14:paraId="678DA4EC" w14:textId="77777777" w:rsidR="00C609C4" w:rsidRPr="00C609C4" w:rsidRDefault="00C609C4" w:rsidP="00C609C4">
                  <w:pPr>
                    <w:autoSpaceDE w:val="0"/>
                    <w:autoSpaceDN w:val="0"/>
                    <w:adjustRightInd w:val="0"/>
                    <w:spacing w:before="40"/>
                    <w:rPr>
                      <w:rFonts w:ascii="Arial" w:hAnsi="Arial" w:cs="Arial"/>
                      <w:color w:val="000000" w:themeColor="text1"/>
                      <w:sz w:val="22"/>
                      <w:szCs w:val="22"/>
                    </w:rPr>
                  </w:pPr>
                  <w:r w:rsidRPr="00C609C4">
                    <w:rPr>
                      <w:rFonts w:ascii="Arial" w:hAnsi="Arial" w:cs="Arial"/>
                      <w:color w:val="000000" w:themeColor="text1"/>
                      <w:sz w:val="22"/>
                      <w:szCs w:val="22"/>
                    </w:rPr>
                    <w:t xml:space="preserve">Specialized training </w:t>
                  </w:r>
                </w:p>
              </w:tc>
              <w:tc>
                <w:tcPr>
                  <w:tcW w:w="2250" w:type="dxa"/>
                  <w:tcBorders>
                    <w:top w:val="nil"/>
                    <w:left w:val="nil"/>
                    <w:bottom w:val="single" w:sz="8" w:space="0" w:color="auto"/>
                    <w:right w:val="single" w:sz="8" w:space="0" w:color="auto"/>
                  </w:tcBorders>
                </w:tcPr>
                <w:p w14:paraId="3FFCDC48" w14:textId="3FDD3405" w:rsidR="00C609C4" w:rsidRPr="00C609C4" w:rsidRDefault="00C609C4" w:rsidP="00C609C4">
                  <w:pPr>
                    <w:autoSpaceDE w:val="0"/>
                    <w:autoSpaceDN w:val="0"/>
                    <w:adjustRightInd w:val="0"/>
                    <w:spacing w:before="40"/>
                    <w:jc w:val="center"/>
                    <w:rPr>
                      <w:rFonts w:ascii="Arial" w:hAnsi="Arial" w:cs="Arial"/>
                      <w:color w:val="000000" w:themeColor="text1"/>
                      <w:sz w:val="22"/>
                      <w:szCs w:val="22"/>
                    </w:rPr>
                  </w:pPr>
                  <w:r w:rsidRPr="003738E5">
                    <w:rPr>
                      <w:rFonts w:ascii="Arial" w:hAnsi="Arial" w:cs="Arial"/>
                      <w:color w:val="000000" w:themeColor="text1"/>
                      <w:sz w:val="22"/>
                      <w:szCs w:val="22"/>
                    </w:rPr>
                    <w:t>No</w:t>
                  </w:r>
                </w:p>
              </w:tc>
            </w:tr>
            <w:tr w:rsidR="00C609C4" w:rsidRPr="00FA0416" w14:paraId="5D9A41FE" w14:textId="77777777" w:rsidTr="00C609C4">
              <w:trPr>
                <w:trHeight w:val="384"/>
              </w:trPr>
              <w:tc>
                <w:tcPr>
                  <w:tcW w:w="4680" w:type="dxa"/>
                  <w:tcBorders>
                    <w:top w:val="single" w:sz="8" w:space="0" w:color="auto"/>
                    <w:left w:val="single" w:sz="8" w:space="0" w:color="auto"/>
                    <w:bottom w:val="single" w:sz="8" w:space="0" w:color="auto"/>
                    <w:right w:val="single" w:sz="8" w:space="0" w:color="auto"/>
                  </w:tcBorders>
                </w:tcPr>
                <w:p w14:paraId="069F27EA" w14:textId="77777777" w:rsidR="00C609C4" w:rsidRPr="00C609C4" w:rsidRDefault="00C609C4" w:rsidP="00C609C4">
                  <w:pPr>
                    <w:autoSpaceDE w:val="0"/>
                    <w:autoSpaceDN w:val="0"/>
                    <w:adjustRightInd w:val="0"/>
                    <w:spacing w:before="40"/>
                    <w:rPr>
                      <w:rFonts w:ascii="Arial" w:hAnsi="Arial" w:cs="Arial"/>
                      <w:color w:val="000000" w:themeColor="text1"/>
                      <w:sz w:val="22"/>
                      <w:szCs w:val="22"/>
                    </w:rPr>
                  </w:pPr>
                  <w:r w:rsidRPr="00C609C4">
                    <w:rPr>
                      <w:rFonts w:ascii="Arial" w:hAnsi="Arial" w:cs="Arial"/>
                      <w:color w:val="000000" w:themeColor="text1"/>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22CAEAB1" w14:textId="24216FF2" w:rsidR="00C609C4" w:rsidRPr="00C609C4" w:rsidRDefault="00C609C4" w:rsidP="00C609C4">
                  <w:pPr>
                    <w:autoSpaceDE w:val="0"/>
                    <w:autoSpaceDN w:val="0"/>
                    <w:adjustRightInd w:val="0"/>
                    <w:spacing w:before="40"/>
                    <w:jc w:val="center"/>
                    <w:rPr>
                      <w:rFonts w:ascii="Arial" w:hAnsi="Arial" w:cs="Arial"/>
                      <w:color w:val="000000" w:themeColor="text1"/>
                      <w:sz w:val="22"/>
                      <w:szCs w:val="22"/>
                    </w:rPr>
                  </w:pPr>
                  <w:r w:rsidRPr="003738E5">
                    <w:rPr>
                      <w:rFonts w:ascii="Arial" w:hAnsi="Arial" w:cs="Arial"/>
                      <w:color w:val="000000" w:themeColor="text1"/>
                      <w:sz w:val="22"/>
                      <w:szCs w:val="22"/>
                    </w:rPr>
                    <w:t>No</w:t>
                  </w:r>
                </w:p>
              </w:tc>
            </w:tr>
            <w:tr w:rsidR="00C609C4" w:rsidRPr="00FA0416" w14:paraId="53A6DF51" w14:textId="77777777" w:rsidTr="00C609C4">
              <w:trPr>
                <w:trHeight w:val="384"/>
              </w:trPr>
              <w:tc>
                <w:tcPr>
                  <w:tcW w:w="4680" w:type="dxa"/>
                  <w:tcBorders>
                    <w:top w:val="single" w:sz="8" w:space="0" w:color="auto"/>
                    <w:left w:val="single" w:sz="8" w:space="0" w:color="auto"/>
                    <w:bottom w:val="single" w:sz="8" w:space="0" w:color="auto"/>
                    <w:right w:val="single" w:sz="8" w:space="0" w:color="auto"/>
                  </w:tcBorders>
                </w:tcPr>
                <w:p w14:paraId="01E2A83C" w14:textId="77777777" w:rsidR="00C609C4" w:rsidRPr="00C609C4" w:rsidRDefault="00C609C4" w:rsidP="00C609C4">
                  <w:pPr>
                    <w:autoSpaceDE w:val="0"/>
                    <w:autoSpaceDN w:val="0"/>
                    <w:adjustRightInd w:val="0"/>
                    <w:spacing w:before="40"/>
                    <w:rPr>
                      <w:rFonts w:ascii="Arial" w:hAnsi="Arial" w:cs="Arial"/>
                      <w:color w:val="000000" w:themeColor="text1"/>
                      <w:sz w:val="22"/>
                      <w:szCs w:val="22"/>
                    </w:rPr>
                  </w:pPr>
                  <w:r w:rsidRPr="00C609C4">
                    <w:rPr>
                      <w:rFonts w:ascii="Arial" w:hAnsi="Arial" w:cs="Arial"/>
                      <w:color w:val="000000" w:themeColor="text1"/>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6F5CBC0B" w14:textId="31D05F5F" w:rsidR="00C609C4" w:rsidRPr="00C609C4" w:rsidRDefault="00C609C4" w:rsidP="00C609C4">
                  <w:pPr>
                    <w:autoSpaceDE w:val="0"/>
                    <w:autoSpaceDN w:val="0"/>
                    <w:adjustRightInd w:val="0"/>
                    <w:spacing w:before="40"/>
                    <w:jc w:val="center"/>
                    <w:rPr>
                      <w:rFonts w:ascii="Arial" w:hAnsi="Arial" w:cs="Arial"/>
                      <w:color w:val="000000" w:themeColor="text1"/>
                      <w:sz w:val="22"/>
                      <w:szCs w:val="22"/>
                    </w:rPr>
                  </w:pPr>
                  <w:r w:rsidRPr="003738E5">
                    <w:rPr>
                      <w:rFonts w:ascii="Arial" w:hAnsi="Arial" w:cs="Arial"/>
                      <w:color w:val="000000" w:themeColor="text1"/>
                      <w:sz w:val="22"/>
                      <w:szCs w:val="22"/>
                    </w:rPr>
                    <w:t>No</w:t>
                  </w:r>
                </w:p>
              </w:tc>
            </w:tr>
          </w:tbl>
          <w:p w14:paraId="43D217CB" w14:textId="77777777" w:rsidR="002B7F74" w:rsidRPr="00C609C4" w:rsidRDefault="002B7F74" w:rsidP="005F2503">
            <w:pPr>
              <w:autoSpaceDE w:val="0"/>
              <w:autoSpaceDN w:val="0"/>
              <w:adjustRightInd w:val="0"/>
              <w:rPr>
                <w:rFonts w:ascii="Arial" w:hAnsi="Arial" w:cs="Arial"/>
                <w:b/>
                <w:color w:val="000000" w:themeColor="text1"/>
                <w:sz w:val="22"/>
                <w:szCs w:val="22"/>
              </w:rPr>
            </w:pPr>
          </w:p>
        </w:tc>
      </w:tr>
      <w:tr w:rsidR="00FA0416" w:rsidRPr="00FA0416" w14:paraId="28ACEBF3" w14:textId="77777777" w:rsidTr="00C609C4">
        <w:trPr>
          <w:trHeight w:val="58"/>
          <w:jc w:val="center"/>
        </w:trPr>
        <w:tc>
          <w:tcPr>
            <w:tcW w:w="1842" w:type="dxa"/>
            <w:tcBorders>
              <w:bottom w:val="single" w:sz="4" w:space="0" w:color="auto"/>
            </w:tcBorders>
            <w:shd w:val="clear" w:color="auto" w:fill="D9D9D9"/>
          </w:tcPr>
          <w:p w14:paraId="6902D7EE" w14:textId="77777777" w:rsidR="00E952CE" w:rsidRPr="00C609C4" w:rsidRDefault="00E952CE" w:rsidP="002B7F74">
            <w:pPr>
              <w:rPr>
                <w:rFonts w:ascii="Arial" w:hAnsi="Arial" w:cs="Arial"/>
                <w:b/>
                <w:color w:val="000000" w:themeColor="text1"/>
                <w:sz w:val="22"/>
                <w:szCs w:val="22"/>
              </w:rPr>
            </w:pPr>
            <w:r w:rsidRPr="00C609C4">
              <w:rPr>
                <w:rFonts w:ascii="Arial" w:hAnsi="Arial" w:cs="Arial"/>
                <w:b/>
                <w:color w:val="000000" w:themeColor="text1"/>
                <w:sz w:val="22"/>
                <w:szCs w:val="22"/>
              </w:rPr>
              <w:t>Annotations for Specific Conditions:</w:t>
            </w:r>
          </w:p>
        </w:tc>
        <w:tc>
          <w:tcPr>
            <w:tcW w:w="8953" w:type="dxa"/>
          </w:tcPr>
          <w:p w14:paraId="2D22BCAC" w14:textId="768A5853" w:rsidR="00E952CE" w:rsidRPr="00C609C4" w:rsidRDefault="00C51D2E" w:rsidP="0046236D">
            <w:pPr>
              <w:rPr>
                <w:rFonts w:ascii="Arial" w:hAnsi="Arial" w:cs="Arial"/>
                <w:color w:val="000000" w:themeColor="text1"/>
                <w:sz w:val="22"/>
                <w:szCs w:val="22"/>
              </w:rPr>
            </w:pPr>
            <w:r w:rsidRPr="00C609C4">
              <w:rPr>
                <w:rFonts w:ascii="Arial" w:hAnsi="Arial" w:cs="Arial"/>
                <w:color w:val="000000" w:themeColor="text1"/>
                <w:sz w:val="22"/>
                <w:szCs w:val="22"/>
              </w:rPr>
              <w:t>None</w:t>
            </w:r>
          </w:p>
        </w:tc>
      </w:tr>
      <w:tr w:rsidR="00FA0416" w:rsidRPr="00FA0416" w14:paraId="561A2035" w14:textId="77777777" w:rsidTr="00C609C4">
        <w:trPr>
          <w:trHeight w:val="58"/>
          <w:jc w:val="center"/>
        </w:trPr>
        <w:tc>
          <w:tcPr>
            <w:tcW w:w="1842" w:type="dxa"/>
            <w:shd w:val="clear" w:color="auto" w:fill="FFFFFF"/>
          </w:tcPr>
          <w:p w14:paraId="0CE49E79" w14:textId="77777777" w:rsidR="002B7F74" w:rsidRPr="00C609C4" w:rsidRDefault="002B7F74" w:rsidP="002B7F74">
            <w:pPr>
              <w:rPr>
                <w:rFonts w:ascii="Arial" w:hAnsi="Arial" w:cs="Arial"/>
                <w:b/>
                <w:color w:val="000000" w:themeColor="text1"/>
                <w:sz w:val="22"/>
                <w:szCs w:val="22"/>
              </w:rPr>
            </w:pPr>
            <w:r w:rsidRPr="00C609C4">
              <w:rPr>
                <w:rFonts w:ascii="Arial" w:hAnsi="Arial" w:cs="Arial"/>
                <w:b/>
                <w:color w:val="000000" w:themeColor="text1"/>
                <w:sz w:val="22"/>
                <w:szCs w:val="22"/>
              </w:rPr>
              <w:t>Process and Review:</w:t>
            </w:r>
          </w:p>
        </w:tc>
        <w:tc>
          <w:tcPr>
            <w:tcW w:w="8953" w:type="dxa"/>
          </w:tcPr>
          <w:p w14:paraId="39A04F97" w14:textId="31823CD6" w:rsidR="000C1A3F" w:rsidRPr="00C609C4" w:rsidRDefault="000C1A3F" w:rsidP="00C609C4">
            <w:pPr>
              <w:ind w:left="360"/>
              <w:rPr>
                <w:rFonts w:ascii="Arial" w:hAnsi="Arial" w:cs="Arial"/>
                <w:color w:val="000000" w:themeColor="text1"/>
                <w:sz w:val="22"/>
                <w:szCs w:val="22"/>
              </w:rPr>
            </w:pPr>
          </w:p>
        </w:tc>
      </w:tr>
    </w:tbl>
    <w:p w14:paraId="43526E9D" w14:textId="77777777" w:rsidR="006902DF" w:rsidRPr="00C609C4" w:rsidRDefault="006902DF" w:rsidP="00154EFB">
      <w:pPr>
        <w:rPr>
          <w:rFonts w:ascii="Arial" w:hAnsi="Arial" w:cs="Arial"/>
          <w:color w:val="000000" w:themeColor="text1"/>
          <w:sz w:val="22"/>
          <w:szCs w:val="22"/>
        </w:rPr>
      </w:pPr>
    </w:p>
    <w:p w14:paraId="4C6A6350" w14:textId="77777777" w:rsidR="006902DF" w:rsidRPr="00C609C4" w:rsidRDefault="006902DF" w:rsidP="00154EFB">
      <w:pPr>
        <w:rPr>
          <w:rFonts w:ascii="Arial" w:hAnsi="Arial" w:cs="Arial"/>
          <w:color w:val="000000" w:themeColor="text1"/>
          <w:sz w:val="22"/>
          <w:szCs w:val="22"/>
        </w:rPr>
      </w:pPr>
    </w:p>
    <w:p w14:paraId="2870CB95" w14:textId="77777777" w:rsidR="006902DF" w:rsidRPr="00C609C4" w:rsidRDefault="006902DF" w:rsidP="00154EFB">
      <w:pPr>
        <w:rPr>
          <w:rFonts w:ascii="Arial" w:hAnsi="Arial" w:cs="Arial"/>
          <w:color w:val="000000" w:themeColor="text1"/>
          <w:sz w:val="22"/>
          <w:szCs w:val="22"/>
        </w:rPr>
      </w:pPr>
    </w:p>
    <w:p w14:paraId="0A3ECC9A" w14:textId="77777777" w:rsidR="00981EE2" w:rsidRPr="00C609C4" w:rsidRDefault="00981EE2" w:rsidP="00154EFB">
      <w:pPr>
        <w:rPr>
          <w:rFonts w:ascii="Arial" w:hAnsi="Arial" w:cs="Arial"/>
          <w:color w:val="000000" w:themeColor="text1"/>
          <w:sz w:val="22"/>
          <w:szCs w:val="22"/>
        </w:rPr>
      </w:pPr>
    </w:p>
    <w:sectPr w:rsidR="00981EE2" w:rsidRPr="00C609C4" w:rsidSect="00C37848">
      <w:headerReference w:type="default" r:id="rId8"/>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84ED" w14:textId="77777777" w:rsidR="00EE3580" w:rsidRDefault="00EE3580">
      <w:r>
        <w:separator/>
      </w:r>
    </w:p>
  </w:endnote>
  <w:endnote w:type="continuationSeparator" w:id="0">
    <w:p w14:paraId="43782EA0" w14:textId="77777777" w:rsidR="00EE3580" w:rsidRDefault="00EE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2970" w14:textId="77777777" w:rsidR="00EE3580" w:rsidRDefault="00EE3580">
      <w:r>
        <w:separator/>
      </w:r>
    </w:p>
  </w:footnote>
  <w:footnote w:type="continuationSeparator" w:id="0">
    <w:p w14:paraId="08CB7916" w14:textId="77777777" w:rsidR="00EE3580" w:rsidRDefault="00EE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6B1" w14:textId="77777777" w:rsidR="00C604EB" w:rsidRPr="0036273F" w:rsidRDefault="00C604EB" w:rsidP="003F496E">
    <w:pPr>
      <w:rPr>
        <w:rFonts w:ascii="Arial" w:hAnsi="Arial" w:cs="Arial"/>
        <w:b/>
        <w:sz w:val="20"/>
        <w:szCs w:val="20"/>
      </w:rPr>
    </w:pPr>
    <w:r w:rsidRPr="0036273F">
      <w:rPr>
        <w:rFonts w:ascii="Arial" w:hAnsi="Arial" w:cs="Arial"/>
        <w:b/>
        <w:sz w:val="20"/>
        <w:szCs w:val="20"/>
        <w:u w:val="single"/>
      </w:rPr>
      <w:t>Name of Measure</w:t>
    </w:r>
    <w:r w:rsidRPr="0036273F">
      <w:rPr>
        <w:rFonts w:ascii="Arial" w:hAnsi="Arial" w:cs="Arial"/>
        <w:b/>
        <w:sz w:val="20"/>
        <w:szCs w:val="20"/>
      </w:rPr>
      <w:tab/>
    </w:r>
    <w:r w:rsidRPr="0036273F">
      <w:rPr>
        <w:rFonts w:ascii="Arial" w:hAnsi="Arial" w:cs="Arial"/>
        <w:b/>
        <w:sz w:val="20"/>
        <w:szCs w:val="20"/>
      </w:rPr>
      <w:tab/>
      <w:t xml:space="preserve">                                                                    </w:t>
    </w:r>
    <w:r>
      <w:rPr>
        <w:rFonts w:ascii="Arial" w:hAnsi="Arial" w:cs="Arial"/>
        <w:b/>
        <w:sz w:val="20"/>
        <w:szCs w:val="20"/>
      </w:rPr>
      <w:tab/>
    </w:r>
    <w:r w:rsidRPr="0036273F">
      <w:rPr>
        <w:rFonts w:ascii="Arial" w:hAnsi="Arial" w:cs="Arial"/>
        <w:b/>
        <w:sz w:val="20"/>
        <w:szCs w:val="20"/>
      </w:rPr>
      <w:t>Date of SC final approval</w:t>
    </w:r>
  </w:p>
  <w:p w14:paraId="3089B0D8"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96C0268"/>
    <w:multiLevelType w:val="multilevel"/>
    <w:tmpl w:val="DEC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 w15:restartNumberingAfterBreak="0">
    <w:nsid w:val="255A164A"/>
    <w:multiLevelType w:val="hybridMultilevel"/>
    <w:tmpl w:val="A95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8"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6188A"/>
    <w:multiLevelType w:val="multilevel"/>
    <w:tmpl w:val="1A94E1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8722869">
    <w:abstractNumId w:val="0"/>
  </w:num>
  <w:num w:numId="2" w16cid:durableId="353070504">
    <w:abstractNumId w:val="3"/>
  </w:num>
  <w:num w:numId="3" w16cid:durableId="1325547101">
    <w:abstractNumId w:val="16"/>
  </w:num>
  <w:num w:numId="4" w16cid:durableId="1591811268">
    <w:abstractNumId w:val="9"/>
  </w:num>
  <w:num w:numId="5" w16cid:durableId="1694453290">
    <w:abstractNumId w:val="6"/>
  </w:num>
  <w:num w:numId="6" w16cid:durableId="128934966">
    <w:abstractNumId w:val="17"/>
  </w:num>
  <w:num w:numId="7" w16cid:durableId="1735857331">
    <w:abstractNumId w:val="19"/>
  </w:num>
  <w:num w:numId="8" w16cid:durableId="662271460">
    <w:abstractNumId w:val="11"/>
  </w:num>
  <w:num w:numId="9" w16cid:durableId="925380592">
    <w:abstractNumId w:val="23"/>
  </w:num>
  <w:num w:numId="10" w16cid:durableId="756099920">
    <w:abstractNumId w:val="8"/>
  </w:num>
  <w:num w:numId="11" w16cid:durableId="726808233">
    <w:abstractNumId w:val="2"/>
  </w:num>
  <w:num w:numId="12" w16cid:durableId="667637650">
    <w:abstractNumId w:val="7"/>
  </w:num>
  <w:num w:numId="13" w16cid:durableId="990062196">
    <w:abstractNumId w:val="18"/>
  </w:num>
  <w:num w:numId="14" w16cid:durableId="613252098">
    <w:abstractNumId w:val="12"/>
  </w:num>
  <w:num w:numId="15" w16cid:durableId="668098879">
    <w:abstractNumId w:val="5"/>
  </w:num>
  <w:num w:numId="16" w16cid:durableId="943458315">
    <w:abstractNumId w:val="21"/>
  </w:num>
  <w:num w:numId="17" w16cid:durableId="1480079367">
    <w:abstractNumId w:val="25"/>
  </w:num>
  <w:num w:numId="18" w16cid:durableId="1014570952">
    <w:abstractNumId w:val="14"/>
  </w:num>
  <w:num w:numId="19" w16cid:durableId="510144454">
    <w:abstractNumId w:val="20"/>
  </w:num>
  <w:num w:numId="20" w16cid:durableId="640116943">
    <w:abstractNumId w:val="14"/>
  </w:num>
  <w:num w:numId="21" w16cid:durableId="1898393961">
    <w:abstractNumId w:val="24"/>
  </w:num>
  <w:num w:numId="22" w16cid:durableId="798498206">
    <w:abstractNumId w:val="13"/>
  </w:num>
  <w:num w:numId="23" w16cid:durableId="1706255334">
    <w:abstractNumId w:val="15"/>
  </w:num>
  <w:num w:numId="24" w16cid:durableId="1975914090">
    <w:abstractNumId w:val="10"/>
  </w:num>
  <w:num w:numId="25" w16cid:durableId="1183398858">
    <w:abstractNumId w:val="1"/>
  </w:num>
  <w:num w:numId="26" w16cid:durableId="1858689210">
    <w:abstractNumId w:val="22"/>
  </w:num>
  <w:num w:numId="27" w16cid:durableId="170435749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70DA"/>
    <w:rsid w:val="00010291"/>
    <w:rsid w:val="00012AE8"/>
    <w:rsid w:val="000168F4"/>
    <w:rsid w:val="00020515"/>
    <w:rsid w:val="00022357"/>
    <w:rsid w:val="000232E5"/>
    <w:rsid w:val="00032CCE"/>
    <w:rsid w:val="00034A43"/>
    <w:rsid w:val="0003618D"/>
    <w:rsid w:val="00036940"/>
    <w:rsid w:val="00037186"/>
    <w:rsid w:val="00040E4D"/>
    <w:rsid w:val="00041101"/>
    <w:rsid w:val="000449BC"/>
    <w:rsid w:val="000454A2"/>
    <w:rsid w:val="000521A6"/>
    <w:rsid w:val="00054005"/>
    <w:rsid w:val="00055008"/>
    <w:rsid w:val="00057C85"/>
    <w:rsid w:val="00062666"/>
    <w:rsid w:val="00063E86"/>
    <w:rsid w:val="00065BDD"/>
    <w:rsid w:val="00071DFF"/>
    <w:rsid w:val="00073724"/>
    <w:rsid w:val="000753CA"/>
    <w:rsid w:val="0007791C"/>
    <w:rsid w:val="000825DC"/>
    <w:rsid w:val="00086B33"/>
    <w:rsid w:val="000913FF"/>
    <w:rsid w:val="00091B07"/>
    <w:rsid w:val="00093EF6"/>
    <w:rsid w:val="000948ED"/>
    <w:rsid w:val="00096986"/>
    <w:rsid w:val="000977FC"/>
    <w:rsid w:val="00097BCB"/>
    <w:rsid w:val="000A38F8"/>
    <w:rsid w:val="000A3939"/>
    <w:rsid w:val="000A64F2"/>
    <w:rsid w:val="000B04CC"/>
    <w:rsid w:val="000C1A3F"/>
    <w:rsid w:val="000C4099"/>
    <w:rsid w:val="000C4564"/>
    <w:rsid w:val="000C4A4D"/>
    <w:rsid w:val="000D0F67"/>
    <w:rsid w:val="000D164A"/>
    <w:rsid w:val="000D5658"/>
    <w:rsid w:val="000E4F78"/>
    <w:rsid w:val="000E70E9"/>
    <w:rsid w:val="000F1B73"/>
    <w:rsid w:val="000F3CE4"/>
    <w:rsid w:val="00100E0A"/>
    <w:rsid w:val="001024B4"/>
    <w:rsid w:val="00102FE5"/>
    <w:rsid w:val="00111537"/>
    <w:rsid w:val="00115F3F"/>
    <w:rsid w:val="00117985"/>
    <w:rsid w:val="00120BDC"/>
    <w:rsid w:val="00127C66"/>
    <w:rsid w:val="00132012"/>
    <w:rsid w:val="00135342"/>
    <w:rsid w:val="00136FEB"/>
    <w:rsid w:val="00140E9B"/>
    <w:rsid w:val="00145CDB"/>
    <w:rsid w:val="0014724B"/>
    <w:rsid w:val="0015097C"/>
    <w:rsid w:val="00154EFB"/>
    <w:rsid w:val="00161693"/>
    <w:rsid w:val="00172E1C"/>
    <w:rsid w:val="0017784A"/>
    <w:rsid w:val="001846DE"/>
    <w:rsid w:val="00184EB7"/>
    <w:rsid w:val="001858B0"/>
    <w:rsid w:val="00186F30"/>
    <w:rsid w:val="00192529"/>
    <w:rsid w:val="00196D1F"/>
    <w:rsid w:val="001A2D35"/>
    <w:rsid w:val="001A419B"/>
    <w:rsid w:val="001B0CA5"/>
    <w:rsid w:val="001B3B8C"/>
    <w:rsid w:val="001B598D"/>
    <w:rsid w:val="001B73D0"/>
    <w:rsid w:val="001C035C"/>
    <w:rsid w:val="001C4111"/>
    <w:rsid w:val="001C5FF0"/>
    <w:rsid w:val="001C7AF5"/>
    <w:rsid w:val="001D0A64"/>
    <w:rsid w:val="001D14E2"/>
    <w:rsid w:val="001D2DF4"/>
    <w:rsid w:val="001D3952"/>
    <w:rsid w:val="001D5A61"/>
    <w:rsid w:val="001D6184"/>
    <w:rsid w:val="001E09FF"/>
    <w:rsid w:val="001E36C0"/>
    <w:rsid w:val="001E5855"/>
    <w:rsid w:val="001F15B7"/>
    <w:rsid w:val="001F47C8"/>
    <w:rsid w:val="00202C57"/>
    <w:rsid w:val="002107DC"/>
    <w:rsid w:val="00214DD1"/>
    <w:rsid w:val="00217DD4"/>
    <w:rsid w:val="002224AD"/>
    <w:rsid w:val="00230346"/>
    <w:rsid w:val="0024346B"/>
    <w:rsid w:val="002447EF"/>
    <w:rsid w:val="00244D78"/>
    <w:rsid w:val="00252180"/>
    <w:rsid w:val="00253655"/>
    <w:rsid w:val="00254644"/>
    <w:rsid w:val="0025610A"/>
    <w:rsid w:val="00257B2B"/>
    <w:rsid w:val="002611D8"/>
    <w:rsid w:val="002654E5"/>
    <w:rsid w:val="002672B9"/>
    <w:rsid w:val="00267FEC"/>
    <w:rsid w:val="00273682"/>
    <w:rsid w:val="00275CD2"/>
    <w:rsid w:val="002806C3"/>
    <w:rsid w:val="00280A6F"/>
    <w:rsid w:val="00280FDC"/>
    <w:rsid w:val="00282E2F"/>
    <w:rsid w:val="00286020"/>
    <w:rsid w:val="0029042F"/>
    <w:rsid w:val="00292A73"/>
    <w:rsid w:val="002A1F7A"/>
    <w:rsid w:val="002A2DC6"/>
    <w:rsid w:val="002A36D3"/>
    <w:rsid w:val="002B2AC4"/>
    <w:rsid w:val="002B3836"/>
    <w:rsid w:val="002B7F74"/>
    <w:rsid w:val="002C076E"/>
    <w:rsid w:val="002C3755"/>
    <w:rsid w:val="002C7EAF"/>
    <w:rsid w:val="002D348E"/>
    <w:rsid w:val="002D673B"/>
    <w:rsid w:val="002D786B"/>
    <w:rsid w:val="002E0B4A"/>
    <w:rsid w:val="002E2213"/>
    <w:rsid w:val="002E6D16"/>
    <w:rsid w:val="002F00AB"/>
    <w:rsid w:val="00301CEA"/>
    <w:rsid w:val="00303EEF"/>
    <w:rsid w:val="0030486B"/>
    <w:rsid w:val="00307273"/>
    <w:rsid w:val="003136EB"/>
    <w:rsid w:val="00320260"/>
    <w:rsid w:val="00324525"/>
    <w:rsid w:val="003332F5"/>
    <w:rsid w:val="00335722"/>
    <w:rsid w:val="00336B63"/>
    <w:rsid w:val="00343BA0"/>
    <w:rsid w:val="00343EEE"/>
    <w:rsid w:val="003456E4"/>
    <w:rsid w:val="0034758A"/>
    <w:rsid w:val="003505CC"/>
    <w:rsid w:val="00360B03"/>
    <w:rsid w:val="0036123A"/>
    <w:rsid w:val="003619AA"/>
    <w:rsid w:val="0036273F"/>
    <w:rsid w:val="0036312B"/>
    <w:rsid w:val="00365DAA"/>
    <w:rsid w:val="00366447"/>
    <w:rsid w:val="0037033A"/>
    <w:rsid w:val="00371848"/>
    <w:rsid w:val="00372919"/>
    <w:rsid w:val="00373002"/>
    <w:rsid w:val="0037396D"/>
    <w:rsid w:val="00376052"/>
    <w:rsid w:val="00376CF0"/>
    <w:rsid w:val="00380121"/>
    <w:rsid w:val="00380E53"/>
    <w:rsid w:val="0038448E"/>
    <w:rsid w:val="00384494"/>
    <w:rsid w:val="00385778"/>
    <w:rsid w:val="0038715A"/>
    <w:rsid w:val="003876F1"/>
    <w:rsid w:val="00387C69"/>
    <w:rsid w:val="00390376"/>
    <w:rsid w:val="00391291"/>
    <w:rsid w:val="0039407C"/>
    <w:rsid w:val="003946B3"/>
    <w:rsid w:val="003A0607"/>
    <w:rsid w:val="003A193B"/>
    <w:rsid w:val="003A65BD"/>
    <w:rsid w:val="003A6637"/>
    <w:rsid w:val="003B2B40"/>
    <w:rsid w:val="003B504C"/>
    <w:rsid w:val="003C1872"/>
    <w:rsid w:val="003C3F2F"/>
    <w:rsid w:val="003C71FE"/>
    <w:rsid w:val="003C7405"/>
    <w:rsid w:val="003D0921"/>
    <w:rsid w:val="003D1784"/>
    <w:rsid w:val="003D284C"/>
    <w:rsid w:val="003D6338"/>
    <w:rsid w:val="003D7D49"/>
    <w:rsid w:val="003E16A4"/>
    <w:rsid w:val="003E28A8"/>
    <w:rsid w:val="003E3DEB"/>
    <w:rsid w:val="003E65E5"/>
    <w:rsid w:val="003F2C92"/>
    <w:rsid w:val="003F42D5"/>
    <w:rsid w:val="003F4866"/>
    <w:rsid w:val="003F496E"/>
    <w:rsid w:val="00401C0E"/>
    <w:rsid w:val="004028E0"/>
    <w:rsid w:val="00402E79"/>
    <w:rsid w:val="00402FAF"/>
    <w:rsid w:val="00403617"/>
    <w:rsid w:val="00406CE7"/>
    <w:rsid w:val="00410048"/>
    <w:rsid w:val="00426F10"/>
    <w:rsid w:val="00432878"/>
    <w:rsid w:val="00432C78"/>
    <w:rsid w:val="00435DC5"/>
    <w:rsid w:val="0043655A"/>
    <w:rsid w:val="004365F2"/>
    <w:rsid w:val="00443256"/>
    <w:rsid w:val="00444543"/>
    <w:rsid w:val="00446E32"/>
    <w:rsid w:val="00450B76"/>
    <w:rsid w:val="00454667"/>
    <w:rsid w:val="00457054"/>
    <w:rsid w:val="004609D1"/>
    <w:rsid w:val="00461798"/>
    <w:rsid w:val="0046236D"/>
    <w:rsid w:val="00462F0D"/>
    <w:rsid w:val="0046535B"/>
    <w:rsid w:val="00466514"/>
    <w:rsid w:val="00471B3C"/>
    <w:rsid w:val="00471ED4"/>
    <w:rsid w:val="0047425F"/>
    <w:rsid w:val="00474F6E"/>
    <w:rsid w:val="0048002C"/>
    <w:rsid w:val="00483B1D"/>
    <w:rsid w:val="00490CE7"/>
    <w:rsid w:val="00491B2C"/>
    <w:rsid w:val="004926F7"/>
    <w:rsid w:val="00492863"/>
    <w:rsid w:val="00492BBA"/>
    <w:rsid w:val="0049592C"/>
    <w:rsid w:val="004970EE"/>
    <w:rsid w:val="004B2507"/>
    <w:rsid w:val="004B31B6"/>
    <w:rsid w:val="004B5531"/>
    <w:rsid w:val="004C1B25"/>
    <w:rsid w:val="004C2F61"/>
    <w:rsid w:val="004C3F11"/>
    <w:rsid w:val="004C4128"/>
    <w:rsid w:val="004C4759"/>
    <w:rsid w:val="004C498C"/>
    <w:rsid w:val="004C6528"/>
    <w:rsid w:val="004D086D"/>
    <w:rsid w:val="004D1133"/>
    <w:rsid w:val="004D4226"/>
    <w:rsid w:val="004D4B70"/>
    <w:rsid w:val="004E15AC"/>
    <w:rsid w:val="004E2C1B"/>
    <w:rsid w:val="004E50F3"/>
    <w:rsid w:val="004E7678"/>
    <w:rsid w:val="004F375D"/>
    <w:rsid w:val="004F3897"/>
    <w:rsid w:val="00503561"/>
    <w:rsid w:val="005043E3"/>
    <w:rsid w:val="00504910"/>
    <w:rsid w:val="0050533F"/>
    <w:rsid w:val="00506123"/>
    <w:rsid w:val="005127A0"/>
    <w:rsid w:val="00516EDC"/>
    <w:rsid w:val="005234E2"/>
    <w:rsid w:val="00523A09"/>
    <w:rsid w:val="00524A6F"/>
    <w:rsid w:val="00526E17"/>
    <w:rsid w:val="005332E6"/>
    <w:rsid w:val="00535448"/>
    <w:rsid w:val="00540376"/>
    <w:rsid w:val="00540DA0"/>
    <w:rsid w:val="0054144D"/>
    <w:rsid w:val="00541FDE"/>
    <w:rsid w:val="00542C20"/>
    <w:rsid w:val="005443EF"/>
    <w:rsid w:val="00546351"/>
    <w:rsid w:val="0054715E"/>
    <w:rsid w:val="00547CE9"/>
    <w:rsid w:val="0055000D"/>
    <w:rsid w:val="00551D0D"/>
    <w:rsid w:val="0055215F"/>
    <w:rsid w:val="00553CB2"/>
    <w:rsid w:val="0055476D"/>
    <w:rsid w:val="00563576"/>
    <w:rsid w:val="005646B4"/>
    <w:rsid w:val="0056515A"/>
    <w:rsid w:val="0057674A"/>
    <w:rsid w:val="005801B2"/>
    <w:rsid w:val="005807EA"/>
    <w:rsid w:val="00580FD1"/>
    <w:rsid w:val="00583370"/>
    <w:rsid w:val="00591B5E"/>
    <w:rsid w:val="00591DB5"/>
    <w:rsid w:val="00593614"/>
    <w:rsid w:val="0059619B"/>
    <w:rsid w:val="005A160A"/>
    <w:rsid w:val="005A162C"/>
    <w:rsid w:val="005A209B"/>
    <w:rsid w:val="005A32A6"/>
    <w:rsid w:val="005A47DD"/>
    <w:rsid w:val="005B6FCC"/>
    <w:rsid w:val="005B7525"/>
    <w:rsid w:val="005C0225"/>
    <w:rsid w:val="005C33FC"/>
    <w:rsid w:val="005C4DD0"/>
    <w:rsid w:val="005D5C9C"/>
    <w:rsid w:val="005E3839"/>
    <w:rsid w:val="005F2503"/>
    <w:rsid w:val="006000A1"/>
    <w:rsid w:val="00606B95"/>
    <w:rsid w:val="00615178"/>
    <w:rsid w:val="006230F1"/>
    <w:rsid w:val="00627932"/>
    <w:rsid w:val="0063063B"/>
    <w:rsid w:val="00632B14"/>
    <w:rsid w:val="00632CD9"/>
    <w:rsid w:val="00641056"/>
    <w:rsid w:val="00642105"/>
    <w:rsid w:val="0065047C"/>
    <w:rsid w:val="0065460F"/>
    <w:rsid w:val="00656019"/>
    <w:rsid w:val="006665A1"/>
    <w:rsid w:val="006675EC"/>
    <w:rsid w:val="00672852"/>
    <w:rsid w:val="00682081"/>
    <w:rsid w:val="00682334"/>
    <w:rsid w:val="00683C2B"/>
    <w:rsid w:val="00683DAB"/>
    <w:rsid w:val="006847BB"/>
    <w:rsid w:val="006902DF"/>
    <w:rsid w:val="006921AD"/>
    <w:rsid w:val="00696AC7"/>
    <w:rsid w:val="00697BFC"/>
    <w:rsid w:val="006A1C1D"/>
    <w:rsid w:val="006A2407"/>
    <w:rsid w:val="006A3903"/>
    <w:rsid w:val="006B0544"/>
    <w:rsid w:val="006B1B8C"/>
    <w:rsid w:val="006B2AA0"/>
    <w:rsid w:val="006C0A23"/>
    <w:rsid w:val="006C41DD"/>
    <w:rsid w:val="006C4DA8"/>
    <w:rsid w:val="006D058F"/>
    <w:rsid w:val="006D0622"/>
    <w:rsid w:val="006E0999"/>
    <w:rsid w:val="006E1D3F"/>
    <w:rsid w:val="006E700B"/>
    <w:rsid w:val="006F251C"/>
    <w:rsid w:val="006F2E33"/>
    <w:rsid w:val="006F3145"/>
    <w:rsid w:val="006F4ED9"/>
    <w:rsid w:val="00701B24"/>
    <w:rsid w:val="0070215D"/>
    <w:rsid w:val="00702FB1"/>
    <w:rsid w:val="0070516E"/>
    <w:rsid w:val="00716FF6"/>
    <w:rsid w:val="00717211"/>
    <w:rsid w:val="007234C6"/>
    <w:rsid w:val="00724954"/>
    <w:rsid w:val="00730199"/>
    <w:rsid w:val="0073089F"/>
    <w:rsid w:val="00735AC2"/>
    <w:rsid w:val="00735FA8"/>
    <w:rsid w:val="00736235"/>
    <w:rsid w:val="0074117B"/>
    <w:rsid w:val="007418D1"/>
    <w:rsid w:val="00745268"/>
    <w:rsid w:val="007465A6"/>
    <w:rsid w:val="00747416"/>
    <w:rsid w:val="00752C0E"/>
    <w:rsid w:val="007532A7"/>
    <w:rsid w:val="00756B1C"/>
    <w:rsid w:val="007573DA"/>
    <w:rsid w:val="007615F3"/>
    <w:rsid w:val="00772E17"/>
    <w:rsid w:val="00775570"/>
    <w:rsid w:val="00777CA3"/>
    <w:rsid w:val="00782404"/>
    <w:rsid w:val="0078620D"/>
    <w:rsid w:val="00786B4D"/>
    <w:rsid w:val="00793F0B"/>
    <w:rsid w:val="0079426A"/>
    <w:rsid w:val="00794B6A"/>
    <w:rsid w:val="007A41FB"/>
    <w:rsid w:val="007B2F3D"/>
    <w:rsid w:val="007B3267"/>
    <w:rsid w:val="007B6CDB"/>
    <w:rsid w:val="007C044C"/>
    <w:rsid w:val="007C14C8"/>
    <w:rsid w:val="007D15EE"/>
    <w:rsid w:val="007D2DDB"/>
    <w:rsid w:val="007E34DC"/>
    <w:rsid w:val="007F0EF4"/>
    <w:rsid w:val="007F10F3"/>
    <w:rsid w:val="007F263E"/>
    <w:rsid w:val="007F3D7E"/>
    <w:rsid w:val="007F7390"/>
    <w:rsid w:val="007F7AE8"/>
    <w:rsid w:val="00801EC3"/>
    <w:rsid w:val="00803777"/>
    <w:rsid w:val="008069B2"/>
    <w:rsid w:val="00812E69"/>
    <w:rsid w:val="0081313E"/>
    <w:rsid w:val="0081355F"/>
    <w:rsid w:val="008176B3"/>
    <w:rsid w:val="00817E22"/>
    <w:rsid w:val="00821DE7"/>
    <w:rsid w:val="008236E9"/>
    <w:rsid w:val="00826D08"/>
    <w:rsid w:val="00827AF1"/>
    <w:rsid w:val="008348A5"/>
    <w:rsid w:val="00840127"/>
    <w:rsid w:val="0084647B"/>
    <w:rsid w:val="00850A25"/>
    <w:rsid w:val="0085797D"/>
    <w:rsid w:val="00861B93"/>
    <w:rsid w:val="00864D40"/>
    <w:rsid w:val="008656BD"/>
    <w:rsid w:val="008729AF"/>
    <w:rsid w:val="00873443"/>
    <w:rsid w:val="00874C4C"/>
    <w:rsid w:val="00875148"/>
    <w:rsid w:val="00876DB2"/>
    <w:rsid w:val="00881323"/>
    <w:rsid w:val="00884765"/>
    <w:rsid w:val="00891BD7"/>
    <w:rsid w:val="00892CDD"/>
    <w:rsid w:val="008945E9"/>
    <w:rsid w:val="008A117C"/>
    <w:rsid w:val="008A218B"/>
    <w:rsid w:val="008B271F"/>
    <w:rsid w:val="008B4EA6"/>
    <w:rsid w:val="008B558B"/>
    <w:rsid w:val="008B76C0"/>
    <w:rsid w:val="008E05A4"/>
    <w:rsid w:val="008F1359"/>
    <w:rsid w:val="008F1FE4"/>
    <w:rsid w:val="008F2480"/>
    <w:rsid w:val="008F2508"/>
    <w:rsid w:val="008F45A7"/>
    <w:rsid w:val="00900301"/>
    <w:rsid w:val="00912C52"/>
    <w:rsid w:val="009157F6"/>
    <w:rsid w:val="00923397"/>
    <w:rsid w:val="009238A2"/>
    <w:rsid w:val="00932760"/>
    <w:rsid w:val="0093276B"/>
    <w:rsid w:val="00936BC7"/>
    <w:rsid w:val="00955804"/>
    <w:rsid w:val="009607F0"/>
    <w:rsid w:val="00972155"/>
    <w:rsid w:val="009724D2"/>
    <w:rsid w:val="00973037"/>
    <w:rsid w:val="009737DD"/>
    <w:rsid w:val="00976799"/>
    <w:rsid w:val="009803A2"/>
    <w:rsid w:val="00981EE2"/>
    <w:rsid w:val="009820AE"/>
    <w:rsid w:val="0098406B"/>
    <w:rsid w:val="009874F7"/>
    <w:rsid w:val="00990CA9"/>
    <w:rsid w:val="0099799F"/>
    <w:rsid w:val="009A176B"/>
    <w:rsid w:val="009A4377"/>
    <w:rsid w:val="009A76F2"/>
    <w:rsid w:val="009B07ED"/>
    <w:rsid w:val="009B6A36"/>
    <w:rsid w:val="009C0A13"/>
    <w:rsid w:val="009C21EF"/>
    <w:rsid w:val="009D0C95"/>
    <w:rsid w:val="009D1CB3"/>
    <w:rsid w:val="009D1CDB"/>
    <w:rsid w:val="009D27DD"/>
    <w:rsid w:val="009D6444"/>
    <w:rsid w:val="009D6827"/>
    <w:rsid w:val="009D702D"/>
    <w:rsid w:val="009E11FA"/>
    <w:rsid w:val="009E1670"/>
    <w:rsid w:val="009E31D9"/>
    <w:rsid w:val="009E55D3"/>
    <w:rsid w:val="009E74F8"/>
    <w:rsid w:val="009F4410"/>
    <w:rsid w:val="009F4E90"/>
    <w:rsid w:val="00A00242"/>
    <w:rsid w:val="00A011FF"/>
    <w:rsid w:val="00A02104"/>
    <w:rsid w:val="00A0249F"/>
    <w:rsid w:val="00A060CC"/>
    <w:rsid w:val="00A122E5"/>
    <w:rsid w:val="00A13A0C"/>
    <w:rsid w:val="00A14486"/>
    <w:rsid w:val="00A16BDE"/>
    <w:rsid w:val="00A22D1F"/>
    <w:rsid w:val="00A26D97"/>
    <w:rsid w:val="00A2730E"/>
    <w:rsid w:val="00A2795F"/>
    <w:rsid w:val="00A354B0"/>
    <w:rsid w:val="00A36198"/>
    <w:rsid w:val="00A376C9"/>
    <w:rsid w:val="00A409A5"/>
    <w:rsid w:val="00A443C9"/>
    <w:rsid w:val="00A47807"/>
    <w:rsid w:val="00A538BD"/>
    <w:rsid w:val="00A53D4A"/>
    <w:rsid w:val="00A56260"/>
    <w:rsid w:val="00A56B27"/>
    <w:rsid w:val="00A62B19"/>
    <w:rsid w:val="00A676CF"/>
    <w:rsid w:val="00A7124D"/>
    <w:rsid w:val="00A73951"/>
    <w:rsid w:val="00A76AB9"/>
    <w:rsid w:val="00A770A0"/>
    <w:rsid w:val="00A8189F"/>
    <w:rsid w:val="00A81C31"/>
    <w:rsid w:val="00A87996"/>
    <w:rsid w:val="00A90718"/>
    <w:rsid w:val="00A91EF3"/>
    <w:rsid w:val="00A94001"/>
    <w:rsid w:val="00A97EAC"/>
    <w:rsid w:val="00AA145D"/>
    <w:rsid w:val="00AB15FA"/>
    <w:rsid w:val="00AB3935"/>
    <w:rsid w:val="00AC2564"/>
    <w:rsid w:val="00AC3AF0"/>
    <w:rsid w:val="00AC505B"/>
    <w:rsid w:val="00AC666E"/>
    <w:rsid w:val="00AD0CDF"/>
    <w:rsid w:val="00AD60AB"/>
    <w:rsid w:val="00AE15A4"/>
    <w:rsid w:val="00AE3AA7"/>
    <w:rsid w:val="00AE4A6C"/>
    <w:rsid w:val="00B02748"/>
    <w:rsid w:val="00B03D26"/>
    <w:rsid w:val="00B12118"/>
    <w:rsid w:val="00B133BB"/>
    <w:rsid w:val="00B175FE"/>
    <w:rsid w:val="00B2219A"/>
    <w:rsid w:val="00B25ACD"/>
    <w:rsid w:val="00B33BCC"/>
    <w:rsid w:val="00B36694"/>
    <w:rsid w:val="00B4009F"/>
    <w:rsid w:val="00B42BF9"/>
    <w:rsid w:val="00B46428"/>
    <w:rsid w:val="00B464AC"/>
    <w:rsid w:val="00B53651"/>
    <w:rsid w:val="00B55D3E"/>
    <w:rsid w:val="00B6076F"/>
    <w:rsid w:val="00B6770E"/>
    <w:rsid w:val="00B715BE"/>
    <w:rsid w:val="00B7495D"/>
    <w:rsid w:val="00B752AE"/>
    <w:rsid w:val="00B7592A"/>
    <w:rsid w:val="00B81041"/>
    <w:rsid w:val="00B83777"/>
    <w:rsid w:val="00B8487D"/>
    <w:rsid w:val="00B84B0B"/>
    <w:rsid w:val="00B85A64"/>
    <w:rsid w:val="00B87AA2"/>
    <w:rsid w:val="00B90417"/>
    <w:rsid w:val="00B96BE5"/>
    <w:rsid w:val="00B97DB0"/>
    <w:rsid w:val="00BA085F"/>
    <w:rsid w:val="00BA3CBC"/>
    <w:rsid w:val="00BA3E27"/>
    <w:rsid w:val="00BA3E2C"/>
    <w:rsid w:val="00BB05D5"/>
    <w:rsid w:val="00BB2CEE"/>
    <w:rsid w:val="00BB4B6F"/>
    <w:rsid w:val="00BB563F"/>
    <w:rsid w:val="00BB7023"/>
    <w:rsid w:val="00BC15DA"/>
    <w:rsid w:val="00BD1C70"/>
    <w:rsid w:val="00BD3831"/>
    <w:rsid w:val="00BD54D9"/>
    <w:rsid w:val="00BD770D"/>
    <w:rsid w:val="00BE41F7"/>
    <w:rsid w:val="00BF0642"/>
    <w:rsid w:val="00BF5AF4"/>
    <w:rsid w:val="00C0327B"/>
    <w:rsid w:val="00C04006"/>
    <w:rsid w:val="00C065D3"/>
    <w:rsid w:val="00C07DF1"/>
    <w:rsid w:val="00C12996"/>
    <w:rsid w:val="00C142F3"/>
    <w:rsid w:val="00C20E03"/>
    <w:rsid w:val="00C21B78"/>
    <w:rsid w:val="00C23C5E"/>
    <w:rsid w:val="00C24E3A"/>
    <w:rsid w:val="00C31F41"/>
    <w:rsid w:val="00C37848"/>
    <w:rsid w:val="00C41D6A"/>
    <w:rsid w:val="00C41DFE"/>
    <w:rsid w:val="00C44053"/>
    <w:rsid w:val="00C44F63"/>
    <w:rsid w:val="00C45485"/>
    <w:rsid w:val="00C46D10"/>
    <w:rsid w:val="00C51D2E"/>
    <w:rsid w:val="00C521A3"/>
    <w:rsid w:val="00C52980"/>
    <w:rsid w:val="00C53427"/>
    <w:rsid w:val="00C53D46"/>
    <w:rsid w:val="00C53F58"/>
    <w:rsid w:val="00C547D3"/>
    <w:rsid w:val="00C604EB"/>
    <w:rsid w:val="00C609C4"/>
    <w:rsid w:val="00C62663"/>
    <w:rsid w:val="00C64BE2"/>
    <w:rsid w:val="00C67393"/>
    <w:rsid w:val="00C73FFA"/>
    <w:rsid w:val="00C744A8"/>
    <w:rsid w:val="00C74544"/>
    <w:rsid w:val="00C83C6D"/>
    <w:rsid w:val="00C86B50"/>
    <w:rsid w:val="00C86E48"/>
    <w:rsid w:val="00C9097D"/>
    <w:rsid w:val="00CA7346"/>
    <w:rsid w:val="00CB19B8"/>
    <w:rsid w:val="00CB345A"/>
    <w:rsid w:val="00CC0873"/>
    <w:rsid w:val="00CC47BE"/>
    <w:rsid w:val="00CE38A0"/>
    <w:rsid w:val="00CE4DE2"/>
    <w:rsid w:val="00CF0815"/>
    <w:rsid w:val="00CF3682"/>
    <w:rsid w:val="00CF5A87"/>
    <w:rsid w:val="00D009F5"/>
    <w:rsid w:val="00D03E64"/>
    <w:rsid w:val="00D052E1"/>
    <w:rsid w:val="00D06D76"/>
    <w:rsid w:val="00D11D9B"/>
    <w:rsid w:val="00D2505F"/>
    <w:rsid w:val="00D2618A"/>
    <w:rsid w:val="00D27182"/>
    <w:rsid w:val="00D339C4"/>
    <w:rsid w:val="00D33D6A"/>
    <w:rsid w:val="00D350CE"/>
    <w:rsid w:val="00D44305"/>
    <w:rsid w:val="00D50303"/>
    <w:rsid w:val="00D55383"/>
    <w:rsid w:val="00D55B9C"/>
    <w:rsid w:val="00D60280"/>
    <w:rsid w:val="00D6199A"/>
    <w:rsid w:val="00D64D96"/>
    <w:rsid w:val="00D654B5"/>
    <w:rsid w:val="00D66EA3"/>
    <w:rsid w:val="00D74497"/>
    <w:rsid w:val="00D86B31"/>
    <w:rsid w:val="00D92D7E"/>
    <w:rsid w:val="00D9700C"/>
    <w:rsid w:val="00D97FF4"/>
    <w:rsid w:val="00DA1AE2"/>
    <w:rsid w:val="00DA35A8"/>
    <w:rsid w:val="00DA3C7C"/>
    <w:rsid w:val="00DA4287"/>
    <w:rsid w:val="00DA573B"/>
    <w:rsid w:val="00DB436A"/>
    <w:rsid w:val="00DD414D"/>
    <w:rsid w:val="00DD510B"/>
    <w:rsid w:val="00DD67DF"/>
    <w:rsid w:val="00DE076F"/>
    <w:rsid w:val="00DE1DF8"/>
    <w:rsid w:val="00DE33F5"/>
    <w:rsid w:val="00DE643D"/>
    <w:rsid w:val="00E004C7"/>
    <w:rsid w:val="00E05A8D"/>
    <w:rsid w:val="00E12F02"/>
    <w:rsid w:val="00E131D0"/>
    <w:rsid w:val="00E266AB"/>
    <w:rsid w:val="00E26E53"/>
    <w:rsid w:val="00E30A4A"/>
    <w:rsid w:val="00E333B7"/>
    <w:rsid w:val="00E3418F"/>
    <w:rsid w:val="00E34639"/>
    <w:rsid w:val="00E36072"/>
    <w:rsid w:val="00E40D27"/>
    <w:rsid w:val="00E410EC"/>
    <w:rsid w:val="00E51FF0"/>
    <w:rsid w:val="00E5309A"/>
    <w:rsid w:val="00E54DCE"/>
    <w:rsid w:val="00E5678C"/>
    <w:rsid w:val="00E57C4A"/>
    <w:rsid w:val="00E60B68"/>
    <w:rsid w:val="00E617BE"/>
    <w:rsid w:val="00E63747"/>
    <w:rsid w:val="00E70281"/>
    <w:rsid w:val="00E711C6"/>
    <w:rsid w:val="00E82F41"/>
    <w:rsid w:val="00E87BBD"/>
    <w:rsid w:val="00E92B0A"/>
    <w:rsid w:val="00E92EAD"/>
    <w:rsid w:val="00E952CE"/>
    <w:rsid w:val="00E96CFC"/>
    <w:rsid w:val="00EA0040"/>
    <w:rsid w:val="00EA0917"/>
    <w:rsid w:val="00EA1750"/>
    <w:rsid w:val="00EA3017"/>
    <w:rsid w:val="00EA7EBA"/>
    <w:rsid w:val="00EB1E4E"/>
    <w:rsid w:val="00EC1356"/>
    <w:rsid w:val="00EC55C3"/>
    <w:rsid w:val="00EC649C"/>
    <w:rsid w:val="00EC67EF"/>
    <w:rsid w:val="00EC7367"/>
    <w:rsid w:val="00ED1BDC"/>
    <w:rsid w:val="00EE07AC"/>
    <w:rsid w:val="00EE15A8"/>
    <w:rsid w:val="00EE3580"/>
    <w:rsid w:val="00EE4034"/>
    <w:rsid w:val="00EE51E9"/>
    <w:rsid w:val="00EE56B8"/>
    <w:rsid w:val="00EE7105"/>
    <w:rsid w:val="00EF3807"/>
    <w:rsid w:val="00EF5450"/>
    <w:rsid w:val="00EF69F7"/>
    <w:rsid w:val="00F00502"/>
    <w:rsid w:val="00F026EF"/>
    <w:rsid w:val="00F07481"/>
    <w:rsid w:val="00F107F5"/>
    <w:rsid w:val="00F128E2"/>
    <w:rsid w:val="00F1656D"/>
    <w:rsid w:val="00F2205E"/>
    <w:rsid w:val="00F25559"/>
    <w:rsid w:val="00F27E7E"/>
    <w:rsid w:val="00F31291"/>
    <w:rsid w:val="00F3503D"/>
    <w:rsid w:val="00F37390"/>
    <w:rsid w:val="00F37F09"/>
    <w:rsid w:val="00F42A53"/>
    <w:rsid w:val="00F430F7"/>
    <w:rsid w:val="00F44529"/>
    <w:rsid w:val="00F45A2E"/>
    <w:rsid w:val="00F46A6C"/>
    <w:rsid w:val="00F4748F"/>
    <w:rsid w:val="00F6197D"/>
    <w:rsid w:val="00F61AEA"/>
    <w:rsid w:val="00F63900"/>
    <w:rsid w:val="00F653C1"/>
    <w:rsid w:val="00F66AA6"/>
    <w:rsid w:val="00F67CF6"/>
    <w:rsid w:val="00F7031A"/>
    <w:rsid w:val="00F76840"/>
    <w:rsid w:val="00F80A1E"/>
    <w:rsid w:val="00F81C98"/>
    <w:rsid w:val="00F82670"/>
    <w:rsid w:val="00F85E1E"/>
    <w:rsid w:val="00F87BCC"/>
    <w:rsid w:val="00F9334E"/>
    <w:rsid w:val="00FA0416"/>
    <w:rsid w:val="00FA1DAB"/>
    <w:rsid w:val="00FA1E1C"/>
    <w:rsid w:val="00FA5CE6"/>
    <w:rsid w:val="00FA6DBE"/>
    <w:rsid w:val="00FC0AEF"/>
    <w:rsid w:val="00FC4BDB"/>
    <w:rsid w:val="00FC74A2"/>
    <w:rsid w:val="00FD0CE0"/>
    <w:rsid w:val="00FD24D9"/>
    <w:rsid w:val="00FD5A3E"/>
    <w:rsid w:val="00FD5AA5"/>
    <w:rsid w:val="00FD68F7"/>
    <w:rsid w:val="00FE2542"/>
    <w:rsid w:val="00FE72F4"/>
    <w:rsid w:val="00FE7B12"/>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D24D0"/>
  <w15:chartTrackingRefBased/>
  <w15:docId w15:val="{BCBEFCF0-841B-4344-9FE0-7BDEFEFF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uiPriority w:val="34"/>
    <w:qFormat/>
    <w:rsid w:val="0029042F"/>
    <w:pPr>
      <w:ind w:left="720"/>
      <w:contextualSpacing/>
    </w:pPr>
  </w:style>
  <w:style w:type="paragraph" w:styleId="NormalWeb">
    <w:name w:val="Normal (Web)"/>
    <w:basedOn w:val="Normal"/>
    <w:uiPriority w:val="99"/>
    <w:rsid w:val="00192529"/>
    <w:pPr>
      <w:spacing w:before="100" w:beforeAutospacing="1" w:after="100" w:afterAutospacing="1"/>
    </w:pPr>
    <w:rPr>
      <w:rFonts w:ascii="Trebuchet MS" w:hAnsi="Trebuchet MS"/>
      <w:color w:val="444444"/>
      <w:sz w:val="20"/>
      <w:szCs w:val="20"/>
    </w:rPr>
  </w:style>
  <w:style w:type="character" w:customStyle="1" w:styleId="whuggins">
    <w:name w:val="whuggins"/>
    <w:semiHidden/>
    <w:rsid w:val="005443EF"/>
    <w:rPr>
      <w:rFonts w:ascii="Arial" w:hAnsi="Arial" w:cs="Arial"/>
      <w:color w:val="000080"/>
      <w:sz w:val="20"/>
      <w:szCs w:val="20"/>
    </w:rPr>
  </w:style>
  <w:style w:type="character" w:styleId="Strong">
    <w:name w:val="Strong"/>
    <w:uiPriority w:val="22"/>
    <w:qFormat/>
    <w:rsid w:val="0014724B"/>
    <w:rPr>
      <w:b/>
      <w:bCs/>
    </w:rPr>
  </w:style>
  <w:style w:type="paragraph" w:styleId="Revision">
    <w:name w:val="Revision"/>
    <w:hidden/>
    <w:uiPriority w:val="99"/>
    <w:semiHidden/>
    <w:rsid w:val="00C86B50"/>
    <w:rPr>
      <w:sz w:val="24"/>
      <w:szCs w:val="24"/>
    </w:rPr>
  </w:style>
  <w:style w:type="character" w:styleId="UnresolvedMention">
    <w:name w:val="Unresolved Mention"/>
    <w:basedOn w:val="DefaultParagraphFont"/>
    <w:uiPriority w:val="99"/>
    <w:semiHidden/>
    <w:unhideWhenUsed/>
    <w:rsid w:val="00F8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1693">
      <w:bodyDiv w:val="1"/>
      <w:marLeft w:val="0"/>
      <w:marRight w:val="0"/>
      <w:marTop w:val="0"/>
      <w:marBottom w:val="0"/>
      <w:divBdr>
        <w:top w:val="none" w:sz="0" w:space="0" w:color="auto"/>
        <w:left w:val="none" w:sz="0" w:space="0" w:color="auto"/>
        <w:bottom w:val="none" w:sz="0" w:space="0" w:color="auto"/>
        <w:right w:val="none" w:sz="0" w:space="0" w:color="auto"/>
      </w:divBdr>
    </w:div>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96026986">
      <w:bodyDiv w:val="1"/>
      <w:marLeft w:val="0"/>
      <w:marRight w:val="0"/>
      <w:marTop w:val="0"/>
      <w:marBottom w:val="0"/>
      <w:divBdr>
        <w:top w:val="none" w:sz="0" w:space="0" w:color="auto"/>
        <w:left w:val="none" w:sz="0" w:space="0" w:color="auto"/>
        <w:bottom w:val="none" w:sz="0" w:space="0" w:color="auto"/>
        <w:right w:val="none" w:sz="0" w:space="0" w:color="auto"/>
      </w:divBdr>
    </w:div>
    <w:div w:id="98255850">
      <w:bodyDiv w:val="1"/>
      <w:marLeft w:val="0"/>
      <w:marRight w:val="0"/>
      <w:marTop w:val="0"/>
      <w:marBottom w:val="0"/>
      <w:divBdr>
        <w:top w:val="none" w:sz="0" w:space="0" w:color="auto"/>
        <w:left w:val="none" w:sz="0" w:space="0" w:color="auto"/>
        <w:bottom w:val="none" w:sz="0" w:space="0" w:color="auto"/>
        <w:right w:val="none" w:sz="0" w:space="0" w:color="auto"/>
      </w:divBdr>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6158">
      <w:bodyDiv w:val="1"/>
      <w:marLeft w:val="0"/>
      <w:marRight w:val="0"/>
      <w:marTop w:val="0"/>
      <w:marBottom w:val="0"/>
      <w:divBdr>
        <w:top w:val="none" w:sz="0" w:space="0" w:color="auto"/>
        <w:left w:val="none" w:sz="0" w:space="0" w:color="auto"/>
        <w:bottom w:val="none" w:sz="0" w:space="0" w:color="auto"/>
        <w:right w:val="none" w:sz="0" w:space="0" w:color="auto"/>
      </w:divBdr>
      <w:divsChild>
        <w:div w:id="756826007">
          <w:marLeft w:val="-225"/>
          <w:marRight w:val="-225"/>
          <w:marTop w:val="0"/>
          <w:marBottom w:val="0"/>
          <w:divBdr>
            <w:top w:val="none" w:sz="0" w:space="0" w:color="auto"/>
            <w:left w:val="none" w:sz="0" w:space="0" w:color="auto"/>
            <w:bottom w:val="none" w:sz="0" w:space="0" w:color="auto"/>
            <w:right w:val="none" w:sz="0" w:space="0" w:color="auto"/>
          </w:divBdr>
          <w:divsChild>
            <w:div w:id="979380722">
              <w:marLeft w:val="0"/>
              <w:marRight w:val="0"/>
              <w:marTop w:val="0"/>
              <w:marBottom w:val="0"/>
              <w:divBdr>
                <w:top w:val="none" w:sz="0" w:space="0" w:color="auto"/>
                <w:left w:val="none" w:sz="0" w:space="0" w:color="auto"/>
                <w:bottom w:val="none" w:sz="0" w:space="0" w:color="auto"/>
                <w:right w:val="none" w:sz="0" w:space="0" w:color="auto"/>
              </w:divBdr>
              <w:divsChild>
                <w:div w:id="1001737139">
                  <w:marLeft w:val="0"/>
                  <w:marRight w:val="0"/>
                  <w:marTop w:val="0"/>
                  <w:marBottom w:val="0"/>
                  <w:divBdr>
                    <w:top w:val="none" w:sz="0" w:space="0" w:color="auto"/>
                    <w:left w:val="none" w:sz="0" w:space="0" w:color="auto"/>
                    <w:bottom w:val="none" w:sz="0" w:space="0" w:color="auto"/>
                    <w:right w:val="none" w:sz="0" w:space="0" w:color="auto"/>
                  </w:divBdr>
                  <w:divsChild>
                    <w:div w:id="1941255580">
                      <w:marLeft w:val="0"/>
                      <w:marRight w:val="0"/>
                      <w:marTop w:val="0"/>
                      <w:marBottom w:val="0"/>
                      <w:divBdr>
                        <w:top w:val="none" w:sz="0" w:space="0" w:color="auto"/>
                        <w:left w:val="none" w:sz="0" w:space="0" w:color="auto"/>
                        <w:bottom w:val="none" w:sz="0" w:space="0" w:color="auto"/>
                        <w:right w:val="none" w:sz="0" w:space="0" w:color="auto"/>
                      </w:divBdr>
                      <w:divsChild>
                        <w:div w:id="1787236089">
                          <w:marLeft w:val="0"/>
                          <w:marRight w:val="0"/>
                          <w:marTop w:val="0"/>
                          <w:marBottom w:val="0"/>
                          <w:divBdr>
                            <w:top w:val="none" w:sz="0" w:space="0" w:color="auto"/>
                            <w:left w:val="none" w:sz="0" w:space="0" w:color="auto"/>
                            <w:bottom w:val="none" w:sz="0" w:space="0" w:color="auto"/>
                            <w:right w:val="none" w:sz="0" w:space="0" w:color="auto"/>
                          </w:divBdr>
                          <w:divsChild>
                            <w:div w:id="1197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henxtoolkit.org/toolkit_content/supplemental_info/scd_core_tier_1/measures/Sickle_Cell_Disease_Case_Definition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RTI International</Company>
  <LinksUpToDate>false</LinksUpToDate>
  <CharactersWithSpaces>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Huggins, Wayne</dc:creator>
  <cp:keywords/>
  <dc:description/>
  <cp:lastModifiedBy>Williams, David</cp:lastModifiedBy>
  <cp:revision>8</cp:revision>
  <cp:lastPrinted>2016-11-18T13:56:00Z</cp:lastPrinted>
  <dcterms:created xsi:type="dcterms:W3CDTF">2023-04-20T14:21:00Z</dcterms:created>
  <dcterms:modified xsi:type="dcterms:W3CDTF">2023-10-18T21:04:00Z</dcterms:modified>
  <cp:category/>
</cp:coreProperties>
</file>