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Anthropometrics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Parental Weight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Weight of the survey participant's biological parents 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</w:rPr>
              <w:t xml:space="preserve">Parent or knowledgeable proxy respondent-provided parental weight information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768" w:type="dxa"/>
              <w:jc w:val="left"/>
              <w:tblInd w:w="-22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582"/>
              <w:gridCol w:w="3093"/>
              <w:gridCol w:w="3093"/>
            </w:tblGrid>
            <w:tr>
              <w:trPr/>
              <w:tc>
                <w:tcPr>
                  <w:tcW w:w="582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C2. </w:t>
                  </w:r>
                </w:p>
              </w:tc>
              <w:tc>
                <w:tcPr>
                  <w:tcW w:w="309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How much (does ___’s mother/do you) weigh?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>IF PREGNANT, RECORD WEIGHT BEFORE PREGNANCY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309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ab/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_____________pounds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or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>__________kilograms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bottom"/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bottom"/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999 DK 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C4. </w:t>
                  </w:r>
                </w:p>
              </w:tc>
              <w:tc>
                <w:tcPr>
                  <w:tcW w:w="309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How much (does ___’s father/do you) weigh?</w:t>
                  </w:r>
                </w:p>
              </w:tc>
              <w:tc>
                <w:tcPr>
                  <w:tcW w:w="309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ab/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_____________pounds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or 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>__________kilograms</w:t>
                  </w:r>
                </w:p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/>
              <w:tc>
                <w:tcPr>
                  <w:tcW w:w="582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bottom"/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93" w:type="dxa"/>
                  <w:tcBorders>
                    <w:top w:val="thickThinLargeGap" w:sz="6" w:space="0" w:color="C0C0C0"/>
                    <w:left w:val="thickThinLargeGap" w:sz="6" w:space="0" w:color="C0C0C0"/>
                    <w:bottom w:val="thickThinLargeGap" w:sz="6" w:space="0" w:color="C0C0C0"/>
                    <w:right w:val="thickThinLargeGap" w:sz="6" w:space="0" w:color="C0C0C0"/>
                  </w:tcBorders>
                  <w:vAlign w:val="bottom"/>
                </w:tcPr>
                <w:p>
                  <w:pPr>
                    <w:pStyle w:val="Normal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999 DK 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A proxy respondent (usually a parent) should provide this information for survey participants less than 17 years of age.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/>
            </w:pPr>
            <w:r>
              <w:rPr>
                <w:rFonts w:cs="Arial" w:ascii="Arial" w:hAnsi="Arial"/>
                <w:sz w:val="22"/>
                <w:szCs w:val="22"/>
              </w:rPr>
              <w:t>Plan and Operation of the Third National Health and Nutrition Examination Survey 1988–94 (p. 116)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Question numbers: C2, C4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hyperlink r:id="rId2">
              <w:r>
                <w:rPr>
                  <w:rStyle w:val="InternetLink"/>
                  <w:rFonts w:cs="Arial" w:ascii="Arial" w:hAnsi="Arial"/>
                  <w:sz w:val="20"/>
                  <w:szCs w:val="20"/>
                </w:rPr>
                <w:t>http://www.cdc.gov/nchs/data/series/sr_01/sr01_032.pdf</w:t>
              </w:r>
            </w:hyperlink>
          </w:p>
        </w:tc>
      </w:tr>
      <w:tr>
        <w:trPr>
          <w:trHeight w:val="703" w:hRule="atLeast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Interviewers should be familiar with administering questionnaires to study participants.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Process and Review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The </w:t>
            </w:r>
            <w:hyperlink r:id="rId3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Expert Review Panel #1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 reviewed the measures in the Anthropometrics, Diabetes, Physical Activity and Physical Fitness, and Nutrition and Dietary Supplements domains.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ind w:firstLine="26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Guidance from the ERP includes: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No significant changes to measure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Footer"/>
      <w:jc w:val="center"/>
      <w:rPr/>
    </w:pPr>
    <w:r>
      <w:rPr>
        <w:rStyle w:val="StrongEmphasis"/>
        <w:rFonts w:cs="Arial" w:ascii="Arial" w:hAnsi="Arial"/>
        <w:sz w:val="20"/>
        <w:szCs w:val="20"/>
      </w:rPr>
      <w:t>Parental Weight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Anthropometrics</w:t>
    </w:r>
  </w:p>
  <w:p>
    <w:pPr>
      <w:pStyle w:val="Normal"/>
      <w:rPr/>
    </w:pPr>
    <w:r>
      <w:rPr>
        <w:rFonts w:cs="Arial" w:ascii="Arial" w:hAnsi="Arial"/>
        <w:b/>
        <w:sz w:val="20"/>
        <w:szCs w:val="20"/>
      </w:rPr>
      <w:t xml:space="preserve">Release Date: 10/1/15 </w:t>
      <w:tab/>
    </w:r>
  </w:p>
  <w:p>
    <w:pPr>
      <w:pStyle w:val="Normal"/>
      <w:rPr/>
    </w:pPr>
    <w:r>
      <w:rPr>
        <w:rStyle w:val="StrongEmphasis"/>
        <w:rFonts w:cs="Arial" w:ascii="Arial" w:hAnsi="Arial"/>
        <w:sz w:val="20"/>
        <w:szCs w:val="20"/>
      </w:rPr>
      <w:t>Parental Weight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86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dc.gov/nchs/data/series/sr_01/sr01_032.pdf" TargetMode="External"/><Relationship Id="rId3" Type="http://schemas.openxmlformats.org/officeDocument/2006/relationships/hyperlink" Target="https://phenx.org/Default.aspx?tabid=872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2015-06-29T17:54:00Z</dcterms:created>
  <dc:creator>whuggins</dc:creator>
  <dc:description/>
  <cp:keywords/>
  <dc:language>en-US</dc:language>
  <cp:lastModifiedBy>Phillips, Michael J.</cp:lastModifiedBy>
  <cp:lastPrinted>2009-03-24T15:13:00Z</cp:lastPrinted>
  <dcterms:modified xsi:type="dcterms:W3CDTF">2015-09-29T19:18:00Z</dcterms:modified>
  <cp:revision>7</cp:revision>
  <dc:subject/>
  <dc:title/>
</cp:coreProperties>
</file>