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9.wmf" ContentType="image/x-wmf"/>
  <Override PartName="/word/media/image13.wmf" ContentType="image/x-wmf"/>
  <Override PartName="/word/media/image15.png" ContentType="image/png"/>
  <Override PartName="/word/media/image14.wmf" ContentType="image/x-wmf"/>
  <Override PartName="/word/media/image1.wmf" ContentType="image/x-wmf"/>
  <Override PartName="/word/media/image2.wmf" ContentType="image/x-wmf"/>
  <Override PartName="/word/media/image3.wmf" ContentType="image/x-wmf"/>
  <Override PartName="/word/media/image4.wmf" ContentType="image/x-wmf"/>
  <Override PartName="/word/media/image5.wmf" ContentType="image/x-wmf"/>
  <Override PartName="/word/media/image10.wmf" ContentType="image/x-wmf"/>
  <Override PartName="/word/media/image6.wmf" ContentType="image/x-wmf"/>
  <Override PartName="/word/media/image11.wmf" ContentType="image/x-wmf"/>
  <Override PartName="/word/media/image7.wmf" ContentType="image/x-wmf"/>
  <Override PartName="/word/media/image12.wmf" ContentType="image/x-wmf"/>
  <Override PartName="/word/media/image8.wmf" ContentType="image/x-wmf"/>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ind w:left="-720" w:right="-432" w:hanging="0"/>
        <w:contextualSpacing/>
        <w:rPr>
          <w:b/>
          <w:b/>
        </w:rPr>
      </w:pPr>
      <w:r>
        <w:rPr>
          <w:b/>
        </w:rPr>
      </w:r>
    </w:p>
    <w:tbl>
      <w:tblPr>
        <w:tblW w:w="9360" w:type="dxa"/>
        <w:jc w:val="center"/>
        <w:tblInd w:w="0" w:type="dxa"/>
        <w:tblLayout w:type="fixed"/>
        <w:tblCellMar>
          <w:top w:w="115" w:type="dxa"/>
          <w:left w:w="115" w:type="dxa"/>
          <w:bottom w:w="115" w:type="dxa"/>
          <w:right w:w="115" w:type="dxa"/>
        </w:tblCellMar>
      </w:tblPr>
      <w:tblGrid>
        <w:gridCol w:w="2304"/>
        <w:gridCol w:w="7056"/>
      </w:tblGrid>
      <w:tr>
        <w:trPr/>
        <w:tc>
          <w:tcPr>
            <w:tcW w:w="936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0"/>
              <w:ind w:left="120" w:hanging="0"/>
              <w:contextualSpacing/>
              <w:jc w:val="center"/>
              <w:rPr>
                <w:rFonts w:ascii="Arial" w:hAnsi="Arial" w:cs="Arial"/>
                <w:b/>
                <w:b/>
                <w:sz w:val="22"/>
                <w:szCs w:val="22"/>
              </w:rPr>
            </w:pPr>
            <w:r>
              <w:rPr>
                <w:rFonts w:cs="Arial" w:ascii="Arial" w:hAnsi="Arial"/>
                <w:b/>
                <w:sz w:val="22"/>
                <w:szCs w:val="22"/>
              </w:rPr>
              <w:t xml:space="preserve">About the Measure </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14"/>
                <w:szCs w:val="14"/>
              </w:rPr>
            </w:pPr>
            <w:r>
              <w:rPr>
                <w:rFonts w:cs="Arial" w:ascii="Arial" w:hAnsi="Arial"/>
                <w:b/>
                <w:sz w:val="22"/>
                <w:szCs w:val="22"/>
              </w:rPr>
              <w:t>Domain</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Anthropometrics</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Measure</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Sagittal Abdominal Diameter</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Definition</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Measurement to estimate fat located inside the peritoneal cavity (visceral adipose tissue)</w:t>
            </w:r>
          </w:p>
        </w:tc>
      </w:tr>
    </w:tbl>
    <w:p>
      <w:pPr>
        <w:pStyle w:val="Normal"/>
        <w:spacing w:before="0" w:after="0"/>
        <w:contextualSpacing/>
        <w:rPr>
          <w:rFonts w:ascii="Arial" w:hAnsi="Arial" w:cs="Arial"/>
          <w:b/>
          <w:b/>
          <w:sz w:val="22"/>
          <w:szCs w:val="22"/>
        </w:rPr>
      </w:pPr>
      <w:r>
        <w:rPr>
          <w:rFonts w:cs="Arial" w:ascii="Arial" w:hAnsi="Arial"/>
          <w:b/>
          <w:sz w:val="22"/>
          <w:szCs w:val="22"/>
        </w:rPr>
      </w:r>
    </w:p>
    <w:tbl>
      <w:tblPr>
        <w:tblW w:w="9360" w:type="dxa"/>
        <w:jc w:val="center"/>
        <w:tblInd w:w="0" w:type="dxa"/>
        <w:tblLayout w:type="fixed"/>
        <w:tblCellMar>
          <w:top w:w="115" w:type="dxa"/>
          <w:left w:w="115" w:type="dxa"/>
          <w:bottom w:w="115" w:type="dxa"/>
          <w:right w:w="115" w:type="dxa"/>
        </w:tblCellMar>
      </w:tblPr>
      <w:tblGrid>
        <w:gridCol w:w="2304"/>
        <w:gridCol w:w="7056"/>
      </w:tblGrid>
      <w:tr>
        <w:trPr/>
        <w:tc>
          <w:tcPr>
            <w:tcW w:w="9360" w:type="dxa"/>
            <w:gridSpan w:val="2"/>
            <w:tcBorders>
              <w:top w:val="single" w:sz="4" w:space="0" w:color="000000"/>
              <w:left w:val="single" w:sz="4" w:space="0" w:color="000000"/>
              <w:bottom w:val="single" w:sz="4" w:space="0" w:color="000000"/>
              <w:right w:val="single" w:sz="4" w:space="0" w:color="000000"/>
            </w:tcBorders>
          </w:tcPr>
          <w:p>
            <w:pPr>
              <w:pStyle w:val="Normal"/>
              <w:spacing w:before="0" w:after="0"/>
              <w:ind w:left="120" w:hanging="0"/>
              <w:contextualSpacing/>
              <w:jc w:val="center"/>
              <w:rPr>
                <w:rFonts w:ascii="Arial" w:hAnsi="Arial" w:cs="Arial"/>
                <w:b/>
                <w:b/>
                <w:sz w:val="22"/>
                <w:szCs w:val="22"/>
              </w:rPr>
            </w:pPr>
            <w:r>
              <w:rPr>
                <w:rFonts w:cs="Arial" w:ascii="Arial" w:hAnsi="Arial"/>
                <w:b/>
                <w:sz w:val="22"/>
                <w:szCs w:val="22"/>
              </w:rPr>
              <w:t>About the Protocol</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Description of Protocol</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Measurement of the study subject’s abdominal diameter using abdominal calipers with the study subject lying in a supine position</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Protocol text</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Cs/>
                <w:color w:val="000000"/>
                <w:sz w:val="22"/>
                <w:szCs w:val="22"/>
              </w:rPr>
            </w:pPr>
            <w:r>
              <w:rPr>
                <w:rFonts w:eastAsia="Arial" w:cs="Arial" w:ascii="Arial" w:hAnsi="Arial"/>
                <w:bCs/>
                <w:color w:val="000000"/>
                <w:sz w:val="22"/>
                <w:szCs w:val="22"/>
              </w:rPr>
              <w:t xml:space="preserve"> </w:t>
            </w:r>
            <w:r>
              <w:rPr>
                <w:rFonts w:cs="Arial" w:ascii="Arial" w:hAnsi="Arial"/>
                <w:bCs/>
                <w:color w:val="000000"/>
                <w:sz w:val="22"/>
                <w:szCs w:val="22"/>
              </w:rPr>
              <w:t>(NHANES 2013)</w:t>
            </w:r>
          </w:p>
          <w:p>
            <w:pPr>
              <w:pStyle w:val="Normal"/>
              <w:autoSpaceDE w:val="false"/>
              <w:rPr/>
            </w:pPr>
            <w:r>
              <w:rPr>
                <w:rFonts w:cs="Arial" w:ascii="Arial" w:hAnsi="Arial"/>
                <w:color w:val="000000"/>
                <w:sz w:val="22"/>
                <w:szCs w:val="22"/>
              </w:rPr>
              <w:t xml:space="preserve">The sagittal abdominal diameter will be measured when the sample person (SP) is in the supine position on the examination table. Participants aged 8 years and older (except for pregnant women) will have this measurement taken. An abdominal caliper will be used to establish the external distance between the front of the abdomen and the small of the back at the iliac level line. Before the measurement, the examiner will provide a brief introduction to this measurement, such as: </w:t>
            </w:r>
          </w:p>
          <w:p>
            <w:pPr>
              <w:pStyle w:val="Normal"/>
              <w:autoSpaceDE w:val="false"/>
              <w:rPr>
                <w:rFonts w:ascii="Arial" w:hAnsi="Arial" w:cs="Arial"/>
                <w:color w:val="000000"/>
                <w:sz w:val="22"/>
                <w:szCs w:val="22"/>
              </w:rPr>
            </w:pPr>
            <w:r>
              <w:rPr>
                <w:rFonts w:cs="Arial" w:ascii="Arial" w:hAnsi="Arial"/>
                <w:color w:val="000000"/>
                <w:sz w:val="22"/>
                <w:szCs w:val="22"/>
              </w:rPr>
              <w:t>“</w:t>
            </w:r>
            <w:r>
              <w:rPr>
                <w:rFonts w:cs="Arial" w:ascii="Arial" w:hAnsi="Arial"/>
                <w:color w:val="000000"/>
                <w:sz w:val="22"/>
                <w:szCs w:val="22"/>
              </w:rPr>
              <w:t xml:space="preserve">Next, I am going to take a measurement on your abdomen. I will ask you to lie down on the table with your knees bent and feet flat. After I make a mark on your front abdomen, I will use a caliper to measure the distance between your back and your upper abdomen.” </w:t>
            </w:r>
          </w:p>
          <w:p>
            <w:pPr>
              <w:pStyle w:val="Normal"/>
              <w:autoSpaceDE w:val="false"/>
              <w:rPr>
                <w:rFonts w:ascii="Arial" w:hAnsi="Arial" w:cs="Arial"/>
                <w:color w:val="000000"/>
                <w:sz w:val="20"/>
                <w:szCs w:val="20"/>
              </w:rPr>
            </w:pPr>
            <w:r>
              <w:rPr>
                <w:rFonts w:cs="Arial" w:ascii="Arial" w:hAnsi="Arial"/>
                <w:color w:val="000000"/>
                <w:sz w:val="20"/>
                <w:szCs w:val="20"/>
              </w:rPr>
            </w:r>
          </w:p>
          <w:p>
            <w:pPr>
              <w:pStyle w:val="Normal"/>
              <w:autoSpaceDE w:val="false"/>
              <w:rPr/>
            </w:pPr>
            <w:r>
              <w:rPr>
                <w:rFonts w:cs="Arial" w:ascii="Arial" w:hAnsi="Arial"/>
                <w:color w:val="000000"/>
                <w:sz w:val="20"/>
                <w:szCs w:val="20"/>
              </w:rPr>
              <w:t xml:space="preserve">1. </w:t>
            </w:r>
            <w:r>
              <w:rPr>
                <w:rFonts w:cs="Arial" w:ascii="Arial" w:hAnsi="Arial"/>
                <w:b/>
                <w:bCs/>
                <w:color w:val="000000"/>
                <w:sz w:val="22"/>
                <w:szCs w:val="22"/>
              </w:rPr>
              <w:t xml:space="preserve">Position the SP: </w:t>
            </w:r>
            <w:r>
              <w:rPr>
                <w:rFonts w:cs="Arial" w:ascii="Arial" w:hAnsi="Arial"/>
                <w:color w:val="000000"/>
                <w:sz w:val="22"/>
                <w:szCs w:val="22"/>
              </w:rPr>
              <w:t xml:space="preserve">Direct the SP to lie down on the table with the head facing the back mirror and the feet toward the wall. The SP can use a step stool to get on the table. Ask the SP to bend his or her knees at a 90˚ angle, feet resting flat on the table and arms crossed over the chest (Exhibit 1). A small head pillow is available if it makes the SP more comfortable. </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pPr>
            <w:r>
              <w:rPr>
                <w:rFonts w:cs="Arial" w:ascii="Arial" w:hAnsi="Arial"/>
                <w:color w:val="000000"/>
                <w:sz w:val="22"/>
                <w:szCs w:val="22"/>
              </w:rPr>
              <w:t xml:space="preserve">Exhibit 1. SP positioned at table </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spacing w:before="0" w:after="0"/>
              <w:contextualSpacing/>
              <w:rPr>
                <w:rFonts w:ascii="Arial" w:hAnsi="Arial" w:cs="Arial"/>
                <w:sz w:val="22"/>
                <w:szCs w:val="22"/>
                <w:highlight w:val="yellow"/>
              </w:rPr>
            </w:pPr>
            <w:r>
              <w:rPr>
                <w:rFonts w:cs="Arial" w:ascii="Arial" w:hAnsi="Arial"/>
                <w:sz w:val="22"/>
                <w:szCs w:val="22"/>
                <w:highlight w:val="yellow"/>
              </w:rPr>
              <w:drawing>
                <wp:inline distT="0" distB="0" distL="0" distR="0">
                  <wp:extent cx="4330065" cy="201041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8" t="-17" r="-8" b="-17"/>
                          <a:stretch>
                            <a:fillRect/>
                          </a:stretch>
                        </pic:blipFill>
                        <pic:spPr bwMode="auto">
                          <a:xfrm>
                            <a:off x="0" y="0"/>
                            <a:ext cx="4330065" cy="2010410"/>
                          </a:xfrm>
                          <a:prstGeom prst="rect">
                            <a:avLst/>
                          </a:prstGeom>
                        </pic:spPr>
                      </pic:pic>
                    </a:graphicData>
                  </a:graphic>
                </wp:inline>
              </w:drawing>
            </w:r>
          </w:p>
          <w:p>
            <w:pPr>
              <w:pStyle w:val="Normal"/>
              <w:autoSpaceDE w:val="false"/>
              <w:rPr>
                <w:rFonts w:ascii="Arial" w:hAnsi="Arial" w:cs="Arial"/>
                <w:color w:val="000000"/>
                <w:sz w:val="20"/>
                <w:szCs w:val="20"/>
                <w:highlight w:val="yellow"/>
              </w:rPr>
            </w:pPr>
            <w:r>
              <w:rPr>
                <w:rFonts w:cs="Arial" w:ascii="Arial" w:hAnsi="Arial"/>
                <w:color w:val="000000"/>
                <w:sz w:val="20"/>
                <w:szCs w:val="20"/>
                <w:highlight w:val="yellow"/>
              </w:rPr>
            </w:r>
          </w:p>
          <w:p>
            <w:pPr>
              <w:pStyle w:val="Normal"/>
              <w:autoSpaceDE w:val="false"/>
              <w:rPr>
                <w:rFonts w:ascii="Arial" w:hAnsi="Arial" w:cs="Arial"/>
                <w:color w:val="000000"/>
                <w:sz w:val="22"/>
                <w:szCs w:val="22"/>
              </w:rPr>
            </w:pPr>
            <w:r>
              <w:rPr>
                <w:rFonts w:cs="Arial" w:ascii="Arial" w:hAnsi="Arial"/>
                <w:color w:val="000000"/>
                <w:sz w:val="20"/>
                <w:szCs w:val="20"/>
              </w:rPr>
              <w:t xml:space="preserve">2. </w:t>
            </w:r>
            <w:r>
              <w:rPr>
                <w:rFonts w:cs="Arial" w:ascii="Arial" w:hAnsi="Arial"/>
                <w:b/>
                <w:bCs/>
                <w:color w:val="000000"/>
                <w:sz w:val="22"/>
                <w:szCs w:val="22"/>
              </w:rPr>
              <w:t xml:space="preserve">Mark the measurement site: </w:t>
            </w:r>
            <w:r>
              <w:rPr>
                <w:rFonts w:cs="Arial" w:ascii="Arial" w:hAnsi="Arial"/>
                <w:color w:val="000000"/>
                <w:sz w:val="22"/>
                <w:szCs w:val="22"/>
              </w:rPr>
              <w:t>Locate the right iliac crest at the point where it intersects the midaxillary line. With a cosmetic pencil draw a line perpendicular to the table on the uppermost lateral border of the right ilium (Exhibit 2).</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pPr>
            <w:r>
              <w:rPr>
                <w:rFonts w:cs="Arial" w:ascii="Arial" w:hAnsi="Arial"/>
                <w:color w:val="000000"/>
                <w:sz w:val="22"/>
                <w:szCs w:val="22"/>
              </w:rPr>
              <w:t xml:space="preserve">Exhibit 2. Marking right iliac crest </w:t>
            </w:r>
          </w:p>
          <w:p>
            <w:pPr>
              <w:pStyle w:val="Normal"/>
              <w:spacing w:before="0" w:after="0"/>
              <w:contextualSpacing/>
              <w:rPr>
                <w:rFonts w:ascii="Arial" w:hAnsi="Arial" w:cs="Arial"/>
                <w:sz w:val="22"/>
                <w:szCs w:val="22"/>
                <w:highlight w:val="yellow"/>
              </w:rPr>
            </w:pPr>
            <w:r>
              <w:rPr>
                <w:rFonts w:cs="Arial" w:ascii="Arial" w:hAnsi="Arial"/>
                <w:sz w:val="22"/>
                <w:szCs w:val="22"/>
                <w:highlight w:val="yellow"/>
              </w:rPr>
              <w:drawing>
                <wp:inline distT="0" distB="0" distL="0" distR="0">
                  <wp:extent cx="4295775" cy="198120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8" t="-18" r="-8" b="-18"/>
                          <a:stretch>
                            <a:fillRect/>
                          </a:stretch>
                        </pic:blipFill>
                        <pic:spPr bwMode="auto">
                          <a:xfrm>
                            <a:off x="0" y="0"/>
                            <a:ext cx="4295775" cy="1981200"/>
                          </a:xfrm>
                          <a:prstGeom prst="rect">
                            <a:avLst/>
                          </a:prstGeom>
                        </pic:spPr>
                      </pic:pic>
                    </a:graphicData>
                  </a:graphic>
                </wp:inline>
              </w:drawing>
            </w:r>
          </w:p>
          <w:p>
            <w:pPr>
              <w:pStyle w:val="Normal"/>
              <w:spacing w:before="0" w:after="0"/>
              <w:contextualSpacing/>
              <w:rPr>
                <w:rFonts w:ascii="Arial" w:hAnsi="Arial" w:cs="Arial"/>
                <w:sz w:val="22"/>
                <w:szCs w:val="22"/>
                <w:highlight w:val="yellow"/>
              </w:rPr>
            </w:pPr>
            <w:r>
              <w:rPr>
                <w:rFonts w:cs="Arial" w:ascii="Arial" w:hAnsi="Arial"/>
                <w:sz w:val="22"/>
                <w:szCs w:val="22"/>
                <w:highlight w:val="yellow"/>
              </w:rPr>
            </w:r>
          </w:p>
          <w:p>
            <w:pPr>
              <w:pStyle w:val="Normal"/>
              <w:autoSpaceDE w:val="false"/>
              <w:rPr/>
            </w:pPr>
            <w:r>
              <w:rPr>
                <w:rFonts w:cs="Arial" w:ascii="Arial" w:hAnsi="Arial"/>
                <w:color w:val="000000"/>
                <w:sz w:val="22"/>
                <w:szCs w:val="22"/>
              </w:rPr>
              <w:t xml:space="preserve">Locate the left iliac crest where it also intersects the midaxillary line and extend the measuring tape over the abdomen without compressing the skin from the left iliac crest to the mark on the right iliac crest. The arc of this extended tape should be aligned perpendicular to the table. The recorder will draw a 5 cm horizontal line on the abdomen along the iliac level line. The line should be drawn on the top left edge of the tape (Exhibit 3). </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pPr>
            <w:r>
              <w:rPr>
                <w:rFonts w:cs="Arial" w:ascii="Arial" w:hAnsi="Arial"/>
                <w:color w:val="000000"/>
                <w:sz w:val="22"/>
                <w:szCs w:val="22"/>
              </w:rPr>
              <w:t xml:space="preserve">Exhibit 3. Marking the iliac level line </w:t>
            </w:r>
          </w:p>
          <w:p>
            <w:pPr>
              <w:pStyle w:val="Normal"/>
              <w:autoSpaceDE w:val="false"/>
              <w:rPr>
                <w:rFonts w:ascii="Arial" w:hAnsi="Arial" w:cs="Arial"/>
                <w:color w:val="000000"/>
                <w:sz w:val="22"/>
                <w:szCs w:val="22"/>
              </w:rPr>
            </w:pPr>
            <w:r>
              <w:rPr>
                <w:rFonts w:cs="Arial" w:ascii="Arial" w:hAnsi="Arial"/>
                <w:color w:val="000000"/>
                <w:sz w:val="22"/>
                <w:szCs w:val="22"/>
              </w:rPr>
              <w:drawing>
                <wp:inline distT="0" distB="0" distL="0" distR="0">
                  <wp:extent cx="2085975" cy="304800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17" t="-12" r="-17" b="-12"/>
                          <a:stretch>
                            <a:fillRect/>
                          </a:stretch>
                        </pic:blipFill>
                        <pic:spPr bwMode="auto">
                          <a:xfrm>
                            <a:off x="0" y="0"/>
                            <a:ext cx="2085975" cy="3048000"/>
                          </a:xfrm>
                          <a:prstGeom prst="rect">
                            <a:avLst/>
                          </a:prstGeom>
                        </pic:spPr>
                      </pic:pic>
                    </a:graphicData>
                  </a:graphic>
                </wp:inline>
              </w:drawing>
            </w:r>
            <w:r>
              <w:rPr>
                <w:rFonts w:eastAsia="Arial" w:cs="Arial" w:ascii="Arial" w:hAnsi="Arial"/>
                <w:color w:val="000000"/>
                <w:sz w:val="22"/>
                <w:szCs w:val="22"/>
              </w:rPr>
              <w:t xml:space="preserve">    </w:t>
            </w:r>
            <w:r>
              <w:rPr>
                <w:rFonts w:cs="Arial" w:ascii="Arial" w:hAnsi="Arial"/>
                <w:color w:val="000000"/>
                <w:sz w:val="22"/>
                <w:szCs w:val="22"/>
              </w:rPr>
              <w:drawing>
                <wp:inline distT="0" distB="0" distL="0" distR="0">
                  <wp:extent cx="2018665" cy="292227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29" t="-20" r="-29" b="-20"/>
                          <a:stretch>
                            <a:fillRect/>
                          </a:stretch>
                        </pic:blipFill>
                        <pic:spPr bwMode="auto">
                          <a:xfrm>
                            <a:off x="0" y="0"/>
                            <a:ext cx="2018665" cy="2922270"/>
                          </a:xfrm>
                          <a:prstGeom prst="rect">
                            <a:avLst/>
                          </a:prstGeom>
                        </pic:spPr>
                      </pic:pic>
                    </a:graphicData>
                  </a:graphic>
                </wp:inline>
              </w:drawing>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pPr>
            <w:r>
              <w:rPr>
                <w:rFonts w:cs="Arial" w:ascii="Arial" w:hAnsi="Arial"/>
                <w:color w:val="000000"/>
                <w:sz w:val="20"/>
                <w:szCs w:val="20"/>
              </w:rPr>
              <w:t xml:space="preserve">3. </w:t>
            </w:r>
            <w:r>
              <w:rPr>
                <w:rFonts w:cs="Arial" w:ascii="Arial" w:hAnsi="Arial"/>
                <w:b/>
                <w:bCs/>
                <w:color w:val="000000"/>
                <w:sz w:val="22"/>
                <w:szCs w:val="22"/>
              </w:rPr>
              <w:t xml:space="preserve">Take the measurement: </w:t>
            </w:r>
            <w:r>
              <w:rPr>
                <w:rFonts w:cs="Arial" w:ascii="Arial" w:hAnsi="Arial"/>
                <w:color w:val="000000"/>
                <w:sz w:val="22"/>
                <w:szCs w:val="22"/>
              </w:rPr>
              <w:t>At least two SAD measurements are conducted. Select a proper size abdominal caliper based on the estimated SP’s abdominal diameter and slide the caliper’s upper arm to exceed the SP’s abdominal diameter. Ask the SP to briefly raise his or her hips and insert the caliper’s lower arm under the small of the back. Check that the caliper’s lower arm is in contact with the SP’s back. If a gap is present, place a positioning cushion under the caliper so the SP’s back touches the caliper. If necessary ask the SP to lower his or her waistband to ensure that it does not interfere with the caliper’s lower arm. Grasp the shaft of the caliper with one hand and adjust it in a vertical position (confirmed by the bubble in the spirit level). Using the other hand, slide the caliper’s upper arm down to about 2 cm above the abdomen with the edge aligned with the iliac level line mark but without touching the abdomen (Exhibit 4).</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pPr>
            <w:r>
              <w:rPr>
                <w:rFonts w:cs="Arial" w:ascii="Arial" w:hAnsi="Arial"/>
                <w:color w:val="000000"/>
                <w:sz w:val="22"/>
                <w:szCs w:val="22"/>
              </w:rPr>
              <w:t xml:space="preserve">Exhibit 4. Align upper arm to iliac level line </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spacing w:before="0" w:after="0"/>
              <w:contextualSpacing/>
              <w:rPr>
                <w:rFonts w:ascii="Arial" w:hAnsi="Arial" w:cs="Arial"/>
                <w:sz w:val="22"/>
                <w:szCs w:val="22"/>
                <w:highlight w:val="yellow"/>
              </w:rPr>
            </w:pPr>
            <w:r>
              <w:rPr>
                <w:rFonts w:cs="Arial" w:ascii="Arial" w:hAnsi="Arial"/>
                <w:sz w:val="22"/>
                <w:szCs w:val="22"/>
                <w:highlight w:val="yellow"/>
              </w:rPr>
              <w:drawing>
                <wp:inline distT="0" distB="0" distL="0" distR="0">
                  <wp:extent cx="2390775" cy="252412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15" t="-14" r="-15" b="-14"/>
                          <a:stretch>
                            <a:fillRect/>
                          </a:stretch>
                        </pic:blipFill>
                        <pic:spPr bwMode="auto">
                          <a:xfrm>
                            <a:off x="0" y="0"/>
                            <a:ext cx="2390775" cy="2524125"/>
                          </a:xfrm>
                          <a:prstGeom prst="rect">
                            <a:avLst/>
                          </a:prstGeom>
                        </pic:spPr>
                      </pic:pic>
                    </a:graphicData>
                  </a:graphic>
                </wp:inline>
              </w:drawing>
            </w:r>
          </w:p>
          <w:p>
            <w:pPr>
              <w:pStyle w:val="Normal"/>
              <w:spacing w:before="0" w:after="0"/>
              <w:contextualSpacing/>
              <w:rPr>
                <w:rFonts w:ascii="Arial" w:hAnsi="Arial" w:cs="Arial"/>
                <w:sz w:val="22"/>
                <w:szCs w:val="22"/>
                <w:highlight w:val="yellow"/>
              </w:rPr>
            </w:pPr>
            <w:r>
              <w:rPr>
                <w:rFonts w:cs="Arial" w:ascii="Arial" w:hAnsi="Arial"/>
                <w:sz w:val="22"/>
                <w:szCs w:val="22"/>
                <w:highlight w:val="yellow"/>
              </w:rPr>
            </w:r>
          </w:p>
          <w:p>
            <w:pPr>
              <w:pStyle w:val="Normal"/>
              <w:autoSpaceDE w:val="false"/>
              <w:rPr/>
            </w:pPr>
            <w:r>
              <w:rPr>
                <w:rFonts w:cs="Arial" w:ascii="Arial" w:hAnsi="Arial"/>
                <w:color w:val="000000"/>
                <w:sz w:val="22"/>
                <w:szCs w:val="22"/>
              </w:rPr>
              <w:t xml:space="preserve">Instruct the SP to </w:t>
            </w:r>
            <w:r>
              <w:rPr>
                <w:rFonts w:cs="Arial" w:ascii="Arial" w:hAnsi="Arial"/>
                <w:b/>
                <w:bCs/>
                <w:color w:val="000000"/>
                <w:sz w:val="22"/>
                <w:szCs w:val="22"/>
              </w:rPr>
              <w:t>slowly take in a gentle breath</w:t>
            </w:r>
            <w:r>
              <w:rPr>
                <w:rFonts w:cs="Arial" w:ascii="Arial" w:hAnsi="Arial"/>
                <w:color w:val="000000"/>
                <w:sz w:val="22"/>
                <w:szCs w:val="22"/>
              </w:rPr>
              <w:t xml:space="preserve">, </w:t>
            </w:r>
            <w:r>
              <w:rPr>
                <w:rFonts w:cs="Arial" w:ascii="Arial" w:hAnsi="Arial"/>
                <w:b/>
                <w:bCs/>
                <w:color w:val="000000"/>
                <w:sz w:val="22"/>
                <w:szCs w:val="22"/>
              </w:rPr>
              <w:t xml:space="preserve">slowly let the air out and then pause </w:t>
            </w:r>
            <w:r>
              <w:rPr>
                <w:rFonts w:cs="Arial" w:ascii="Arial" w:hAnsi="Arial"/>
                <w:color w:val="000000"/>
                <w:sz w:val="22"/>
                <w:szCs w:val="22"/>
              </w:rPr>
              <w:t xml:space="preserve">(rest, relax). Promptly slide down the caliper’s upper arm letting it lightly touch the abdomen but without compressing it. This descent of the sliding arm should be rapid enough so that the SP does not resume breathing or feel out of breath. Take the measurement when the SP is in the resting phase and the caliper’s shaft is in the vertical position (the bubble in the spirit level is in the center of the circle or as close to the center as possible Exhibit 5). </w:t>
            </w:r>
          </w:p>
          <w:p>
            <w:pPr>
              <w:pStyle w:val="Normal"/>
              <w:autoSpaceDE w:val="false"/>
              <w:rPr/>
            </w:pPr>
            <w:r>
              <w:rPr>
                <w:rFonts w:cs="Arial" w:ascii="Arial" w:hAnsi="Arial"/>
                <w:b/>
                <w:bCs/>
                <w:color w:val="000000"/>
                <w:sz w:val="22"/>
                <w:szCs w:val="22"/>
              </w:rPr>
              <w:t xml:space="preserve">NOTE: </w:t>
            </w:r>
            <w:r>
              <w:rPr>
                <w:rFonts w:cs="Arial" w:ascii="Arial" w:hAnsi="Arial"/>
                <w:color w:val="000000"/>
                <w:sz w:val="22"/>
                <w:szCs w:val="22"/>
              </w:rPr>
              <w:t xml:space="preserve">Do not take the measurement if the left edge of the caliper’s upper arm is about 2.0 cm or more from the iliac level line mark. Adjust the caliper in a proper position and repeat the previous steps. </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pPr>
            <w:r>
              <w:rPr>
                <w:rFonts w:cs="Arial" w:ascii="Arial" w:hAnsi="Arial"/>
                <w:color w:val="000000"/>
                <w:sz w:val="22"/>
                <w:szCs w:val="22"/>
              </w:rPr>
              <w:t xml:space="preserve">Exhibit 5. Take measurement </w:t>
            </w:r>
          </w:p>
          <w:p>
            <w:pPr>
              <w:pStyle w:val="Normal"/>
              <w:spacing w:before="0" w:after="0"/>
              <w:contextualSpacing/>
              <w:rPr>
                <w:rFonts w:ascii="Arial" w:hAnsi="Arial" w:cs="Arial"/>
                <w:color w:val="000000"/>
                <w:sz w:val="22"/>
                <w:szCs w:val="22"/>
                <w:highlight w:val="yellow"/>
              </w:rPr>
            </w:pPr>
            <w:r>
              <w:rPr>
                <w:rFonts w:cs="Arial" w:ascii="Arial" w:hAnsi="Arial"/>
                <w:color w:val="000000"/>
                <w:sz w:val="22"/>
                <w:szCs w:val="22"/>
                <w:highlight w:val="yellow"/>
              </w:rPr>
            </w:r>
          </w:p>
          <w:p>
            <w:pPr>
              <w:pStyle w:val="Normal"/>
              <w:spacing w:before="0" w:after="0"/>
              <w:contextualSpacing/>
              <w:rPr>
                <w:rFonts w:ascii="Arial" w:hAnsi="Arial" w:cs="Arial"/>
                <w:sz w:val="22"/>
                <w:szCs w:val="22"/>
                <w:highlight w:val="yellow"/>
              </w:rPr>
            </w:pPr>
            <w:r>
              <w:rPr>
                <w:rFonts w:cs="Arial" w:ascii="Arial" w:hAnsi="Arial"/>
                <w:sz w:val="22"/>
                <w:szCs w:val="22"/>
                <w:highlight w:val="yellow"/>
              </w:rPr>
              <w:drawing>
                <wp:inline distT="0" distB="0" distL="0" distR="0">
                  <wp:extent cx="2886075" cy="216217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12" t="-17" r="-12" b="-17"/>
                          <a:stretch>
                            <a:fillRect/>
                          </a:stretch>
                        </pic:blipFill>
                        <pic:spPr bwMode="auto">
                          <a:xfrm>
                            <a:off x="0" y="0"/>
                            <a:ext cx="2886075" cy="2162175"/>
                          </a:xfrm>
                          <a:prstGeom prst="rect">
                            <a:avLst/>
                          </a:prstGeom>
                        </pic:spPr>
                      </pic:pic>
                    </a:graphicData>
                  </a:graphic>
                </wp:inline>
              </w:drawing>
            </w:r>
          </w:p>
          <w:p>
            <w:pPr>
              <w:pStyle w:val="Normal"/>
              <w:spacing w:before="0" w:after="0"/>
              <w:contextualSpacing/>
              <w:rPr>
                <w:rFonts w:ascii="Arial" w:hAnsi="Arial" w:cs="Arial"/>
                <w:sz w:val="22"/>
                <w:szCs w:val="22"/>
                <w:highlight w:val="yellow"/>
              </w:rPr>
            </w:pPr>
            <w:r>
              <w:rPr>
                <w:rFonts w:cs="Arial" w:ascii="Arial" w:hAnsi="Arial"/>
                <w:sz w:val="22"/>
                <w:szCs w:val="22"/>
                <w:highlight w:val="yellow"/>
              </w:rPr>
            </w:r>
          </w:p>
          <w:p>
            <w:pPr>
              <w:pStyle w:val="Normal"/>
              <w:autoSpaceDE w:val="false"/>
              <w:rPr/>
            </w:pPr>
            <w:r>
              <w:rPr>
                <w:rFonts w:cs="Arial" w:ascii="Arial" w:hAnsi="Arial"/>
                <w:color w:val="000000"/>
                <w:sz w:val="20"/>
                <w:szCs w:val="20"/>
              </w:rPr>
              <w:t xml:space="preserve">4. </w:t>
            </w:r>
            <w:r>
              <w:rPr>
                <w:rFonts w:cs="Arial" w:ascii="Arial" w:hAnsi="Arial"/>
                <w:b/>
                <w:bCs/>
                <w:color w:val="000000"/>
                <w:sz w:val="22"/>
                <w:szCs w:val="22"/>
              </w:rPr>
              <w:t xml:space="preserve">Read the measurement: </w:t>
            </w:r>
            <w:r>
              <w:rPr>
                <w:rFonts w:cs="Arial" w:ascii="Arial" w:hAnsi="Arial"/>
                <w:color w:val="000000"/>
                <w:sz w:val="22"/>
                <w:szCs w:val="22"/>
              </w:rPr>
              <w:t>Read the measurement (to the nearest 0.1 cm) on the shaft of the caliper. The ruler on the shaft goes from 0 at the bottom to 36.2 cm on the top in a standard size caliper or to 51.0 cm on the top in a larger size caliper. When the examiner reads the measurement, the integer number in centimeters to be read may not be visible but the millimeter lines will be easily seen. That means that the example in Exhibit 6 is read as 25.5 cm even though the integer 25 cannot be seen. The examiner needs to pay careful attention so the correct value is read. Keep in mind that the integer visible on the scale is probably higher than the integer you will report.</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pPr>
            <w:r>
              <w:rPr>
                <w:rFonts w:cs="Arial" w:ascii="Arial" w:hAnsi="Arial"/>
                <w:color w:val="000000"/>
                <w:sz w:val="22"/>
                <w:szCs w:val="22"/>
              </w:rPr>
              <w:t xml:space="preserve">Exhibit 6. Reading the caliper </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spacing w:before="0" w:after="0"/>
              <w:contextualSpacing/>
              <w:rPr>
                <w:rFonts w:ascii="Arial" w:hAnsi="Arial" w:cs="Arial"/>
                <w:sz w:val="22"/>
                <w:szCs w:val="22"/>
                <w:highlight w:val="yellow"/>
              </w:rPr>
            </w:pPr>
            <w:r>
              <w:rPr>
                <w:rFonts w:cs="Arial" w:ascii="Arial" w:hAnsi="Arial"/>
                <w:sz w:val="22"/>
                <w:szCs w:val="22"/>
                <w:highlight w:val="yellow"/>
              </w:rPr>
              <w:drawing>
                <wp:inline distT="0" distB="0" distL="0" distR="0">
                  <wp:extent cx="2225040" cy="140081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12" t="-20" r="-12" b="-20"/>
                          <a:stretch>
                            <a:fillRect/>
                          </a:stretch>
                        </pic:blipFill>
                        <pic:spPr bwMode="auto">
                          <a:xfrm>
                            <a:off x="0" y="0"/>
                            <a:ext cx="2225040" cy="1400810"/>
                          </a:xfrm>
                          <a:prstGeom prst="rect">
                            <a:avLst/>
                          </a:prstGeom>
                        </pic:spPr>
                      </pic:pic>
                    </a:graphicData>
                  </a:graphic>
                </wp:inline>
              </w:drawing>
            </w:r>
            <w:r>
              <w:rPr>
                <w:rFonts w:eastAsia="Arial" w:cs="Arial" w:ascii="Arial" w:hAnsi="Arial"/>
                <w:sz w:val="22"/>
                <w:szCs w:val="22"/>
                <w:highlight w:val="yellow"/>
              </w:rPr>
              <w:t xml:space="preserve">   </w:t>
            </w:r>
            <w:r>
              <w:rPr>
                <w:rFonts w:cs="Arial" w:ascii="Arial" w:hAnsi="Arial"/>
                <w:sz w:val="22"/>
                <w:szCs w:val="22"/>
                <w:highlight w:val="yellow"/>
              </w:rPr>
              <w:drawing>
                <wp:inline distT="0" distB="0" distL="0" distR="0">
                  <wp:extent cx="1779270" cy="149669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rcRect l="-17" t="-20" r="-17" b="-20"/>
                          <a:stretch>
                            <a:fillRect/>
                          </a:stretch>
                        </pic:blipFill>
                        <pic:spPr bwMode="auto">
                          <a:xfrm>
                            <a:off x="0" y="0"/>
                            <a:ext cx="1779270" cy="1496695"/>
                          </a:xfrm>
                          <a:prstGeom prst="rect">
                            <a:avLst/>
                          </a:prstGeom>
                        </pic:spPr>
                      </pic:pic>
                    </a:graphicData>
                  </a:graphic>
                </wp:inline>
              </w:drawing>
            </w:r>
          </w:p>
          <w:p>
            <w:pPr>
              <w:pStyle w:val="Normal"/>
              <w:spacing w:before="0" w:after="0"/>
              <w:contextualSpacing/>
              <w:rPr>
                <w:rFonts w:ascii="Arial" w:hAnsi="Arial" w:cs="Arial"/>
                <w:sz w:val="22"/>
                <w:szCs w:val="22"/>
                <w:highlight w:val="yellow"/>
              </w:rPr>
            </w:pPr>
            <w:r>
              <w:rPr>
                <w:rFonts w:cs="Arial" w:ascii="Arial" w:hAnsi="Arial"/>
                <w:sz w:val="22"/>
                <w:szCs w:val="22"/>
                <w:highlight w:val="yellow"/>
              </w:rPr>
            </w:r>
          </w:p>
          <w:p>
            <w:pPr>
              <w:pStyle w:val="Normal"/>
              <w:autoSpaceDE w:val="false"/>
              <w:rPr>
                <w:rFonts w:ascii="Arial" w:hAnsi="Arial" w:cs="Arial"/>
                <w:color w:val="000000"/>
                <w:sz w:val="22"/>
                <w:szCs w:val="22"/>
              </w:rPr>
            </w:pPr>
            <w:r>
              <w:rPr>
                <w:rFonts w:cs="Arial" w:ascii="Arial" w:hAnsi="Arial"/>
                <w:color w:val="000000"/>
                <w:sz w:val="22"/>
                <w:szCs w:val="22"/>
              </w:rPr>
              <w:t xml:space="preserve">To conduct the second measurement, raise the caliper’s upper arm from the abdomen, provide breathing instruction to the SP, and follow the same steps to take the measure. If the difference between the first and second measurement is greater than 0.5 cm, a third and fourth measurement will be conducted following the same procedures. </w:t>
            </w:r>
          </w:p>
          <w:p>
            <w:pPr>
              <w:pStyle w:val="Normal"/>
              <w:autoSpaceDE w:val="false"/>
              <w:rPr/>
            </w:pPr>
            <w:r>
              <w:rPr>
                <w:rFonts w:cs="Arial" w:ascii="Arial" w:hAnsi="Arial"/>
                <w:b/>
                <w:bCs/>
                <w:color w:val="000000"/>
                <w:sz w:val="22"/>
                <w:szCs w:val="22"/>
              </w:rPr>
              <w:t xml:space="preserve">NOTE: </w:t>
            </w:r>
            <w:r>
              <w:rPr>
                <w:rFonts w:cs="Arial" w:ascii="Arial" w:hAnsi="Arial"/>
                <w:color w:val="000000"/>
                <w:sz w:val="22"/>
                <w:szCs w:val="22"/>
              </w:rPr>
              <w:t xml:space="preserve">The spirit level should be as close to the center as possible but it is acceptable if it is slightly off center. Please see below (Exhibit 7) for acceptable and unacceptable level positions. </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pPr>
            <w:r>
              <w:rPr>
                <w:rFonts w:cs="Arial" w:ascii="Arial" w:hAnsi="Arial"/>
                <w:color w:val="000000"/>
                <w:sz w:val="22"/>
                <w:szCs w:val="22"/>
              </w:rPr>
              <w:t xml:space="preserve">Exhibit 7. Acceptable and unacceptable spirit level positions </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eastAsia="Arial" w:cs="Arial" w:ascii="Arial" w:hAnsi="Arial"/>
                <w:color w:val="000000"/>
                <w:sz w:val="22"/>
                <w:szCs w:val="22"/>
              </w:rPr>
              <w:t xml:space="preserve">                                   </w:t>
            </w:r>
            <w:r>
              <w:rPr>
                <w:rFonts w:cs="Arial" w:ascii="Arial" w:hAnsi="Arial"/>
                <w:color w:val="000000"/>
                <w:sz w:val="22"/>
                <w:szCs w:val="22"/>
              </w:rPr>
              <w:t>Acceptable level positions</w:t>
            </w:r>
          </w:p>
          <w:p>
            <w:pPr>
              <w:pStyle w:val="Normal"/>
              <w:autoSpaceDE w:val="false"/>
              <w:rPr>
                <w:rFonts w:ascii="Arial" w:hAnsi="Arial" w:cs="Arial"/>
                <w:color w:val="000000"/>
                <w:sz w:val="22"/>
                <w:szCs w:val="22"/>
              </w:rPr>
            </w:pPr>
            <w:r>
              <w:rPr>
                <w:rFonts w:cs="Arial" w:ascii="Arial" w:hAnsi="Arial"/>
                <w:color w:val="000000"/>
                <w:sz w:val="22"/>
                <w:szCs w:val="22"/>
              </w:rPr>
              <w:drawing>
                <wp:inline distT="0" distB="0" distL="0" distR="0">
                  <wp:extent cx="996950" cy="86741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rcRect l="-26" t="-30" r="-26" b="-30"/>
                          <a:stretch>
                            <a:fillRect/>
                          </a:stretch>
                        </pic:blipFill>
                        <pic:spPr bwMode="auto">
                          <a:xfrm>
                            <a:off x="0" y="0"/>
                            <a:ext cx="996950" cy="867410"/>
                          </a:xfrm>
                          <a:prstGeom prst="rect">
                            <a:avLst/>
                          </a:prstGeom>
                        </pic:spPr>
                      </pic:pic>
                    </a:graphicData>
                  </a:graphic>
                </wp:inline>
              </w:drawing>
            </w:r>
            <w:r>
              <w:rPr>
                <w:rFonts w:eastAsia="Arial" w:cs="Arial" w:ascii="Arial" w:hAnsi="Arial"/>
                <w:color w:val="000000"/>
                <w:sz w:val="22"/>
                <w:szCs w:val="22"/>
              </w:rPr>
              <w:t xml:space="preserve">        </w:t>
            </w:r>
            <w:r>
              <w:rPr>
                <w:rFonts w:cs="Arial" w:ascii="Arial" w:hAnsi="Arial"/>
                <w:color w:val="000000"/>
                <w:sz w:val="22"/>
                <w:szCs w:val="22"/>
              </w:rPr>
              <w:drawing>
                <wp:inline distT="0" distB="0" distL="0" distR="0">
                  <wp:extent cx="980440" cy="85471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rcRect l="-26" t="-30" r="-26" b="-30"/>
                          <a:stretch>
                            <a:fillRect/>
                          </a:stretch>
                        </pic:blipFill>
                        <pic:spPr bwMode="auto">
                          <a:xfrm>
                            <a:off x="0" y="0"/>
                            <a:ext cx="980440" cy="854710"/>
                          </a:xfrm>
                          <a:prstGeom prst="rect">
                            <a:avLst/>
                          </a:prstGeom>
                        </pic:spPr>
                      </pic:pic>
                    </a:graphicData>
                  </a:graphic>
                </wp:inline>
              </w:drawing>
            </w:r>
            <w:r>
              <w:rPr>
                <w:rFonts w:eastAsia="Arial" w:cs="Arial" w:ascii="Arial" w:hAnsi="Arial"/>
                <w:color w:val="000000"/>
                <w:sz w:val="22"/>
                <w:szCs w:val="22"/>
              </w:rPr>
              <w:t xml:space="preserve">       </w:t>
            </w:r>
            <w:r>
              <w:rPr>
                <w:rFonts w:cs="Arial" w:ascii="Arial" w:hAnsi="Arial"/>
                <w:color w:val="000000"/>
                <w:sz w:val="22"/>
                <w:szCs w:val="22"/>
              </w:rPr>
              <w:drawing>
                <wp:inline distT="0" distB="0" distL="0" distR="0">
                  <wp:extent cx="1009015" cy="85471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rcRect l="-26" t="-30" r="-26" b="-30"/>
                          <a:stretch>
                            <a:fillRect/>
                          </a:stretch>
                        </pic:blipFill>
                        <pic:spPr bwMode="auto">
                          <a:xfrm>
                            <a:off x="0" y="0"/>
                            <a:ext cx="1009015" cy="854710"/>
                          </a:xfrm>
                          <a:prstGeom prst="rect">
                            <a:avLst/>
                          </a:prstGeom>
                        </pic:spPr>
                      </pic:pic>
                    </a:graphicData>
                  </a:graphic>
                </wp:inline>
              </w:drawing>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color w:val="000000"/>
                <w:sz w:val="22"/>
                <w:szCs w:val="22"/>
              </w:rPr>
            </w:pPr>
            <w:r>
              <w:rPr>
                <w:rFonts w:eastAsia="Arial" w:cs="Arial" w:ascii="Arial" w:hAnsi="Arial"/>
                <w:color w:val="000000"/>
                <w:sz w:val="22"/>
                <w:szCs w:val="22"/>
              </w:rPr>
              <w:t xml:space="preserve">                                  </w:t>
            </w:r>
            <w:r>
              <w:rPr>
                <w:rFonts w:cs="Arial" w:ascii="Arial" w:hAnsi="Arial"/>
                <w:color w:val="000000"/>
                <w:sz w:val="22"/>
                <w:szCs w:val="22"/>
              </w:rPr>
              <w:t xml:space="preserve">Unacceptable level positions </w:t>
            </w:r>
          </w:p>
          <w:p>
            <w:pPr>
              <w:pStyle w:val="Normal"/>
              <w:autoSpaceDE w:val="false"/>
              <w:rPr>
                <w:rFonts w:ascii="Arial" w:hAnsi="Arial" w:cs="Arial"/>
                <w:color w:val="000000"/>
                <w:sz w:val="22"/>
                <w:szCs w:val="22"/>
              </w:rPr>
            </w:pPr>
            <w:r>
              <w:rPr>
                <w:rFonts w:cs="Arial" w:ascii="Arial" w:hAnsi="Arial"/>
                <w:color w:val="000000"/>
                <w:sz w:val="22"/>
                <w:szCs w:val="22"/>
              </w:rPr>
              <w:drawing>
                <wp:inline distT="0" distB="0" distL="0" distR="0">
                  <wp:extent cx="974090" cy="819150"/>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rcRect l="-26" t="-30" r="-26" b="-30"/>
                          <a:stretch>
                            <a:fillRect/>
                          </a:stretch>
                        </pic:blipFill>
                        <pic:spPr bwMode="auto">
                          <a:xfrm>
                            <a:off x="0" y="0"/>
                            <a:ext cx="974090" cy="819150"/>
                          </a:xfrm>
                          <a:prstGeom prst="rect">
                            <a:avLst/>
                          </a:prstGeom>
                        </pic:spPr>
                      </pic:pic>
                    </a:graphicData>
                  </a:graphic>
                </wp:inline>
              </w:drawing>
            </w:r>
            <w:r>
              <w:rPr>
                <w:rFonts w:eastAsia="Arial" w:cs="Arial" w:ascii="Arial" w:hAnsi="Arial"/>
                <w:color w:val="000000"/>
                <w:sz w:val="22"/>
                <w:szCs w:val="22"/>
              </w:rPr>
              <w:t xml:space="preserve">           </w:t>
            </w:r>
            <w:r>
              <w:rPr>
                <w:rFonts w:cs="Arial" w:ascii="Arial" w:hAnsi="Arial"/>
                <w:color w:val="000000"/>
                <w:sz w:val="22"/>
                <w:szCs w:val="22"/>
              </w:rPr>
              <w:drawing>
                <wp:inline distT="0" distB="0" distL="0" distR="0">
                  <wp:extent cx="867410" cy="772160"/>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rcRect l="-26" t="-30" r="-26" b="-30"/>
                          <a:stretch>
                            <a:fillRect/>
                          </a:stretch>
                        </pic:blipFill>
                        <pic:spPr bwMode="auto">
                          <a:xfrm>
                            <a:off x="0" y="0"/>
                            <a:ext cx="867410" cy="772160"/>
                          </a:xfrm>
                          <a:prstGeom prst="rect">
                            <a:avLst/>
                          </a:prstGeom>
                        </pic:spPr>
                      </pic:pic>
                    </a:graphicData>
                  </a:graphic>
                </wp:inline>
              </w:drawing>
            </w:r>
            <w:r>
              <w:rPr>
                <w:rFonts w:eastAsia="Arial" w:cs="Arial" w:ascii="Arial" w:hAnsi="Arial"/>
                <w:color w:val="000000"/>
                <w:sz w:val="22"/>
                <w:szCs w:val="22"/>
              </w:rPr>
              <w:t xml:space="preserve">          </w:t>
            </w:r>
            <w:r>
              <w:rPr>
                <w:rFonts w:cs="Arial" w:ascii="Arial" w:hAnsi="Arial"/>
                <w:color w:val="000000"/>
                <w:sz w:val="22"/>
                <w:szCs w:val="22"/>
              </w:rPr>
              <w:drawing>
                <wp:inline distT="0" distB="0" distL="0" distR="0">
                  <wp:extent cx="868045" cy="743585"/>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rcRect l="-26" t="-30" r="-26" b="-30"/>
                          <a:stretch>
                            <a:fillRect/>
                          </a:stretch>
                        </pic:blipFill>
                        <pic:spPr bwMode="auto">
                          <a:xfrm>
                            <a:off x="0" y="0"/>
                            <a:ext cx="868045" cy="743585"/>
                          </a:xfrm>
                          <a:prstGeom prst="rect">
                            <a:avLst/>
                          </a:prstGeom>
                        </pic:spPr>
                      </pic:pic>
                    </a:graphicData>
                  </a:graphic>
                </wp:inline>
              </w:drawing>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pPr>
            <w:r>
              <w:rPr>
                <w:rFonts w:cs="Arial" w:ascii="Arial" w:hAnsi="Arial"/>
                <w:b/>
                <w:bCs/>
                <w:color w:val="000000"/>
                <w:sz w:val="22"/>
                <w:szCs w:val="22"/>
              </w:rPr>
              <w:t xml:space="preserve">NOTE: </w:t>
            </w:r>
            <w:r>
              <w:rPr>
                <w:rFonts w:cs="Arial" w:ascii="Arial" w:hAnsi="Arial"/>
                <w:color w:val="000000"/>
                <w:sz w:val="22"/>
                <w:szCs w:val="22"/>
              </w:rPr>
              <w:t xml:space="preserve">To determine which caliper size the SP needs, check on the wall marking when the SP is in the supine position. Use a large size caliper only if the SP’s abdomen exceeds the wall marking. Otherwise use the standard caliper. Most participants will need the standard size caliper. </w:t>
            </w:r>
          </w:p>
          <w:p>
            <w:pPr>
              <w:pStyle w:val="Normal"/>
              <w:autoSpaceDE w:val="false"/>
              <w:rPr>
                <w:rFonts w:ascii="Arial" w:hAnsi="Arial" w:cs="Arial"/>
                <w:color w:val="000000"/>
                <w:sz w:val="20"/>
                <w:szCs w:val="20"/>
              </w:rPr>
            </w:pPr>
            <w:r>
              <w:rPr>
                <w:rFonts w:cs="Arial" w:ascii="Arial" w:hAnsi="Arial"/>
                <w:color w:val="000000"/>
                <w:sz w:val="20"/>
                <w:szCs w:val="20"/>
              </w:rPr>
            </w:r>
          </w:p>
          <w:p>
            <w:pPr>
              <w:pStyle w:val="Normal"/>
              <w:autoSpaceDE w:val="false"/>
              <w:rPr/>
            </w:pPr>
            <w:r>
              <w:rPr>
                <w:rFonts w:cs="Arial" w:ascii="Arial" w:hAnsi="Arial"/>
                <w:color w:val="000000"/>
                <w:sz w:val="20"/>
                <w:szCs w:val="20"/>
              </w:rPr>
              <w:t xml:space="preserve">5. </w:t>
            </w:r>
            <w:r>
              <w:rPr>
                <w:rFonts w:cs="Arial" w:ascii="Arial" w:hAnsi="Arial"/>
                <w:b/>
                <w:bCs/>
                <w:color w:val="000000"/>
                <w:sz w:val="22"/>
                <w:szCs w:val="22"/>
              </w:rPr>
              <w:t xml:space="preserve">Record the measurement: </w:t>
            </w:r>
            <w:r>
              <w:rPr>
                <w:rFonts w:cs="Arial" w:ascii="Arial" w:hAnsi="Arial"/>
                <w:color w:val="000000"/>
                <w:sz w:val="22"/>
                <w:szCs w:val="22"/>
              </w:rPr>
              <w:t xml:space="preserve">Call the result to the recorder, who will enter this number on the ISIS screen. Remove the caliper from the SP. Assist SP to get down from the table. </w:t>
            </w:r>
          </w:p>
          <w:p>
            <w:pPr>
              <w:pStyle w:val="Normal"/>
              <w:autoSpaceDE w:val="false"/>
              <w:rPr>
                <w:rFonts w:ascii="Arial" w:hAnsi="Arial" w:cs="Arial"/>
                <w:color w:val="000000"/>
                <w:sz w:val="22"/>
                <w:szCs w:val="22"/>
              </w:rPr>
            </w:pPr>
            <w:r>
              <w:rPr>
                <w:rFonts w:cs="Arial" w:ascii="Arial" w:hAnsi="Arial"/>
                <w:color w:val="000000"/>
                <w:sz w:val="22"/>
                <w:szCs w:val="22"/>
              </w:rPr>
            </w:r>
          </w:p>
          <w:p>
            <w:pPr>
              <w:pStyle w:val="Normal"/>
              <w:autoSpaceDE w:val="false"/>
              <w:rPr>
                <w:rFonts w:ascii="Arial" w:hAnsi="Arial" w:cs="Arial"/>
                <w:sz w:val="22"/>
                <w:szCs w:val="22"/>
                <w:highlight w:val="yellow"/>
              </w:rPr>
            </w:pPr>
            <w:r>
              <w:rPr>
                <w:rFonts w:cs="Arial" w:ascii="Arial" w:hAnsi="Arial"/>
                <w:sz w:val="22"/>
                <w:szCs w:val="22"/>
              </w:rPr>
              <w:t>At the end of the exam, remove the cosmetic pencil marks with baby oil. Remove the paper from the table and wipe it with wipes. Place a new sheet of paper for the next SP and clean the caliper’s arm with wipes.</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Participant</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Participant aged 8 years or older</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Source</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Cs/>
                <w:color w:val="000000"/>
                <w:sz w:val="22"/>
                <w:szCs w:val="22"/>
              </w:rPr>
            </w:pPr>
            <w:r>
              <w:rPr>
                <w:rFonts w:cs="Arial" w:ascii="Arial" w:hAnsi="Arial"/>
                <w:color w:val="444444"/>
                <w:sz w:val="22"/>
                <w:szCs w:val="22"/>
              </w:rPr>
              <w:t xml:space="preserve">Centers for Disease Control and Prevention, National Center for Health Statistics. (2013, January). </w:t>
            </w:r>
            <w:r>
              <w:rPr>
                <w:rFonts w:cs="Arial" w:ascii="Arial" w:hAnsi="Arial"/>
                <w:i/>
                <w:color w:val="444444"/>
                <w:sz w:val="22"/>
                <w:szCs w:val="22"/>
              </w:rPr>
              <w:t>National Health and Nutrition Examination Survey (NHANES) Anthropometry Procedures Manual</w:t>
            </w:r>
            <w:r>
              <w:rPr>
                <w:rFonts w:cs="Arial" w:ascii="Arial" w:hAnsi="Arial"/>
                <w:color w:val="444444"/>
                <w:sz w:val="22"/>
                <w:szCs w:val="22"/>
              </w:rPr>
              <w:t xml:space="preserve">.  Hyattsville, MD: U.S. Department of Health and Human Services, Centers for Disease Control and Prevention. Retrieved from </w:t>
            </w:r>
            <w:hyperlink r:id="rId16">
              <w:r>
                <w:rPr>
                  <w:rStyle w:val="InternetLink"/>
                  <w:rFonts w:cs="Arial" w:ascii="Arial" w:hAnsi="Arial"/>
                  <w:sz w:val="22"/>
                  <w:szCs w:val="22"/>
                </w:rPr>
                <w:t>http://www.cdc.gov/nchs/data/nhanes/nhanes_13_14/2013_Anthropometry.pdf</w:t>
              </w:r>
            </w:hyperlink>
            <w:r>
              <w:rPr>
                <w:rFonts w:cs="Arial" w:ascii="Arial" w:hAnsi="Arial"/>
                <w:sz w:val="22"/>
                <w:szCs w:val="22"/>
              </w:rPr>
              <w:t xml:space="preserve"> </w:t>
            </w:r>
            <w:r>
              <w:rPr>
                <w:rFonts w:cs="Arial" w:ascii="Arial" w:hAnsi="Arial"/>
                <w:bCs/>
                <w:color w:val="000000"/>
                <w:sz w:val="22"/>
                <w:szCs w:val="22"/>
              </w:rPr>
              <w:t xml:space="preserve"> </w:t>
            </w:r>
          </w:p>
          <w:p>
            <w:pPr>
              <w:pStyle w:val="Normal"/>
              <w:spacing w:before="0" w:after="0"/>
              <w:contextualSpacing/>
              <w:rPr>
                <w:rFonts w:ascii="Arial" w:hAnsi="Arial" w:cs="Arial"/>
                <w:bCs/>
                <w:color w:val="000000"/>
                <w:sz w:val="22"/>
                <w:szCs w:val="22"/>
              </w:rPr>
            </w:pPr>
            <w:r>
              <w:rPr>
                <w:rFonts w:cs="Arial" w:ascii="Arial" w:hAnsi="Arial"/>
                <w:bCs/>
                <w:color w:val="000000"/>
                <w:sz w:val="22"/>
                <w:szCs w:val="22"/>
              </w:rPr>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Language of Source</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English</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Personnel and Training Required</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Style w:val="DefaultChar"/>
                <w:sz w:val="22"/>
                <w:szCs w:val="22"/>
              </w:rPr>
            </w:pPr>
            <w:r>
              <w:rPr>
                <w:rFonts w:cs="Arial" w:ascii="Arial" w:hAnsi="Arial"/>
                <w:sz w:val="22"/>
                <w:szCs w:val="22"/>
              </w:rPr>
              <w:t>Administered by health professionals or research staff trained in anthropometric measurement</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Equipment Needs</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Holtain-Kahn abdominal caliper</w:t>
            </w:r>
          </w:p>
          <w:p>
            <w:pPr>
              <w:pStyle w:val="Normal"/>
              <w:spacing w:before="0" w:after="0"/>
              <w:contextualSpacing/>
              <w:rPr>
                <w:rFonts w:ascii="Arial" w:hAnsi="Arial" w:cs="Arial"/>
                <w:sz w:val="22"/>
                <w:szCs w:val="22"/>
              </w:rPr>
            </w:pPr>
            <w:r>
              <w:rPr>
                <w:rFonts w:cs="Arial" w:ascii="Arial" w:hAnsi="Arial"/>
                <w:sz w:val="22"/>
                <w:szCs w:val="22"/>
              </w:rPr>
            </w:r>
          </w:p>
          <w:p>
            <w:pPr>
              <w:pStyle w:val="Normal"/>
              <w:spacing w:before="0" w:after="0"/>
              <w:contextualSpacing/>
              <w:rPr>
                <w:lang w:val="en-US" w:eastAsia="en-US"/>
              </w:rPr>
            </w:pPr>
            <w:r>
              <w:rPr>
                <w:lang w:val="en-US" w:eastAsia="en-US"/>
              </w:rPr>
              <w:drawing>
                <wp:inline distT="0" distB="0" distL="0" distR="0">
                  <wp:extent cx="3267075" cy="1476375"/>
                  <wp:effectExtent l="0" t="0" r="0" b="0"/>
                  <wp:docPr id="1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
                          <pic:cNvPicPr>
                            <a:picLocks noChangeAspect="1" noChangeArrowheads="1"/>
                          </pic:cNvPicPr>
                        </pic:nvPicPr>
                        <pic:blipFill>
                          <a:blip r:embed="rId17"/>
                          <a:srcRect l="-11" t="-24" r="-11" b="-24"/>
                          <a:stretch>
                            <a:fillRect/>
                          </a:stretch>
                        </pic:blipFill>
                        <pic:spPr bwMode="auto">
                          <a:xfrm>
                            <a:off x="0" y="0"/>
                            <a:ext cx="3267075" cy="1476375"/>
                          </a:xfrm>
                          <a:prstGeom prst="rect">
                            <a:avLst/>
                          </a:prstGeom>
                        </pic:spPr>
                      </pic:pic>
                    </a:graphicData>
                  </a:graphic>
                </wp:inline>
              </w:drawing>
            </w:r>
          </w:p>
          <w:p>
            <w:pPr>
              <w:pStyle w:val="Normal"/>
              <w:spacing w:before="0" w:after="0"/>
              <w:contextualSpacing/>
              <w:rPr>
                <w:lang w:val="en-US" w:eastAsia="en-US"/>
              </w:rPr>
            </w:pPr>
            <w:r>
              <w:rPr>
                <w:lang w:val="en-US" w:eastAsia="en-US"/>
              </w:rPr>
            </w:r>
          </w:p>
          <w:p>
            <w:pPr>
              <w:pStyle w:val="Normal"/>
              <w:spacing w:before="0" w:after="0"/>
              <w:contextualSpacing/>
              <w:rPr>
                <w:rStyle w:val="DefaultChar"/>
                <w:sz w:val="22"/>
                <w:szCs w:val="22"/>
              </w:rPr>
            </w:pPr>
            <w:r>
              <w:rPr>
                <w:rFonts w:cs="Arial" w:ascii="Arial" w:hAnsi="Arial"/>
                <w:sz w:val="22"/>
                <w:szCs w:val="22"/>
              </w:rPr>
              <w:t>Flexible measuring tape</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Protocol Type</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sz w:val="22"/>
                <w:szCs w:val="22"/>
              </w:rPr>
            </w:pPr>
            <w:r>
              <w:rPr>
                <w:rFonts w:cs="Arial" w:ascii="Arial" w:hAnsi="Arial"/>
                <w:sz w:val="22"/>
                <w:szCs w:val="22"/>
              </w:rPr>
              <w:t>Physical measurement</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General References</w:t>
            </w:r>
          </w:p>
        </w:tc>
        <w:tc>
          <w:tcPr>
            <w:tcW w:w="7056"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color w:val="231F20"/>
                <w:sz w:val="22"/>
                <w:szCs w:val="22"/>
              </w:rPr>
            </w:pPr>
            <w:r>
              <w:rPr>
                <w:rFonts w:cs="Arial" w:ascii="Arial" w:hAnsi="Arial"/>
                <w:sz w:val="22"/>
                <w:szCs w:val="22"/>
              </w:rPr>
              <w:t xml:space="preserve">Kahn, H. S. (2003). </w:t>
            </w:r>
            <w:r>
              <w:rPr>
                <w:rFonts w:cs="Arial" w:ascii="Arial" w:hAnsi="Arial"/>
                <w:color w:val="231F20"/>
                <w:sz w:val="22"/>
                <w:szCs w:val="22"/>
              </w:rPr>
              <w:t xml:space="preserve">Alternative anthropometric measures of risk: Possible improvements on the waist-hip ratio. In </w:t>
            </w:r>
            <w:r>
              <w:rPr>
                <w:rFonts w:cs="Arial" w:ascii="Arial" w:hAnsi="Arial"/>
                <w:iCs/>
                <w:color w:val="231F20"/>
                <w:sz w:val="22"/>
                <w:szCs w:val="22"/>
              </w:rPr>
              <w:t>G. Medeiros-Neto, A. Halpern, &amp; C. Bouchard (Eds.),</w:t>
            </w:r>
            <w:r>
              <w:rPr>
                <w:rFonts w:cs="Arial" w:ascii="Arial" w:hAnsi="Arial"/>
                <w:i/>
                <w:iCs/>
                <w:color w:val="231F20"/>
                <w:sz w:val="22"/>
                <w:szCs w:val="22"/>
              </w:rPr>
              <w:t xml:space="preserve"> </w:t>
            </w:r>
            <w:r>
              <w:rPr>
                <w:rFonts w:cs="Arial" w:ascii="Arial" w:hAnsi="Arial"/>
                <w:i/>
                <w:color w:val="231F20"/>
                <w:sz w:val="22"/>
                <w:szCs w:val="22"/>
              </w:rPr>
              <w:t>Progress in obesity research</w:t>
            </w:r>
            <w:r>
              <w:rPr>
                <w:rFonts w:cs="Arial" w:ascii="Arial" w:hAnsi="Arial"/>
                <w:color w:val="231F20"/>
                <w:sz w:val="22"/>
                <w:szCs w:val="22"/>
              </w:rPr>
              <w:t xml:space="preserve"> (pp. 639–643). Montrouge, France: John Libbey Eurotext.</w:t>
            </w:r>
          </w:p>
          <w:p>
            <w:pPr>
              <w:pStyle w:val="Normal"/>
              <w:spacing w:before="0" w:after="0"/>
              <w:contextualSpacing/>
              <w:rPr>
                <w:rFonts w:ascii="Arial" w:hAnsi="Arial" w:cs="Arial"/>
                <w:color w:val="231F20"/>
                <w:sz w:val="22"/>
                <w:szCs w:val="22"/>
              </w:rPr>
            </w:pPr>
            <w:r>
              <w:rPr>
                <w:rFonts w:cs="Arial" w:ascii="Arial" w:hAnsi="Arial"/>
                <w:color w:val="231F20"/>
                <w:sz w:val="22"/>
                <w:szCs w:val="22"/>
              </w:rPr>
            </w:r>
          </w:p>
          <w:p>
            <w:pPr>
              <w:pStyle w:val="Normal"/>
              <w:rPr>
                <w:rFonts w:ascii="Arial" w:hAnsi="Arial" w:cs="Arial"/>
                <w:sz w:val="22"/>
                <w:szCs w:val="22"/>
              </w:rPr>
            </w:pPr>
            <w:r>
              <w:rPr>
                <w:rFonts w:cs="Arial" w:ascii="Arial" w:hAnsi="Arial"/>
                <w:sz w:val="22"/>
                <w:szCs w:val="22"/>
              </w:rPr>
              <w:t xml:space="preserve">Kahn, H. S., </w:t>
            </w:r>
            <w:hyperlink r:id="rId18">
              <w:r>
                <w:rPr>
                  <w:rStyle w:val="InternetLink"/>
                  <w:rFonts w:cs="Arial" w:ascii="Arial" w:hAnsi="Arial"/>
                  <w:color w:val="000000"/>
                  <w:sz w:val="22"/>
                  <w:szCs w:val="22"/>
                  <w:u w:val="none"/>
                </w:rPr>
                <w:t>Gu, Q</w:t>
              </w:r>
            </w:hyperlink>
            <w:r>
              <w:rPr>
                <w:rFonts w:cs="Arial" w:ascii="Arial" w:hAnsi="Arial"/>
                <w:sz w:val="22"/>
                <w:szCs w:val="22"/>
              </w:rPr>
              <w:t xml:space="preserve">., </w:t>
            </w:r>
            <w:hyperlink r:id="rId19">
              <w:r>
                <w:rPr>
                  <w:rStyle w:val="InternetLink"/>
                  <w:rFonts w:cs="Arial" w:ascii="Arial" w:hAnsi="Arial"/>
                  <w:color w:val="000000"/>
                  <w:sz w:val="22"/>
                  <w:szCs w:val="22"/>
                  <w:u w:val="none"/>
                </w:rPr>
                <w:t>Bullard, K. M</w:t>
              </w:r>
            </w:hyperlink>
            <w:r>
              <w:rPr>
                <w:rFonts w:cs="Arial" w:ascii="Arial" w:hAnsi="Arial"/>
                <w:sz w:val="22"/>
                <w:szCs w:val="22"/>
              </w:rPr>
              <w:t xml:space="preserve">., </w:t>
            </w:r>
            <w:hyperlink r:id="rId20">
              <w:r>
                <w:rPr>
                  <w:rStyle w:val="InternetLink"/>
                  <w:rFonts w:cs="Arial" w:ascii="Arial" w:hAnsi="Arial"/>
                  <w:color w:val="000000"/>
                  <w:sz w:val="22"/>
                  <w:szCs w:val="22"/>
                  <w:u w:val="none"/>
                </w:rPr>
                <w:t>Freedman, D. S</w:t>
              </w:r>
            </w:hyperlink>
            <w:r>
              <w:rPr>
                <w:rFonts w:cs="Arial" w:ascii="Arial" w:hAnsi="Arial"/>
                <w:sz w:val="22"/>
                <w:szCs w:val="22"/>
              </w:rPr>
              <w:t xml:space="preserve">., </w:t>
            </w:r>
            <w:hyperlink r:id="rId21">
              <w:r>
                <w:rPr>
                  <w:rStyle w:val="InternetLink"/>
                  <w:rFonts w:cs="Arial" w:ascii="Arial" w:hAnsi="Arial"/>
                  <w:color w:val="000000"/>
                  <w:sz w:val="22"/>
                  <w:szCs w:val="22"/>
                  <w:u w:val="none"/>
                </w:rPr>
                <w:t>Ahluwalia, N</w:t>
              </w:r>
            </w:hyperlink>
            <w:r>
              <w:rPr>
                <w:rFonts w:cs="Arial" w:ascii="Arial" w:hAnsi="Arial"/>
                <w:sz w:val="22"/>
                <w:szCs w:val="22"/>
              </w:rPr>
              <w:t xml:space="preserve">., &amp; </w:t>
            </w:r>
            <w:hyperlink r:id="rId22">
              <w:r>
                <w:rPr>
                  <w:rStyle w:val="InternetLink"/>
                  <w:rFonts w:cs="Arial" w:ascii="Arial" w:hAnsi="Arial"/>
                  <w:color w:val="000000"/>
                  <w:sz w:val="22"/>
                  <w:szCs w:val="22"/>
                  <w:u w:val="none"/>
                </w:rPr>
                <w:t>Ogden, C. L</w:t>
              </w:r>
            </w:hyperlink>
            <w:r>
              <w:rPr>
                <w:rFonts w:cs="Arial" w:ascii="Arial" w:hAnsi="Arial"/>
                <w:sz w:val="22"/>
                <w:szCs w:val="22"/>
              </w:rPr>
              <w:t xml:space="preserve">. (2014). Population distribution of the </w:t>
            </w:r>
            <w:r>
              <w:rPr>
                <w:rStyle w:val="Highlight"/>
                <w:rFonts w:cs="Arial" w:ascii="Arial" w:hAnsi="Arial"/>
                <w:sz w:val="22"/>
                <w:szCs w:val="22"/>
              </w:rPr>
              <w:t>sagittal abdominal diameter</w:t>
            </w:r>
            <w:r>
              <w:rPr>
                <w:rFonts w:cs="Arial" w:ascii="Arial" w:hAnsi="Arial"/>
                <w:sz w:val="22"/>
                <w:szCs w:val="22"/>
              </w:rPr>
              <w:t xml:space="preserve"> (SAD) from a representative sample of US adults: Comparison of SAD, waist circumference and body mass index for identifying dysglycemia. </w:t>
            </w:r>
            <w:r>
              <w:rPr>
                <w:rFonts w:cs="Arial" w:ascii="Arial" w:hAnsi="Arial"/>
                <w:i/>
                <w:sz w:val="22"/>
                <w:szCs w:val="22"/>
              </w:rPr>
              <w:t>PLoS One, 9</w:t>
            </w:r>
            <w:r>
              <w:rPr>
                <w:rFonts w:cs="Arial" w:ascii="Arial" w:hAnsi="Arial"/>
                <w:sz w:val="22"/>
                <w:szCs w:val="22"/>
              </w:rPr>
              <w:t>(10), e108707. doi:10.1371/journal.pone.0108707</w:t>
            </w:r>
          </w:p>
          <w:p>
            <w:pPr>
              <w:pStyle w:val="Title"/>
              <w:rPr/>
            </w:pPr>
            <w:r>
              <w:rPr>
                <w:rFonts w:cs="Arial" w:ascii="Arial" w:hAnsi="Arial"/>
                <w:sz w:val="22"/>
                <w:szCs w:val="22"/>
              </w:rPr>
              <w:t xml:space="preserve">Labyak, C. A., Janicke, D. M., Lim, C. S., Colee, J., &amp; Mathews, A. E. (2013). Anthropometrics to identify overweight children at most risk for the development of cardiometabolic disease. </w:t>
            </w:r>
            <w:r>
              <w:rPr>
                <w:rStyle w:val="Jrnl"/>
                <w:rFonts w:cs="Arial" w:ascii="Arial" w:hAnsi="Arial"/>
                <w:i/>
                <w:sz w:val="22"/>
                <w:szCs w:val="22"/>
              </w:rPr>
              <w:t>Infant, Child, &amp; Adolescent Nutrition,</w:t>
            </w:r>
            <w:r>
              <w:rPr>
                <w:rFonts w:cs="Arial" w:ascii="Arial" w:hAnsi="Arial"/>
                <w:i/>
                <w:sz w:val="22"/>
                <w:szCs w:val="22"/>
              </w:rPr>
              <w:t xml:space="preserve"> 5</w:t>
            </w:r>
            <w:r>
              <w:rPr>
                <w:rFonts w:cs="Arial" w:ascii="Arial" w:hAnsi="Arial"/>
                <w:sz w:val="22"/>
                <w:szCs w:val="22"/>
              </w:rPr>
              <w:t>(6), 341–346.</w:t>
            </w:r>
          </w:p>
          <w:p>
            <w:pPr>
              <w:pStyle w:val="Normal"/>
              <w:rPr>
                <w:rFonts w:ascii="Arial" w:hAnsi="Arial" w:cs="Arial"/>
                <w:sz w:val="22"/>
                <w:szCs w:val="22"/>
              </w:rPr>
            </w:pPr>
            <w:r>
              <w:rPr>
                <w:rFonts w:cs="Arial" w:ascii="Arial" w:hAnsi="Arial"/>
                <w:sz w:val="22"/>
                <w:szCs w:val="22"/>
              </w:rPr>
              <w:t xml:space="preserve">Weber, D. R., Levitt Katz, L. E., Zemel, B. S., Gallagher, P. R., Murphy, K. M., Dumser, S. M., Lipman, T. H. (2014). </w:t>
            </w:r>
            <w:hyperlink r:id="rId23">
              <w:r>
                <w:rPr>
                  <w:rStyle w:val="InternetLink"/>
                  <w:rFonts w:cs="Arial" w:ascii="Arial" w:hAnsi="Arial"/>
                  <w:color w:val="000000"/>
                  <w:sz w:val="22"/>
                  <w:szCs w:val="22"/>
                  <w:u w:val="none"/>
                </w:rPr>
                <w:t>Anthropometric measures of abdominal adiposity for the identification of cardiometabolic risk factors in adolescents.</w:t>
              </w:r>
            </w:hyperlink>
            <w:r>
              <w:rPr>
                <w:rFonts w:cs="Arial" w:ascii="Arial" w:hAnsi="Arial"/>
                <w:sz w:val="22"/>
                <w:szCs w:val="22"/>
              </w:rPr>
              <w:t xml:space="preserve"> </w:t>
            </w:r>
            <w:r>
              <w:rPr>
                <w:rStyle w:val="Jrnl"/>
                <w:rFonts w:cs="Arial" w:ascii="Arial" w:hAnsi="Arial"/>
                <w:sz w:val="22"/>
                <w:szCs w:val="22"/>
              </w:rPr>
              <w:t>Diabetes Research and Clinical Pract</w:t>
            </w:r>
            <w:r>
              <w:rPr>
                <w:rFonts w:cs="Arial" w:ascii="Arial" w:hAnsi="Arial"/>
                <w:sz w:val="22"/>
                <w:szCs w:val="22"/>
              </w:rPr>
              <w:t>ice, 103(3), e14–e17. doi:10.1016/j.diabres.2013.12.050</w:t>
            </w:r>
          </w:p>
        </w:tc>
      </w:tr>
      <w:tr>
        <w:trPr/>
        <w:tc>
          <w:tcPr>
            <w:tcW w:w="2304" w:type="dxa"/>
            <w:tcBorders>
              <w:top w:val="single" w:sz="4" w:space="0" w:color="000000"/>
              <w:left w:val="single" w:sz="4" w:space="0" w:color="000000"/>
              <w:bottom w:val="single" w:sz="4" w:space="0" w:color="000000"/>
              <w:right w:val="single" w:sz="4" w:space="0" w:color="000000"/>
            </w:tcBorders>
          </w:tcPr>
          <w:p>
            <w:pPr>
              <w:pStyle w:val="Normal"/>
              <w:spacing w:before="0" w:after="0"/>
              <w:contextualSpacing/>
              <w:rPr>
                <w:rFonts w:ascii="Arial" w:hAnsi="Arial" w:cs="Arial"/>
                <w:b/>
                <w:b/>
                <w:sz w:val="22"/>
                <w:szCs w:val="22"/>
              </w:rPr>
            </w:pPr>
            <w:r>
              <w:rPr>
                <w:rFonts w:cs="Arial" w:ascii="Arial" w:hAnsi="Arial"/>
                <w:b/>
                <w:sz w:val="22"/>
                <w:szCs w:val="22"/>
              </w:rPr>
              <w:t>Process and Review</w:t>
            </w:r>
          </w:p>
        </w:tc>
        <w:tc>
          <w:tcPr>
            <w:tcW w:w="7056" w:type="dxa"/>
            <w:tcBorders>
              <w:top w:val="single" w:sz="4" w:space="0" w:color="000000"/>
              <w:left w:val="single" w:sz="4" w:space="0" w:color="000000"/>
              <w:bottom w:val="single" w:sz="4" w:space="0" w:color="000000"/>
              <w:right w:val="single" w:sz="4" w:space="0" w:color="000000"/>
            </w:tcBorders>
          </w:tcPr>
          <w:p>
            <w:pPr>
              <w:pStyle w:val="Normal"/>
              <w:rPr/>
            </w:pPr>
            <w:r>
              <w:rPr>
                <w:rFonts w:cs="Arial" w:ascii="Arial" w:hAnsi="Arial"/>
                <w:sz w:val="22"/>
                <w:szCs w:val="22"/>
              </w:rPr>
              <w:t xml:space="preserve">The </w:t>
            </w:r>
            <w:hyperlink r:id="rId24">
              <w:r>
                <w:rPr>
                  <w:rStyle w:val="InternetLink"/>
                  <w:rFonts w:cs="Arial" w:ascii="Arial" w:hAnsi="Arial"/>
                  <w:sz w:val="22"/>
                  <w:szCs w:val="22"/>
                </w:rPr>
                <w:t>Expert Review Panel #1</w:t>
              </w:r>
            </w:hyperlink>
            <w:r>
              <w:rPr>
                <w:rFonts w:cs="Arial" w:ascii="Arial" w:hAnsi="Arial"/>
                <w:sz w:val="22"/>
                <w:szCs w:val="22"/>
              </w:rPr>
              <w:t xml:space="preserve"> reviewed the measures in the Anthropometrics, Diabetes, Physical Activity and Physical Fitness, and Nutrition and Dietary Supplements domains. </w:t>
            </w:r>
          </w:p>
          <w:p>
            <w:pPr>
              <w:pStyle w:val="Normal"/>
              <w:ind w:firstLine="1076"/>
              <w:rPr>
                <w:rFonts w:ascii="Arial" w:hAnsi="Arial" w:cs="Arial"/>
                <w:sz w:val="22"/>
                <w:szCs w:val="22"/>
              </w:rPr>
            </w:pPr>
            <w:r>
              <w:rPr>
                <w:rFonts w:cs="Arial" w:ascii="Arial" w:hAnsi="Arial"/>
                <w:sz w:val="22"/>
                <w:szCs w:val="22"/>
              </w:rPr>
            </w:r>
          </w:p>
          <w:p>
            <w:pPr>
              <w:pStyle w:val="Normal"/>
              <w:ind w:firstLine="266"/>
              <w:rPr>
                <w:rFonts w:ascii="Arial" w:hAnsi="Arial" w:cs="Arial"/>
                <w:sz w:val="22"/>
                <w:szCs w:val="22"/>
              </w:rPr>
            </w:pPr>
            <w:r>
              <w:rPr>
                <w:rFonts w:cs="Arial" w:ascii="Arial" w:hAnsi="Arial"/>
                <w:sz w:val="22"/>
                <w:szCs w:val="22"/>
              </w:rPr>
              <w:t>Guidance from the ERP includes:</w:t>
            </w:r>
          </w:p>
          <w:p>
            <w:pPr>
              <w:pStyle w:val="ListParagraph"/>
              <w:numPr>
                <w:ilvl w:val="0"/>
                <w:numId w:val="2"/>
              </w:numPr>
              <w:spacing w:before="0" w:after="0"/>
              <w:ind w:left="720" w:hanging="274"/>
              <w:contextualSpacing w:val="false"/>
              <w:rPr>
                <w:rFonts w:ascii="Arial" w:hAnsi="Arial" w:cs="Arial"/>
                <w:sz w:val="22"/>
                <w:szCs w:val="22"/>
              </w:rPr>
            </w:pPr>
            <w:r>
              <w:rPr>
                <w:rFonts w:cs="Arial" w:ascii="Arial" w:hAnsi="Arial"/>
                <w:sz w:val="22"/>
                <w:szCs w:val="22"/>
              </w:rPr>
              <w:t>Replaced the protocol (different source)</w:t>
            </w:r>
          </w:p>
          <w:p>
            <w:pPr>
              <w:pStyle w:val="Normal"/>
              <w:spacing w:before="0" w:after="0"/>
              <w:contextualSpacing/>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t>Previous version in Toolkit archive (</w:t>
            </w:r>
            <w:hyperlink r:id="rId25">
              <w:r>
                <w:rPr>
                  <w:rStyle w:val="InternetLink"/>
                  <w:rFonts w:cs="Arial" w:ascii="Arial" w:hAnsi="Arial"/>
                  <w:sz w:val="22"/>
                  <w:szCs w:val="22"/>
                </w:rPr>
                <w:t>link</w:t>
              </w:r>
            </w:hyperlink>
            <w:r>
              <w:rPr>
                <w:rFonts w:cs="Arial" w:ascii="Arial" w:hAnsi="Arial"/>
                <w:sz w:val="22"/>
                <w:szCs w:val="22"/>
              </w:rPr>
              <w:t>)</w:t>
            </w:r>
          </w:p>
          <w:p>
            <w:pPr>
              <w:pStyle w:val="Normal"/>
              <w:spacing w:before="0" w:after="0"/>
              <w:contextualSpacing/>
              <w:rPr>
                <w:rFonts w:ascii="Arial" w:hAnsi="Arial" w:cs="Arial"/>
                <w:sz w:val="22"/>
                <w:szCs w:val="22"/>
              </w:rPr>
            </w:pPr>
            <w:r>
              <w:rPr>
                <w:rFonts w:cs="Arial" w:ascii="Arial" w:hAnsi="Arial"/>
                <w:sz w:val="22"/>
                <w:szCs w:val="22"/>
              </w:rPr>
            </w:r>
          </w:p>
        </w:tc>
      </w:tr>
    </w:tbl>
    <w:p>
      <w:pPr>
        <w:pStyle w:val="Normal"/>
        <w:spacing w:before="0" w:after="0"/>
        <w:contextualSpacing/>
        <w:rPr/>
      </w:pPr>
      <w:r>
        <w:rPr/>
      </w:r>
    </w:p>
    <w:sectPr>
      <w:headerReference w:type="default" r:id="rId26"/>
      <w:footerReference w:type="default" r:id="rId27"/>
      <w:type w:val="nextPage"/>
      <w:pgSz w:w="12240" w:h="15840"/>
      <w:pgMar w:left="1296" w:right="1296" w:gutter="0" w:header="720" w:top="776" w:footer="720" w:bottom="1152"/>
      <w:pgNumType w:fmt="decimal"/>
      <w:formProt w:val="false"/>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ourier New">
    <w:charset w:val="00"/>
    <w:family w:val="modern"/>
    <w:pitch w:val="default"/>
  </w:font>
  <w:font w:name="Wingdings">
    <w:charset w:val="02"/>
    <w:family w:val="auto"/>
    <w:pitch w:val="variable"/>
  </w:font>
  <w:font w:name="Liberation Sans">
    <w:altName w:val="Arial"/>
    <w:charset w:val="01"/>
    <w:family w:val="swiss"/>
    <w:pitch w:val="variable"/>
  </w:font>
  <w:font w:name="Tahoma">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jc w:val="center"/>
      <w:rPr>
        <w:rFonts w:ascii="Arial" w:hAnsi="Arial" w:cs="Arial"/>
        <w:b/>
        <w:b/>
        <w:sz w:val="20"/>
        <w:szCs w:val="20"/>
      </w:rPr>
    </w:pPr>
    <w:r>
      <w:rPr>
        <w:rFonts w:cs="Arial" w:ascii="Arial" w:hAnsi="Arial"/>
        <w:b/>
        <w:sz w:val="20"/>
        <w:szCs w:val="20"/>
      </w:rPr>
      <w:t>PhenX Toolkit Supplemental Information</w:t>
    </w:r>
  </w:p>
  <w:p>
    <w:pPr>
      <w:pStyle w:val="Normal"/>
      <w:jc w:val="center"/>
      <w:rPr>
        <w:rFonts w:ascii="Arial" w:hAnsi="Arial" w:cs="Arial"/>
        <w:b/>
        <w:b/>
        <w:sz w:val="20"/>
        <w:szCs w:val="20"/>
      </w:rPr>
    </w:pPr>
    <w:r>
      <w:rPr>
        <w:rStyle w:val="StrongEmphasis"/>
        <w:rFonts w:cs="Arial" w:ascii="Arial" w:hAnsi="Arial"/>
        <w:sz w:val="20"/>
        <w:szCs w:val="20"/>
      </w:rPr>
      <w:t>Sagittal Abdominal Diameter</w:t>
    </w:r>
  </w:p>
  <w:p>
    <w:pPr>
      <w:pStyle w:val="Footer"/>
      <w:jc w:val="right"/>
      <w:rPr>
        <w:rFonts w:ascii="Arial" w:hAnsi="Arial" w:cs="Arial"/>
        <w:b/>
        <w:b/>
        <w:sz w:val="18"/>
        <w:szCs w:val="18"/>
      </w:rPr>
    </w:pPr>
    <w:r>
      <w:rPr>
        <w:rFonts w:cs="Arial" w:ascii="Arial" w:hAnsi="Arial"/>
        <w:b/>
        <w:sz w:val="18"/>
        <w:szCs w:val="18"/>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rFonts w:ascii="Arial" w:hAnsi="Arial" w:cs="Arial"/>
        <w:b/>
        <w:b/>
        <w:sz w:val="20"/>
        <w:szCs w:val="20"/>
      </w:rPr>
    </w:pPr>
    <w:r>
      <w:rPr>
        <w:rFonts w:cs="Arial" w:ascii="Arial" w:hAnsi="Arial"/>
        <w:b/>
        <w:sz w:val="20"/>
        <w:szCs w:val="20"/>
      </w:rPr>
      <w:t>PhenX Toolkit Supplemental Information</w:t>
      <w:tab/>
      <w:tab/>
      <w:tab/>
      <w:tab/>
    </w:r>
  </w:p>
  <w:p>
    <w:pPr>
      <w:pStyle w:val="Normal"/>
      <w:rPr>
        <w:rFonts w:ascii="Arial" w:hAnsi="Arial" w:cs="Arial"/>
        <w:b/>
        <w:b/>
        <w:sz w:val="20"/>
        <w:szCs w:val="20"/>
      </w:rPr>
    </w:pPr>
    <w:r>
      <w:rPr>
        <w:rFonts w:cs="Arial" w:ascii="Arial" w:hAnsi="Arial"/>
        <w:b/>
        <w:sz w:val="20"/>
        <w:szCs w:val="20"/>
      </w:rPr>
      <w:t>Domain: Anthropometrics</w:t>
    </w:r>
  </w:p>
  <w:p>
    <w:pPr>
      <w:pStyle w:val="Normal"/>
      <w:rPr/>
    </w:pPr>
    <w:r>
      <w:rPr>
        <w:rFonts w:cs="Arial" w:ascii="Arial" w:hAnsi="Arial"/>
        <w:b/>
        <w:sz w:val="20"/>
        <w:szCs w:val="20"/>
      </w:rPr>
      <w:t xml:space="preserve">Release Date: October 1, 2015 </w:t>
      <w:tab/>
    </w:r>
  </w:p>
  <w:p>
    <w:pPr>
      <w:pStyle w:val="Normal"/>
      <w:rPr/>
    </w:pPr>
    <w:r>
      <w:rPr>
        <w:rStyle w:val="StrongEmphasis"/>
        <w:rFonts w:cs="Arial" w:ascii="Arial" w:hAnsi="Arial"/>
        <w:sz w:val="20"/>
        <w:szCs w:val="20"/>
      </w:rPr>
      <w:t>Sagittal Abdominal Diameter</w:t>
    </w:r>
    <w:r>
      <w:rPr>
        <w:rFonts w:cs="Arial" w:ascii="Arial" w:hAnsi="Arial"/>
        <w:b/>
        <w:sz w:val="20"/>
        <w:szCs w:val="20"/>
      </w:rPr>
      <w:tab/>
      <w:tab/>
      <w:tab/>
      <w:tab/>
      <w:tab/>
    </w:r>
  </w:p>
  <w:p>
    <w:pPr>
      <w:pStyle w:val="Header"/>
      <w:rPr>
        <w:rFonts w:ascii="Arial" w:hAnsi="Arial" w:cs="Arial"/>
        <w:b/>
        <w:b/>
        <w:sz w:val="20"/>
        <w:szCs w:val="20"/>
      </w:rPr>
    </w:pPr>
    <w:r>
      <w:rPr>
        <w:rFonts w:cs="Arial" w:ascii="Arial" w:hAnsi="Arial"/>
        <w:b/>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Noto Sans Devanagari"/>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TextBody"/>
    <w:qFormat/>
    <w:pPr>
      <w:numPr>
        <w:ilvl w:val="0"/>
        <w:numId w:val="1"/>
      </w:numPr>
      <w:spacing w:before="280" w:after="280"/>
      <w:outlineLvl w:val="0"/>
    </w:pPr>
    <w:rPr>
      <w:b/>
      <w:bCs/>
      <w:kern w:val="2"/>
      <w:sz w:val="48"/>
      <w:szCs w:val="48"/>
    </w:rPr>
  </w:style>
  <w:style w:type="paragraph" w:styleId="Heading3">
    <w:name w:val="Heading 3"/>
    <w:basedOn w:val="Normal"/>
    <w:next w:val="TextBody"/>
    <w:qFormat/>
    <w:pPr>
      <w:numPr>
        <w:ilvl w:val="2"/>
        <w:numId w:val="1"/>
      </w:numPr>
      <w:spacing w:before="280" w:after="280"/>
      <w:outlineLvl w:val="2"/>
    </w:pPr>
    <w:rPr>
      <w:b/>
      <w:bCs/>
      <w:sz w:val="27"/>
      <w:szCs w:val="27"/>
    </w:rPr>
  </w:style>
  <w:style w:type="character" w:styleId="WW8Num1z0">
    <w:name w:val="WW8Num1z0"/>
    <w:qFormat/>
    <w:rPr/>
  </w:style>
  <w:style w:type="character" w:styleId="WW8Num2z0">
    <w:name w:val="WW8Num2z0"/>
    <w:qFormat/>
    <w:rPr/>
  </w:style>
  <w:style w:type="character" w:styleId="WW8Num4z0">
    <w:name w:val="WW8Num4z0"/>
    <w:qFormat/>
    <w:rPr>
      <w:rFonts w:ascii="Symbol" w:hAnsi="Symbol" w:cs="Symbol"/>
      <w:sz w:val="20"/>
    </w:rPr>
  </w:style>
  <w:style w:type="character" w:styleId="WW8Num4z1">
    <w:name w:val="WW8Num4z1"/>
    <w:qFormat/>
    <w:rPr>
      <w:rFonts w:ascii="Courier New" w:hAnsi="Courier New" w:cs="Courier New"/>
      <w:sz w:val="20"/>
    </w:rPr>
  </w:style>
  <w:style w:type="character" w:styleId="WW8Num4z2">
    <w:name w:val="WW8Num4z2"/>
    <w:qFormat/>
    <w:rPr>
      <w:rFonts w:ascii="Wingdings" w:hAnsi="Wingdings" w:cs="Wingdings"/>
      <w:sz w:val="20"/>
    </w:rPr>
  </w:style>
  <w:style w:type="character" w:styleId="WW8Num5z0">
    <w:name w:val="WW8Num5z0"/>
    <w:qFormat/>
    <w:rPr>
      <w:rFonts w:ascii="Symbol" w:hAnsi="Symbol" w:cs="Symbol"/>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DefaultParagraphFont">
    <w:name w:val="Default Paragraph Font"/>
    <w:qFormat/>
    <w:rPr/>
  </w:style>
  <w:style w:type="character" w:styleId="InternetLink">
    <w:name w:val="Hyperlink"/>
    <w:rPr>
      <w:color w:val="0000FF"/>
      <w:u w:val="single"/>
    </w:rPr>
  </w:style>
  <w:style w:type="character" w:styleId="VisitedInternetLink">
    <w:name w:val="FollowedHyperlink"/>
    <w:rPr>
      <w:color w:val="800080"/>
      <w:u w:val="single"/>
    </w:rPr>
  </w:style>
  <w:style w:type="character" w:styleId="CommentReference">
    <w:name w:val="Comment Reference"/>
    <w:qFormat/>
    <w:rPr>
      <w:sz w:val="16"/>
      <w:szCs w:val="16"/>
    </w:rPr>
  </w:style>
  <w:style w:type="character" w:styleId="StrongEmphasis">
    <w:name w:val="Strong Emphasis"/>
    <w:qFormat/>
    <w:rPr>
      <w:b/>
      <w:bCs/>
    </w:rPr>
  </w:style>
  <w:style w:type="character" w:styleId="HeaderChar">
    <w:name w:val="Header Char"/>
    <w:qFormat/>
    <w:rPr>
      <w:sz w:val="24"/>
      <w:szCs w:val="24"/>
    </w:rPr>
  </w:style>
  <w:style w:type="character" w:styleId="DefaultChar">
    <w:name w:val="Default Char"/>
    <w:qFormat/>
    <w:rPr>
      <w:rFonts w:ascii="Arial" w:hAnsi="Arial" w:cs="Arial"/>
      <w:color w:val="000000"/>
      <w:sz w:val="24"/>
      <w:szCs w:val="24"/>
      <w:lang w:val="en-US" w:bidi="ar-SA"/>
    </w:rPr>
  </w:style>
  <w:style w:type="character" w:styleId="CommentTextChar">
    <w:name w:val="Comment Text Char"/>
    <w:basedOn w:val="DefaultParagraphFont"/>
    <w:qFormat/>
    <w:rPr/>
  </w:style>
  <w:style w:type="character" w:styleId="Heading1Char">
    <w:name w:val="Heading 1 Char"/>
    <w:qFormat/>
    <w:rPr>
      <w:b/>
      <w:bCs/>
      <w:kern w:val="2"/>
      <w:sz w:val="48"/>
      <w:szCs w:val="48"/>
    </w:rPr>
  </w:style>
  <w:style w:type="character" w:styleId="Heading3Char">
    <w:name w:val="Heading 3 Char"/>
    <w:qFormat/>
    <w:rPr>
      <w:b/>
      <w:bCs/>
      <w:sz w:val="27"/>
      <w:szCs w:val="27"/>
    </w:rPr>
  </w:style>
  <w:style w:type="character" w:styleId="Highlight">
    <w:name w:val="highlight"/>
    <w:qFormat/>
    <w:rPr/>
  </w:style>
  <w:style w:type="character" w:styleId="Uincbitogglermastertext">
    <w:name w:val="ui-ncbitoggler-master-text"/>
    <w:qFormat/>
    <w:rPr/>
  </w:style>
  <w:style w:type="character" w:styleId="Jrnl">
    <w:name w:val="jrnl"/>
    <w:qFormat/>
    <w:rPr/>
  </w:style>
  <w:style w:type="paragraph" w:styleId="Heading">
    <w:name w:val="Heading"/>
    <w:basedOn w:val="Normal"/>
    <w:next w:val="TextBody"/>
    <w:qFormat/>
    <w:pPr>
      <w:keepNext w:val="true"/>
      <w:spacing w:before="240" w:after="120"/>
    </w:pPr>
    <w:rPr>
      <w:rFonts w:ascii="Liberation Sans" w:hAnsi="Liberation Sans" w:eastAsia="DejaVu Sans" w:cs="Noto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HeaderandFooter">
    <w:name w:val="Header and Footer"/>
    <w:basedOn w:val="Normal"/>
    <w:qFormat/>
    <w:pPr>
      <w:suppressLineNumbers/>
      <w:tabs>
        <w:tab w:val="clear" w:pos="720"/>
        <w:tab w:val="center" w:pos="4819" w:leader="none"/>
        <w:tab w:val="right" w:pos="9638"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CommentText">
    <w:name w:val="Comment Text"/>
    <w:basedOn w:val="Normal"/>
    <w:qFormat/>
    <w:pPr/>
    <w:rPr>
      <w:sz w:val="20"/>
      <w:szCs w:val="20"/>
    </w:rPr>
  </w:style>
  <w:style w:type="paragraph" w:styleId="CommentSubject">
    <w:name w:val="Comment Subject"/>
    <w:basedOn w:val="CommentText"/>
    <w:next w:val="CommentText"/>
    <w:qFormat/>
    <w:pPr/>
    <w:rPr>
      <w:b/>
      <w:bCs/>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left="720" w:hanging="0"/>
      <w:contextualSpacing/>
    </w:pPr>
    <w:rPr/>
  </w:style>
  <w:style w:type="paragraph" w:styleId="Default">
    <w:name w:val="Default"/>
    <w:qFormat/>
    <w:pPr>
      <w:widowControl/>
      <w:autoSpaceDE w:val="false"/>
      <w:bidi w:val="0"/>
    </w:pPr>
    <w:rPr>
      <w:rFonts w:ascii="Arial" w:hAnsi="Arial" w:eastAsia="Times New Roman" w:cs="Arial"/>
      <w:color w:val="000000"/>
      <w:sz w:val="24"/>
      <w:szCs w:val="24"/>
      <w:lang w:val="en-US" w:bidi="ar-SA" w:eastAsia="zh-CN"/>
    </w:rPr>
  </w:style>
  <w:style w:type="paragraph" w:styleId="Revision">
    <w:name w:val="Revision"/>
    <w:qFormat/>
    <w:pPr>
      <w:widowControl/>
      <w:bidi w:val="0"/>
    </w:pPr>
    <w:rPr>
      <w:rFonts w:ascii="Times New Roman" w:hAnsi="Times New Roman" w:eastAsia="Times New Roman" w:cs="Times New Roman"/>
      <w:color w:val="auto"/>
      <w:sz w:val="24"/>
      <w:szCs w:val="24"/>
      <w:lang w:val="en-US" w:bidi="ar-SA" w:eastAsia="zh-CN"/>
    </w:rPr>
  </w:style>
  <w:style w:type="paragraph" w:styleId="NormalWeb">
    <w:name w:val="Normal (Web)"/>
    <w:basedOn w:val="Normal"/>
    <w:qFormat/>
    <w:pPr>
      <w:spacing w:before="280" w:after="280"/>
    </w:pPr>
    <w:rPr/>
  </w:style>
  <w:style w:type="paragraph" w:styleId="Title">
    <w:name w:val="title"/>
    <w:basedOn w:val="Normal"/>
    <w:qFormat/>
    <w:pPr>
      <w:spacing w:before="280" w:after="280"/>
    </w:pPr>
    <w:rPr/>
  </w:style>
  <w:style w:type="paragraph" w:styleId="Desc">
    <w:name w:val="desc"/>
    <w:basedOn w:val="Normal"/>
    <w:qFormat/>
    <w:pPr>
      <w:spacing w:before="280" w:after="280"/>
    </w:pPr>
    <w:rPr/>
  </w:style>
  <w:style w:type="paragraph" w:styleId="Details">
    <w:name w:val="details"/>
    <w:basedOn w:val="Normal"/>
    <w:qFormat/>
    <w:pPr>
      <w:spacing w:before="280" w:after="28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hyperlink" Target="http://www.cdc.gov/nchs/data/nhanes/nhanes_13_14/2013_Anthropometry.pdf" TargetMode="External"/><Relationship Id="rId17" Type="http://schemas.openxmlformats.org/officeDocument/2006/relationships/image" Target="media/image15.png"/><Relationship Id="rId18" Type="http://schemas.openxmlformats.org/officeDocument/2006/relationships/hyperlink" Target="http://www.ncbi.nlm.nih.gov/pubmed/?term=Gu Q%5BAuthor%5D&amp;cauthor=true&amp;cauthor_uid=25272003" TargetMode="External"/><Relationship Id="rId19" Type="http://schemas.openxmlformats.org/officeDocument/2006/relationships/hyperlink" Target="http://www.ncbi.nlm.nih.gov/pubmed/?term=Bullard KM%5BAuthor%5D&amp;cauthor=true&amp;cauthor_uid=25272003" TargetMode="External"/><Relationship Id="rId20" Type="http://schemas.openxmlformats.org/officeDocument/2006/relationships/hyperlink" Target="http://www.ncbi.nlm.nih.gov/pubmed/?term=Freedman DS%5BAuthor%5D&amp;cauthor=true&amp;cauthor_uid=25272003" TargetMode="External"/><Relationship Id="rId21" Type="http://schemas.openxmlformats.org/officeDocument/2006/relationships/hyperlink" Target="http://www.ncbi.nlm.nih.gov/pubmed/?term=Ahluwalia N%5BAuthor%5D&amp;cauthor=true&amp;cauthor_uid=25272003" TargetMode="External"/><Relationship Id="rId22" Type="http://schemas.openxmlformats.org/officeDocument/2006/relationships/hyperlink" Target="http://www.ncbi.nlm.nih.gov/pubmed/?term=Ogden CL%5BAuthor%5D&amp;cauthor=true&amp;cauthor_uid=25272003" TargetMode="External"/><Relationship Id="rId23" Type="http://schemas.openxmlformats.org/officeDocument/2006/relationships/hyperlink" Target="http://www.ncbi.nlm.nih.gov/pubmed/24552682" TargetMode="External"/><Relationship Id="rId24" Type="http://schemas.openxmlformats.org/officeDocument/2006/relationships/hyperlink" Target="https://phenx.org/Default.aspx?tabid=872" TargetMode="External"/><Relationship Id="rId25" Type="http://schemas.openxmlformats.org/officeDocument/2006/relationships/hyperlink" Target="http://www.phenxtoolkit.org/index.php?pageLink=browse.archive.protocols&amp;id=20000"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63</TotalTime>
  <Application>LibreOffice/7.3.7.2$Linux_X86_64 LibreOffice_project/30$Build-2</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2015-08-18T13:15:00Z</dcterms:created>
  <dc:creator>whuggins</dc:creator>
  <dc:description/>
  <cp:keywords/>
  <dc:language>en-US</dc:language>
  <cp:lastModifiedBy>Qin, Ying</cp:lastModifiedBy>
  <cp:lastPrinted>2009-03-24T15:13:00Z</cp:lastPrinted>
  <dcterms:modified xsi:type="dcterms:W3CDTF">2015-10-01T02:34:00Z</dcterms:modified>
  <cp:revision>14</cp:revision>
  <dc:subject/>
  <dc:title/>
</cp:coreProperties>
</file>