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
          <w:sz w:val="22"/>
          <w:szCs w:val="22"/>
        </w:rPr>
      </w:pPr>
      <w:r>
        <w:rPr>
          <w:rFonts w:cs="Arial" w:ascii="Arial" w:hAnsi="Arial"/>
          <w:b/>
          <w:sz w:val="22"/>
          <w:szCs w:val="22"/>
        </w:rPr>
      </w:r>
    </w:p>
    <w:tbl>
      <w:tblPr>
        <w:tblW w:w="10940" w:type="dxa"/>
        <w:jc w:val="left"/>
        <w:tblInd w:w="-749" w:type="dxa"/>
        <w:tblLayout w:type="fixed"/>
        <w:tblCellMar>
          <w:top w:w="0" w:type="dxa"/>
          <w:left w:w="108" w:type="dxa"/>
          <w:bottom w:w="0" w:type="dxa"/>
          <w:right w:w="108" w:type="dxa"/>
        </w:tblCellMar>
      </w:tblPr>
      <w:tblGrid>
        <w:gridCol w:w="2245"/>
        <w:gridCol w:w="8695"/>
      </w:tblGrid>
      <w:tr>
        <w:trPr>
          <w:trHeight w:val="479" w:hRule="atLeast"/>
        </w:trPr>
        <w:tc>
          <w:tcPr>
            <w:tcW w:w="1094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About the Measure</w:t>
            </w:r>
          </w:p>
          <w:p>
            <w:pPr>
              <w:pStyle w:val="Normal"/>
              <w:rPr>
                <w:rFonts w:ascii="Arial" w:hAnsi="Arial" w:cs="Arial"/>
                <w:b/>
                <w:b/>
                <w:sz w:val="22"/>
                <w:szCs w:val="22"/>
              </w:rPr>
            </w:pPr>
            <w:r>
              <w:rPr>
                <w:rFonts w:cs="Arial" w:ascii="Arial" w:hAnsi="Arial"/>
                <w:b/>
                <w:sz w:val="22"/>
                <w:szCs w:val="22"/>
              </w:rPr>
            </w:r>
          </w:p>
        </w:tc>
      </w:tr>
      <w:tr>
        <w:trPr>
          <w:trHeight w:val="571" w:hRule="atLeast"/>
        </w:trPr>
        <w:tc>
          <w:tcPr>
            <w:tcW w:w="2245"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Domain:</w:t>
              <w:br/>
              <w:br/>
            </w:r>
            <w:r>
              <w:rPr>
                <w:rFonts w:cs="Arial" w:ascii="Arial" w:hAnsi="Arial"/>
                <w:bCs/>
                <w:sz w:val="16"/>
                <w:szCs w:val="16"/>
              </w:rPr>
              <w:t>(included in Community Outreach and Supplemental Information)</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Alcohol, Tobacco and Other Substances</w:t>
            </w:r>
          </w:p>
        </w:tc>
      </w:tr>
      <w:tr>
        <w:trPr>
          <w:trHeight w:val="432" w:hRule="atLeast"/>
        </w:trPr>
        <w:tc>
          <w:tcPr>
            <w:tcW w:w="22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Measure:</w:t>
              <w:br/>
              <w:br/>
            </w:r>
            <w:r>
              <w:rPr>
                <w:rFonts w:cs="Arial" w:ascii="Arial" w:hAnsi="Arial"/>
                <w:bCs/>
                <w:sz w:val="16"/>
                <w:szCs w:val="16"/>
              </w:rPr>
              <w:t>(included in Community Outreach and Supplemental Information)</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Alcohol - Treatment for Alcohol Usage</w:t>
            </w:r>
          </w:p>
          <w:p>
            <w:pPr>
              <w:pStyle w:val="Normal"/>
              <w:rPr>
                <w:rFonts w:ascii="Arial" w:hAnsi="Arial" w:cs="Arial"/>
                <w:sz w:val="22"/>
                <w:szCs w:val="22"/>
              </w:rPr>
            </w:pPr>
            <w:r>
              <w:rPr>
                <w:rFonts w:cs="Arial" w:ascii="Arial" w:hAnsi="Arial"/>
                <w:sz w:val="22"/>
                <w:szCs w:val="22"/>
              </w:rPr>
            </w:r>
          </w:p>
        </w:tc>
      </w:tr>
      <w:tr>
        <w:trPr>
          <w:trHeight w:val="339" w:hRule="atLeast"/>
        </w:trPr>
        <w:tc>
          <w:tcPr>
            <w:tcW w:w="2245"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Definition:</w:t>
              <w:br/>
              <w:br/>
            </w:r>
            <w:r>
              <w:rPr>
                <w:rFonts w:cs="Arial" w:ascii="Arial" w:hAnsi="Arial"/>
                <w:bCs/>
                <w:sz w:val="16"/>
                <w:szCs w:val="16"/>
              </w:rPr>
              <w:t>(included in Community Outreach and Supplemental Information)</w:t>
            </w:r>
          </w:p>
        </w:tc>
        <w:tc>
          <w:tcPr>
            <w:tcW w:w="8695"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b/>
                <w:b/>
                <w:bCs/>
                <w:sz w:val="22"/>
                <w:szCs w:val="22"/>
                <w:u w:val="single"/>
              </w:rPr>
            </w:pPr>
            <w:r>
              <w:rPr>
                <w:rFonts w:cs="Arial" w:ascii="Arial" w:hAnsi="Arial"/>
                <w:sz w:val="22"/>
                <w:szCs w:val="22"/>
              </w:rPr>
              <w:t>Question asks respondent if she or he has ever received treatment for alcohol.</w:t>
            </w:r>
          </w:p>
        </w:tc>
      </w:tr>
      <w:tr>
        <w:trPr>
          <w:trHeight w:val="293" w:hRule="atLeast"/>
        </w:trPr>
        <w:tc>
          <w:tcPr>
            <w:tcW w:w="22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Purpose:</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 and Supplemental Information)</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This measure is used to assess whether or not a respondent has sought out treatment for his or her alcohol usage. </w:t>
            </w:r>
          </w:p>
        </w:tc>
      </w:tr>
      <w:tr>
        <w:trPr>
          <w:trHeight w:val="293" w:hRule="atLeast"/>
        </w:trPr>
        <w:tc>
          <w:tcPr>
            <w:tcW w:w="2245" w:type="dxa"/>
            <w:tcBorders>
              <w:top w:val="single" w:sz="4" w:space="0" w:color="000000"/>
              <w:left w:val="single" w:sz="4" w:space="0" w:color="000000"/>
              <w:bottom w:val="single" w:sz="4" w:space="0" w:color="000000"/>
              <w:right w:val="single" w:sz="4" w:space="0" w:color="000000"/>
            </w:tcBorders>
            <w:shd w:fill="D9D9D9" w:val="clear"/>
          </w:tcPr>
          <w:p>
            <w:pPr>
              <w:pStyle w:val="Normal"/>
              <w:rPr/>
            </w:pPr>
            <w:r>
              <w:rPr>
                <w:rFonts w:cs="Arial" w:ascii="Arial" w:hAnsi="Arial"/>
                <w:b/>
                <w:sz w:val="22"/>
                <w:szCs w:val="22"/>
              </w:rPr>
              <w:t>Essential PhenX Measures: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Alcohol - Lifetime Use</w:t>
            </w:r>
          </w:p>
        </w:tc>
      </w:tr>
      <w:tr>
        <w:trPr>
          <w:trHeight w:val="293" w:hRule="atLeast"/>
        </w:trPr>
        <w:tc>
          <w:tcPr>
            <w:tcW w:w="22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Related PhenX Measures: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sz w:val="22"/>
                <w:szCs w:val="22"/>
              </w:rPr>
              <w:t xml:space="preserve">Unmet Need for Alcohol or Drug Treatment </w:t>
            </w:r>
          </w:p>
        </w:tc>
      </w:tr>
      <w:tr>
        <w:trPr>
          <w:trHeight w:val="293" w:hRule="atLeast"/>
        </w:trPr>
        <w:tc>
          <w:tcPr>
            <w:tcW w:w="2245"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 xml:space="preserve">Keywords: </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w:t>
            </w:r>
          </w:p>
        </w:tc>
        <w:tc>
          <w:tcPr>
            <w:tcW w:w="869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sz w:val="22"/>
                <w:szCs w:val="22"/>
              </w:rPr>
            </w:pPr>
            <w:r>
              <w:rPr>
                <w:rFonts w:cs="Arial" w:ascii="Arial" w:hAnsi="Arial"/>
                <w:b/>
                <w:sz w:val="22"/>
                <w:szCs w:val="22"/>
              </w:rPr>
            </w:r>
          </w:p>
        </w:tc>
      </w:tr>
      <w:tr>
        <w:trPr>
          <w:trHeight w:val="293" w:hRule="atLeast"/>
        </w:trPr>
        <w:tc>
          <w:tcPr>
            <w:tcW w:w="22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Measure Release Date:</w:t>
            </w:r>
          </w:p>
        </w:tc>
        <w:tc>
          <w:tcPr>
            <w:tcW w:w="869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2"/>
                <w:szCs w:val="22"/>
                <w:u w:val="single"/>
              </w:rPr>
            </w:pPr>
            <w:r>
              <w:rPr>
                <w:rFonts w:cs="Arial" w:ascii="Arial" w:hAnsi="Arial"/>
                <w:b/>
                <w:bCs/>
                <w:sz w:val="22"/>
                <w:szCs w:val="22"/>
                <w:u w:val="single"/>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r>
    </w:p>
    <w:tbl>
      <w:tblPr>
        <w:tblW w:w="10896" w:type="dxa"/>
        <w:jc w:val="center"/>
        <w:tblInd w:w="0" w:type="dxa"/>
        <w:tblLayout w:type="fixed"/>
        <w:tblCellMar>
          <w:top w:w="0" w:type="dxa"/>
          <w:left w:w="108" w:type="dxa"/>
          <w:bottom w:w="0" w:type="dxa"/>
          <w:right w:w="108" w:type="dxa"/>
        </w:tblCellMar>
      </w:tblPr>
      <w:tblGrid>
        <w:gridCol w:w="2334"/>
        <w:gridCol w:w="8562"/>
      </w:tblGrid>
      <w:tr>
        <w:trPr>
          <w:trHeight w:val="420" w:hRule="atLeast"/>
        </w:trPr>
        <w:tc>
          <w:tcPr>
            <w:tcW w:w="10896"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
                <w:sz w:val="22"/>
                <w:szCs w:val="22"/>
              </w:rPr>
            </w:pPr>
            <w:r>
              <w:rPr>
                <w:rFonts w:cs="Arial" w:ascii="Arial" w:hAnsi="Arial"/>
                <w:b/>
                <w:sz w:val="22"/>
                <w:szCs w:val="22"/>
              </w:rPr>
              <w:t>About the Protocol</w:t>
            </w:r>
          </w:p>
          <w:p>
            <w:pPr>
              <w:pStyle w:val="Normal"/>
              <w:jc w:val="center"/>
              <w:rPr>
                <w:rFonts w:ascii="Arial" w:hAnsi="Arial" w:cs="Arial"/>
                <w:b/>
                <w:b/>
                <w:sz w:val="22"/>
                <w:szCs w:val="22"/>
              </w:rPr>
            </w:pPr>
            <w:r>
              <w:rPr>
                <w:rFonts w:cs="Arial" w:ascii="Arial" w:hAnsi="Arial"/>
                <w:b/>
                <w:sz w:val="22"/>
                <w:szCs w:val="22"/>
                <w:highlight w:val="lightGray"/>
              </w:rPr>
              <w:t xml:space="preserve">(Please fill out a new table for each alternate protocol; this will make the data loading </w:t>
            </w:r>
            <w:r>
              <w:rPr>
                <w:rFonts w:cs="Arial" w:ascii="Arial" w:hAnsi="Arial"/>
                <w:b/>
                <w:i/>
                <w:iCs/>
                <w:sz w:val="22"/>
                <w:szCs w:val="22"/>
                <w:highlight w:val="lightGray"/>
              </w:rPr>
              <w:t>much</w:t>
            </w:r>
            <w:r>
              <w:rPr>
                <w:rFonts w:cs="Arial" w:ascii="Arial" w:hAnsi="Arial"/>
                <w:b/>
                <w:sz w:val="22"/>
                <w:szCs w:val="22"/>
                <w:highlight w:val="lightGray"/>
              </w:rPr>
              <w:t xml:space="preserve"> faster.)</w:t>
            </w:r>
          </w:p>
          <w:p>
            <w:pPr>
              <w:pStyle w:val="Normal"/>
              <w:rPr>
                <w:rFonts w:ascii="Arial" w:hAnsi="Arial" w:cs="Arial"/>
                <w:b/>
                <w:b/>
                <w:sz w:val="22"/>
                <w:szCs w:val="22"/>
              </w:rPr>
            </w:pPr>
            <w:r>
              <w:rPr>
                <w:rFonts w:cs="Arial" w:ascii="Arial" w:hAnsi="Arial"/>
                <w:b/>
                <w:sz w:val="22"/>
                <w:szCs w:val="22"/>
              </w:rPr>
            </w:r>
          </w:p>
        </w:tc>
      </w:tr>
      <w:tr>
        <w:trPr>
          <w:trHeight w:val="525" w:hRule="atLeast"/>
        </w:trPr>
        <w:tc>
          <w:tcPr>
            <w:tcW w:w="233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Protocol Release Date:</w:t>
            </w:r>
          </w:p>
        </w:tc>
        <w:tc>
          <w:tcPr>
            <w:tcW w:w="856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2"/>
                <w:szCs w:val="22"/>
                <w:u w:val="single"/>
              </w:rPr>
            </w:pPr>
            <w:r>
              <w:rPr>
                <w:rFonts w:cs="Arial" w:ascii="Arial" w:hAnsi="Arial"/>
                <w:b/>
                <w:bCs/>
                <w:sz w:val="22"/>
                <w:szCs w:val="22"/>
                <w:u w:val="single"/>
              </w:rPr>
            </w:r>
          </w:p>
        </w:tc>
      </w:tr>
      <w:tr>
        <w:trPr>
          <w:trHeight w:val="525" w:hRule="atLeast"/>
        </w:trPr>
        <w:tc>
          <w:tcPr>
            <w:tcW w:w="2334"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PhenX Protocol Name:</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w:t>
            </w:r>
          </w:p>
        </w:tc>
        <w:tc>
          <w:tcPr>
            <w:tcW w:w="856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Alcohol - Treatment for Alcohol Usage</w:t>
            </w:r>
          </w:p>
          <w:p>
            <w:pPr>
              <w:pStyle w:val="Normal"/>
              <w:rPr>
                <w:rFonts w:ascii="Arial" w:hAnsi="Arial" w:cs="Arial"/>
                <w:sz w:val="22"/>
                <w:szCs w:val="22"/>
              </w:rPr>
            </w:pPr>
            <w:r>
              <w:rPr>
                <w:rFonts w:cs="Arial" w:ascii="Arial" w:hAnsi="Arial"/>
                <w:sz w:val="22"/>
                <w:szCs w:val="22"/>
              </w:rPr>
            </w:r>
          </w:p>
        </w:tc>
      </w:tr>
      <w:tr>
        <w:trPr>
          <w:trHeight w:val="525" w:hRule="atLeast"/>
        </w:trPr>
        <w:tc>
          <w:tcPr>
            <w:tcW w:w="233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Protocol Name from Source:</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 xml:space="preserve">(included in Community Outreach) </w:t>
            </w:r>
          </w:p>
        </w:tc>
        <w:tc>
          <w:tcPr>
            <w:tcW w:w="856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bCs/>
                <w:sz w:val="22"/>
                <w:szCs w:val="22"/>
                <w:u w:val="single"/>
              </w:rPr>
            </w:pPr>
            <w:r>
              <w:rPr>
                <w:rFonts w:cs="Arial" w:ascii="Arial" w:hAnsi="Arial"/>
                <w:sz w:val="22"/>
                <w:szCs w:val="22"/>
              </w:rPr>
              <w:t>National Epidemiologic Survey on Alcohol and Related Conditions–III (NESARC-III)</w:t>
            </w:r>
          </w:p>
        </w:tc>
      </w:tr>
      <w:tr>
        <w:trPr>
          <w:trHeight w:val="525" w:hRule="atLeast"/>
        </w:trPr>
        <w:tc>
          <w:tcPr>
            <w:tcW w:w="2334"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16"/>
                <w:szCs w:val="16"/>
              </w:rPr>
            </w:pPr>
            <w:r>
              <w:rPr>
                <w:rFonts w:cs="Arial" w:ascii="Arial" w:hAnsi="Arial"/>
                <w:b/>
                <w:sz w:val="22"/>
                <w:szCs w:val="22"/>
              </w:rPr>
              <w:t>Description:</w:t>
              <w:br/>
              <w:br/>
            </w:r>
            <w:r>
              <w:rPr>
                <w:rFonts w:cs="Arial" w:ascii="Arial" w:hAnsi="Arial"/>
                <w:bCs/>
                <w:sz w:val="16"/>
                <w:szCs w:val="16"/>
              </w:rPr>
              <w:t>(included in Community Outreach and Supplemental Information)</w:t>
            </w:r>
          </w:p>
          <w:p>
            <w:pPr>
              <w:pStyle w:val="Normal"/>
              <w:rPr>
                <w:rFonts w:ascii="Arial" w:hAnsi="Arial" w:cs="Arial"/>
                <w:b/>
                <w:b/>
                <w:sz w:val="22"/>
                <w:szCs w:val="22"/>
              </w:rPr>
            </w:pPr>
            <w:r>
              <w:rPr>
                <w:rFonts w:cs="Arial" w:ascii="Arial" w:hAnsi="Arial"/>
                <w:b/>
                <w:sz w:val="22"/>
                <w:szCs w:val="22"/>
              </w:rPr>
            </w:r>
          </w:p>
        </w:tc>
        <w:tc>
          <w:tcPr>
            <w:tcW w:w="8562"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bCs/>
                <w:sz w:val="22"/>
                <w:szCs w:val="22"/>
              </w:rPr>
              <w:t>Taken from the National Epidemiologic Survey on Alcohol and Related Conditions</w:t>
            </w:r>
            <w:r>
              <w:rPr>
                <w:rFonts w:cs="Arial" w:ascii="Arial" w:hAnsi="Arial"/>
                <w:sz w:val="22"/>
                <w:szCs w:val="22"/>
              </w:rPr>
              <w:t>–</w:t>
            </w:r>
            <w:r>
              <w:rPr>
                <w:rFonts w:cs="Arial" w:ascii="Arial" w:hAnsi="Arial"/>
                <w:bCs/>
                <w:sz w:val="22"/>
                <w:szCs w:val="22"/>
              </w:rPr>
              <w:t>III (NESARC-III), this measure captures whether a respondent has sought treatment for alcohol consumption.</w:t>
            </w:r>
          </w:p>
        </w:tc>
      </w:tr>
      <w:tr>
        <w:trPr>
          <w:trHeight w:val="525" w:hRule="atLeast"/>
        </w:trPr>
        <w:tc>
          <w:tcPr>
            <w:tcW w:w="233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Specific Instructions: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 xml:space="preserve">(included in Community Outreach) </w:t>
            </w:r>
          </w:p>
        </w:tc>
        <w:tc>
          <w:tcPr>
            <w:tcW w:w="856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iCs/>
                <w:sz w:val="22"/>
                <w:szCs w:val="22"/>
              </w:rPr>
            </w:pPr>
            <w:r>
              <w:rPr>
                <w:rFonts w:cs="Arial" w:ascii="Arial" w:hAnsi="Arial"/>
                <w:iCs/>
                <w:sz w:val="22"/>
                <w:szCs w:val="22"/>
              </w:rPr>
              <w:t xml:space="preserve">Diagnostic algorithms (for the </w:t>
            </w:r>
            <w:r>
              <w:rPr>
                <w:rFonts w:cs="Arial" w:ascii="Arial" w:hAnsi="Arial"/>
                <w:bCs/>
                <w:i/>
                <w:sz w:val="22"/>
                <w:szCs w:val="22"/>
              </w:rPr>
              <w:t>Diagnostic and Statistical Manual of Mental Disorders,</w:t>
            </w:r>
            <w:r>
              <w:rPr>
                <w:rFonts w:cs="Arial" w:ascii="Arial" w:hAnsi="Arial"/>
                <w:iCs/>
                <w:sz w:val="22"/>
                <w:szCs w:val="22"/>
              </w:rPr>
              <w:t xml:space="preserve"> </w:t>
            </w:r>
            <w:r>
              <w:rPr>
                <w:rFonts w:cs="Arial" w:ascii="Arial" w:hAnsi="Arial"/>
                <w:i/>
                <w:iCs/>
                <w:sz w:val="22"/>
                <w:szCs w:val="22"/>
              </w:rPr>
              <w:t>Fifth Edition</w:t>
            </w:r>
            <w:r>
              <w:rPr>
                <w:rFonts w:cs="Arial" w:ascii="Arial" w:hAnsi="Arial"/>
                <w:iCs/>
                <w:sz w:val="22"/>
                <w:szCs w:val="22"/>
              </w:rPr>
              <w:t xml:space="preserve"> [</w:t>
            </w:r>
            <w:r>
              <w:rPr>
                <w:rFonts w:cs="Arial" w:ascii="Arial" w:hAnsi="Arial"/>
                <w:i/>
                <w:iCs/>
                <w:sz w:val="22"/>
                <w:szCs w:val="22"/>
              </w:rPr>
              <w:t>DSM-5</w:t>
            </w:r>
            <w:r>
              <w:rPr>
                <w:rFonts w:cs="Arial" w:ascii="Arial" w:hAnsi="Arial"/>
                <w:iCs/>
                <w:sz w:val="22"/>
                <w:szCs w:val="22"/>
              </w:rPr>
              <w:t>]) that combine the below protocol items to create individual criteria are currently unavailable. Users are encouraged to develop their own algorithms and align them with published estimates.</w:t>
            </w:r>
          </w:p>
          <w:p>
            <w:pPr>
              <w:pStyle w:val="Normal"/>
              <w:rPr>
                <w:rFonts w:ascii="Arial" w:hAnsi="Arial" w:cs="Arial"/>
                <w:iCs/>
                <w:sz w:val="22"/>
                <w:szCs w:val="22"/>
              </w:rPr>
            </w:pPr>
            <w:r>
              <w:rPr>
                <w:rFonts w:cs="Arial" w:ascii="Arial" w:hAnsi="Arial"/>
                <w:iCs/>
                <w:sz w:val="22"/>
                <w:szCs w:val="22"/>
              </w:rPr>
            </w:r>
          </w:p>
          <w:p>
            <w:pPr>
              <w:pStyle w:val="Normal"/>
              <w:rPr/>
            </w:pPr>
            <w:r>
              <w:rPr>
                <w:rFonts w:cs="Arial" w:ascii="Arial" w:hAnsi="Arial"/>
                <w:iCs/>
                <w:sz w:val="22"/>
                <w:szCs w:val="22"/>
              </w:rPr>
              <w:t xml:space="preserve">The following question may gather sensitive information relating to the use of substances or illegal conduct. If the information is released, it might be damaging to an individual's employability, lead to social stigmatization, or result in other consequences. </w:t>
            </w:r>
          </w:p>
          <w:p>
            <w:pPr>
              <w:pStyle w:val="Normal"/>
              <w:rPr>
                <w:rFonts w:ascii="Arial" w:hAnsi="Arial" w:cs="Arial"/>
                <w:iCs/>
                <w:sz w:val="22"/>
                <w:szCs w:val="22"/>
              </w:rPr>
            </w:pPr>
            <w:r>
              <w:rPr>
                <w:rFonts w:cs="Arial" w:ascii="Arial" w:hAnsi="Arial"/>
                <w:iCs/>
                <w:sz w:val="22"/>
                <w:szCs w:val="22"/>
              </w:rPr>
            </w:r>
          </w:p>
          <w:p>
            <w:pPr>
              <w:pStyle w:val="Normal"/>
              <w:rPr>
                <w:rFonts w:ascii="Arial" w:hAnsi="Arial" w:cs="Arial"/>
                <w:iCs/>
                <w:sz w:val="22"/>
                <w:szCs w:val="22"/>
              </w:rPr>
            </w:pPr>
            <w:r>
              <w:rPr>
                <w:rFonts w:cs="Arial" w:ascii="Arial" w:hAnsi="Arial"/>
                <w:iCs/>
                <w:sz w:val="22"/>
                <w:szCs w:val="22"/>
              </w:rPr>
              <w:t>For information on obtaining a Certificate of Confidentiality, which helps researchers protect the privacy of human research participants, please go to the National Human Genome Research Institute’s Institutional Review Board website (</w:t>
            </w:r>
            <w:hyperlink r:id="rId2">
              <w:r>
                <w:rPr>
                  <w:rStyle w:val="InternetLink"/>
                  <w:rFonts w:cs="Arial" w:ascii="Arial" w:hAnsi="Arial"/>
                  <w:iCs/>
                  <w:sz w:val="22"/>
                  <w:szCs w:val="22"/>
                </w:rPr>
                <w:t>http://www.genome.gov/10005108</w:t>
              </w:r>
            </w:hyperlink>
            <w:r>
              <w:rPr>
                <w:rFonts w:cs="Arial" w:ascii="Arial" w:hAnsi="Arial"/>
                <w:iCs/>
                <w:sz w:val="22"/>
                <w:szCs w:val="22"/>
              </w:rPr>
              <w:t>).</w:t>
            </w:r>
          </w:p>
          <w:p>
            <w:pPr>
              <w:pStyle w:val="Normal"/>
              <w:rPr>
                <w:rFonts w:ascii="Arial" w:hAnsi="Arial" w:cs="Arial"/>
                <w:iCs/>
                <w:sz w:val="22"/>
                <w:szCs w:val="22"/>
              </w:rPr>
            </w:pPr>
            <w:r>
              <w:rPr>
                <w:rFonts w:cs="Arial" w:ascii="Arial" w:hAnsi="Arial"/>
                <w:iCs/>
                <w:sz w:val="22"/>
                <w:szCs w:val="22"/>
              </w:rPr>
            </w:r>
          </w:p>
          <w:p>
            <w:pPr>
              <w:pStyle w:val="Normal"/>
              <w:rPr>
                <w:rFonts w:ascii="Arial" w:hAnsi="Arial" w:cs="Arial"/>
                <w:iCs/>
                <w:sz w:val="22"/>
                <w:szCs w:val="22"/>
              </w:rPr>
            </w:pPr>
            <w:r>
              <w:rPr>
                <w:rFonts w:cs="Arial" w:ascii="Arial" w:hAnsi="Arial"/>
                <w:iCs/>
                <w:sz w:val="22"/>
                <w:szCs w:val="22"/>
              </w:rPr>
              <w:t xml:space="preserve">Respondents are only asked this question if they answered "yes" to the Alcohol - Lifetime Use measure. </w:t>
            </w:r>
          </w:p>
          <w:p>
            <w:pPr>
              <w:pStyle w:val="Normal"/>
              <w:rPr>
                <w:rFonts w:ascii="Arial" w:hAnsi="Arial" w:cs="Arial"/>
                <w:b/>
                <w:b/>
                <w:bCs/>
                <w:iCs/>
                <w:sz w:val="22"/>
                <w:szCs w:val="22"/>
                <w:u w:val="single"/>
              </w:rPr>
            </w:pPr>
            <w:r>
              <w:rPr>
                <w:rFonts w:cs="Arial" w:ascii="Arial" w:hAnsi="Arial"/>
                <w:b/>
                <w:bCs/>
                <w:iCs/>
                <w:sz w:val="22"/>
                <w:szCs w:val="22"/>
                <w:u w:val="single"/>
              </w:rPr>
            </w:r>
          </w:p>
        </w:tc>
      </w:tr>
      <w:tr>
        <w:trPr>
          <w:trHeight w:val="525" w:hRule="atLeast"/>
        </w:trPr>
        <w:tc>
          <w:tcPr>
            <w:tcW w:w="2334"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Protocol:</w:t>
              <w:br/>
              <w:br/>
            </w:r>
            <w:r>
              <w:rPr>
                <w:rFonts w:cs="Arial" w:ascii="Arial" w:hAnsi="Arial"/>
                <w:bCs/>
                <w:sz w:val="16"/>
                <w:szCs w:val="16"/>
              </w:rPr>
              <w:t>(included in Community Outreach and Supplemental Information)</w:t>
            </w:r>
          </w:p>
        </w:tc>
        <w:tc>
          <w:tcPr>
            <w:tcW w:w="856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cs="Arial"/>
                <w:b/>
                <w:b/>
                <w:bCs/>
                <w:sz w:val="22"/>
                <w:szCs w:val="22"/>
              </w:rPr>
            </w:pPr>
            <w:r>
              <w:rPr>
                <w:rFonts w:cs="Arial" w:ascii="Arial" w:hAnsi="Arial"/>
                <w:b/>
                <w:bCs/>
                <w:sz w:val="22"/>
                <w:szCs w:val="22"/>
              </w:rPr>
            </w:r>
          </w:p>
          <w:p>
            <w:pPr>
              <w:pStyle w:val="Normal"/>
              <w:numPr>
                <w:ilvl w:val="0"/>
                <w:numId w:val="1"/>
              </w:numPr>
              <w:autoSpaceDE w:val="false"/>
              <w:rPr>
                <w:rFonts w:ascii="Arial" w:hAnsi="Arial" w:cs="Arial"/>
                <w:bCs/>
                <w:sz w:val="22"/>
                <w:szCs w:val="22"/>
              </w:rPr>
            </w:pPr>
            <w:r>
              <w:rPr>
                <w:rFonts w:cs="Arial" w:ascii="Arial" w:hAnsi="Arial"/>
                <w:bCs/>
                <w:sz w:val="22"/>
                <w:szCs w:val="22"/>
              </w:rPr>
              <w:t>Have you ever gone anywhere or seen anyone for a reason that was related in any way to your drinking—a physician, counselor, Alcoholics Anonymous, or any other community agency or professional?</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 ] 1 Yes</w:t>
            </w:r>
          </w:p>
          <w:p>
            <w:pPr>
              <w:pStyle w:val="Normal"/>
              <w:autoSpaceDE w:val="false"/>
              <w:ind w:left="720" w:hanging="0"/>
              <w:rPr>
                <w:rFonts w:ascii="Arial" w:hAnsi="Arial" w:cs="Arial"/>
                <w:bCs/>
                <w:sz w:val="22"/>
                <w:szCs w:val="22"/>
              </w:rPr>
            </w:pPr>
            <w:r>
              <w:rPr>
                <w:rFonts w:cs="Arial" w:ascii="Arial" w:hAnsi="Arial"/>
                <w:bCs/>
                <w:sz w:val="22"/>
                <w:szCs w:val="22"/>
              </w:rPr>
              <w:t>[ ] 2 No</w:t>
            </w:r>
          </w:p>
          <w:p>
            <w:pPr>
              <w:pStyle w:val="Normal"/>
              <w:autoSpaceDE w:val="false"/>
              <w:ind w:left="720" w:hanging="0"/>
              <w:rPr>
                <w:rFonts w:ascii="Arial" w:hAnsi="Arial" w:cs="Arial"/>
                <w:bCs/>
                <w:sz w:val="22"/>
                <w:szCs w:val="22"/>
              </w:rPr>
            </w:pPr>
            <w:r>
              <w:rPr>
                <w:rFonts w:cs="Arial" w:ascii="Arial" w:hAnsi="Arial"/>
                <w:bCs/>
                <w:sz w:val="22"/>
                <w:szCs w:val="22"/>
              </w:rPr>
            </w:r>
          </w:p>
        </w:tc>
      </w:tr>
      <w:tr>
        <w:trPr>
          <w:trHeight w:val="525" w:hRule="atLeast"/>
        </w:trPr>
        <w:tc>
          <w:tcPr>
            <w:tcW w:w="233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Selection Rationale:</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 xml:space="preserve">(included in Community Outreach) </w:t>
            </w:r>
          </w:p>
        </w:tc>
        <w:tc>
          <w:tcPr>
            <w:tcW w:w="8562"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 xml:space="preserve">The National Epidemiologic Survey on Alcohol and Related Conditions–III (NESARC-III) captures diagnostic information via the Alcohol Use Disorder and Associated Disabilities Interview Schedule–5 (AUDADIS-5). Therefore, the user can link diagnostic data from the NESARC directly to treatment utilization also collected from the NESARC. </w:t>
            </w:r>
          </w:p>
          <w:p>
            <w:pPr>
              <w:pStyle w:val="Normal"/>
              <w:autoSpaceDE w:val="false"/>
              <w:rPr>
                <w:rFonts w:ascii="Arial" w:hAnsi="Arial" w:cs="Arial"/>
                <w:sz w:val="22"/>
                <w:szCs w:val="22"/>
              </w:rPr>
            </w:pPr>
            <w:r>
              <w:rPr>
                <w:rFonts w:cs="Arial" w:ascii="Arial" w:hAnsi="Arial"/>
                <w:sz w:val="22"/>
                <w:szCs w:val="22"/>
              </w:rPr>
            </w:r>
          </w:p>
        </w:tc>
      </w:tr>
      <w:tr>
        <w:trPr>
          <w:trHeight w:val="525" w:hRule="atLeast"/>
        </w:trPr>
        <w:tc>
          <w:tcPr>
            <w:tcW w:w="2334"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 xml:space="preserve">Source: </w:t>
              <w:br/>
              <w:br/>
            </w:r>
            <w:r>
              <w:rPr>
                <w:rFonts w:cs="Arial" w:ascii="Arial" w:hAnsi="Arial"/>
                <w:bCs/>
                <w:sz w:val="16"/>
                <w:szCs w:val="16"/>
              </w:rPr>
              <w:t>(included in Community Outreach and Supplemental Information)</w:t>
            </w:r>
          </w:p>
        </w:tc>
        <w:tc>
          <w:tcPr>
            <w:tcW w:w="856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bCs/>
                <w:sz w:val="22"/>
                <w:szCs w:val="22"/>
              </w:rPr>
            </w:pPr>
            <w:r>
              <w:rPr>
                <w:rFonts w:cs="Arial" w:ascii="Arial" w:hAnsi="Arial"/>
                <w:sz w:val="22"/>
                <w:szCs w:val="22"/>
              </w:rPr>
              <w:t>National Institute on Alcohol Abuse and Alcoholism (NIAAA). (N.d.). National Epidemiologic Survey on Alcohol and Related Conditions–III (NESARC-III). Rockville, MD: National Institutes of Health. Alcohol Use Disorder and Associated Disabilities Interview Schedule (AUDADIS-5), Section 2C – Treatment Utilization (Question 1).</w:t>
            </w:r>
          </w:p>
        </w:tc>
      </w:tr>
      <w:tr>
        <w:trPr>
          <w:trHeight w:val="525" w:hRule="atLeast"/>
        </w:trPr>
        <w:tc>
          <w:tcPr>
            <w:tcW w:w="233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Life Stage:</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 xml:space="preserve">(included in Community Outreach) </w:t>
            </w:r>
          </w:p>
        </w:tc>
        <w:tc>
          <w:tcPr>
            <w:tcW w:w="856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Adult</w:t>
            </w:r>
          </w:p>
          <w:p>
            <w:pPr>
              <w:pStyle w:val="Normal"/>
              <w:rPr>
                <w:rFonts w:ascii="Arial" w:hAnsi="Arial" w:cs="Arial"/>
                <w:b/>
                <w:b/>
                <w:bCs/>
                <w:sz w:val="22"/>
                <w:szCs w:val="22"/>
              </w:rPr>
            </w:pPr>
            <w:r>
              <w:rPr>
                <w:rFonts w:cs="Arial" w:ascii="Arial" w:hAnsi="Arial"/>
                <w:b/>
                <w:bCs/>
                <w:sz w:val="22"/>
                <w:szCs w:val="22"/>
              </w:rPr>
            </w:r>
          </w:p>
        </w:tc>
      </w:tr>
      <w:tr>
        <w:trPr>
          <w:trHeight w:val="525" w:hRule="atLeast"/>
        </w:trPr>
        <w:tc>
          <w:tcPr>
            <w:tcW w:w="2334"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Language:</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 and Supplemental Information)</w:t>
            </w:r>
          </w:p>
        </w:tc>
        <w:tc>
          <w:tcPr>
            <w:tcW w:w="856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English</w:t>
            </w:r>
          </w:p>
          <w:p>
            <w:pPr>
              <w:pStyle w:val="Normal"/>
              <w:rPr>
                <w:rFonts w:ascii="Arial" w:hAnsi="Arial" w:cs="Arial"/>
                <w:b/>
                <w:b/>
                <w:bCs/>
                <w:sz w:val="22"/>
                <w:szCs w:val="22"/>
              </w:rPr>
            </w:pPr>
            <w:r>
              <w:rPr>
                <w:rFonts w:cs="Arial" w:ascii="Arial" w:hAnsi="Arial"/>
                <w:b/>
                <w:bCs/>
                <w:sz w:val="22"/>
                <w:szCs w:val="22"/>
              </w:rPr>
            </w:r>
          </w:p>
        </w:tc>
      </w:tr>
      <w:tr>
        <w:trPr>
          <w:trHeight w:val="525" w:hRule="atLeast"/>
        </w:trPr>
        <w:tc>
          <w:tcPr>
            <w:tcW w:w="233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16"/>
                <w:szCs w:val="16"/>
              </w:rPr>
            </w:pPr>
            <w:r>
              <w:rPr>
                <w:rFonts w:cs="Arial" w:ascii="Arial" w:hAnsi="Arial"/>
                <w:b/>
                <w:sz w:val="22"/>
                <w:szCs w:val="22"/>
              </w:rPr>
              <w:t>Participant:</w:t>
              <w:br/>
              <w:br/>
            </w:r>
            <w:r>
              <w:rPr>
                <w:rFonts w:cs="Arial" w:ascii="Arial" w:hAnsi="Arial"/>
                <w:bCs/>
                <w:sz w:val="16"/>
                <w:szCs w:val="16"/>
              </w:rPr>
              <w:t>(included in Community Outreach and Supplemental Information)</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856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bCs/>
                <w:sz w:val="22"/>
                <w:szCs w:val="22"/>
                <w:u w:val="single"/>
              </w:rPr>
            </w:pPr>
            <w:r>
              <w:rPr>
                <w:rFonts w:cs="Arial" w:ascii="Arial" w:hAnsi="Arial"/>
                <w:bCs/>
                <w:sz w:val="22"/>
                <w:szCs w:val="22"/>
              </w:rPr>
              <w:t>Adults aged 18 years or older</w:t>
            </w:r>
            <w:r>
              <w:rPr>
                <w:rFonts w:cs="Arial" w:ascii="Arial" w:hAnsi="Arial"/>
                <w:b/>
                <w:bCs/>
                <w:sz w:val="22"/>
                <w:szCs w:val="22"/>
                <w:u w:val="single"/>
              </w:rPr>
              <w:t xml:space="preserve"> </w:t>
            </w:r>
          </w:p>
        </w:tc>
      </w:tr>
      <w:tr>
        <w:trPr>
          <w:trHeight w:val="960" w:hRule="atLeast"/>
        </w:trPr>
        <w:tc>
          <w:tcPr>
            <w:tcW w:w="2334"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 xml:space="preserve">Personnel and Training Required: </w:t>
              <w:br/>
            </w:r>
            <w:r>
              <w:rPr>
                <w:rFonts w:cs="Arial" w:ascii="Arial" w:hAnsi="Arial"/>
                <w:b/>
                <w:sz w:val="16"/>
                <w:szCs w:val="16"/>
              </w:rPr>
              <w:br/>
            </w:r>
            <w:r>
              <w:rPr>
                <w:rFonts w:cs="Arial" w:ascii="Arial" w:hAnsi="Arial"/>
                <w:bCs/>
                <w:sz w:val="16"/>
                <w:szCs w:val="16"/>
              </w:rPr>
              <w:t>(included in Community Outreach and Supplemental Information)</w:t>
            </w:r>
          </w:p>
          <w:p>
            <w:pPr>
              <w:pStyle w:val="Normal"/>
              <w:rPr>
                <w:rFonts w:ascii="Arial" w:hAnsi="Arial" w:cs="Arial"/>
                <w:b/>
                <w:b/>
                <w:sz w:val="22"/>
                <w:szCs w:val="22"/>
              </w:rPr>
            </w:pPr>
            <w:r>
              <w:rPr>
                <w:rFonts w:cs="Arial" w:ascii="Arial" w:hAnsi="Arial"/>
                <w:b/>
                <w:sz w:val="22"/>
                <w:szCs w:val="22"/>
              </w:rPr>
            </w:r>
          </w:p>
        </w:tc>
        <w:tc>
          <w:tcPr>
            <w:tcW w:w="856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The interviewer must be trained and found competent to conduct personal interviews with individuals from the general population. The interviewer should be trained to prompt respondents further if a "don’t know" response is provided. It is preferable either to read the questionnaire aloud to the respondent or to administer it in an audio-assisted computer interview (ACASI) format. The questions are sensitive in nature, and the interviewer should be trained to react appropriately to emotional responses. If a distressed respondent protocol is adopted, the interviewer should be trained to administer those procedures.</w:t>
            </w:r>
          </w:p>
        </w:tc>
      </w:tr>
      <w:tr>
        <w:trPr>
          <w:trHeight w:val="960" w:hRule="atLeast"/>
        </w:trPr>
        <w:tc>
          <w:tcPr>
            <w:tcW w:w="233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Equipment Needs:</w:t>
              <w:br/>
              <w:br/>
            </w:r>
            <w:r>
              <w:rPr>
                <w:rFonts w:cs="Arial" w:ascii="Arial" w:hAnsi="Arial"/>
                <w:bCs/>
                <w:sz w:val="16"/>
                <w:szCs w:val="16"/>
              </w:rPr>
              <w:t>(included in Community Outreach and Supplemental Information)</w:t>
            </w:r>
          </w:p>
          <w:p>
            <w:pPr>
              <w:pStyle w:val="Normal"/>
              <w:rPr>
                <w:rFonts w:ascii="Arial" w:hAnsi="Arial" w:cs="Arial"/>
                <w:b/>
                <w:b/>
                <w:sz w:val="22"/>
                <w:szCs w:val="22"/>
              </w:rPr>
            </w:pPr>
            <w:r>
              <w:rPr>
                <w:rFonts w:cs="Arial" w:ascii="Arial" w:hAnsi="Arial"/>
                <w:b/>
                <w:sz w:val="22"/>
                <w:szCs w:val="22"/>
              </w:rPr>
            </w:r>
          </w:p>
        </w:tc>
        <w:tc>
          <w:tcPr>
            <w:tcW w:w="856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bCs/>
                <w:sz w:val="22"/>
                <w:szCs w:val="22"/>
              </w:rPr>
              <w:t>While the Alcohol Use Disorder and Associated Disabilities Interview Schedule</w:t>
            </w:r>
            <w:r>
              <w:rPr>
                <w:rFonts w:cs="Arial" w:ascii="Arial" w:hAnsi="Arial"/>
                <w:sz w:val="22"/>
                <w:szCs w:val="22"/>
              </w:rPr>
              <w:t>–</w:t>
            </w:r>
            <w:r>
              <w:rPr>
                <w:rFonts w:cs="Arial" w:ascii="Arial" w:hAnsi="Arial"/>
                <w:bCs/>
                <w:sz w:val="22"/>
                <w:szCs w:val="22"/>
              </w:rPr>
              <w:t>5 (AUDADIS-5) instrument was developed for administration by computer, PhenX acknowledges that these questions can be administered in a noncomputerized format. Hasin et al. (1997) and Grant et al. (1995) used the AUDADIS in paper-and-pencil format, while Grant et al. (2003) obtained data with the computerized format.</w:t>
            </w:r>
          </w:p>
        </w:tc>
      </w:tr>
      <w:tr>
        <w:trPr>
          <w:trHeight w:val="960" w:hRule="atLeast"/>
        </w:trPr>
        <w:tc>
          <w:tcPr>
            <w:tcW w:w="2334"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16"/>
                <w:szCs w:val="16"/>
              </w:rPr>
            </w:pPr>
            <w:r>
              <w:rPr>
                <w:rFonts w:cs="Arial" w:ascii="Arial" w:hAnsi="Arial"/>
                <w:b/>
                <w:sz w:val="22"/>
                <w:szCs w:val="22"/>
              </w:rPr>
              <w:t xml:space="preserve">General References: </w:t>
              <w:br/>
              <w:br/>
            </w:r>
            <w:r>
              <w:rPr>
                <w:rFonts w:cs="Arial" w:ascii="Arial" w:hAnsi="Arial"/>
                <w:bCs/>
                <w:sz w:val="16"/>
                <w:szCs w:val="16"/>
              </w:rPr>
              <w:t>(included in Community Outreach and Supplemental Information)</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8562"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Arial" w:hAnsi="Arial" w:cs="Arial"/>
                <w:sz w:val="22"/>
                <w:szCs w:val="22"/>
              </w:rPr>
            </w:pPr>
            <w:r>
              <w:rPr>
                <w:rFonts w:cs="Arial" w:ascii="Arial" w:hAnsi="Arial"/>
                <w:sz w:val="22"/>
                <w:szCs w:val="22"/>
              </w:rPr>
              <w:t xml:space="preserve">Grant, B. F., Dawson, D. A., Stinson, F. S., Chou, P. S., Kay, W., &amp; Pickering, R. (2003). The Alcohol Use Disorder and Associated Disabilities Interview Schedule-IV (AUDADIS-IV): Reliability of alcohol consumption, tobacco use, family history of depression and psychiatric diagnostic modules in a general population sample. </w:t>
            </w:r>
            <w:r>
              <w:rPr>
                <w:rFonts w:cs="Arial" w:ascii="Arial" w:hAnsi="Arial"/>
                <w:i/>
                <w:iCs/>
                <w:sz w:val="22"/>
                <w:szCs w:val="22"/>
              </w:rPr>
              <w:t>Drug and Alcohol Dependence, 71</w:t>
            </w:r>
            <w:r>
              <w:rPr>
                <w:rFonts w:cs="Arial" w:ascii="Arial" w:hAnsi="Arial"/>
                <w:sz w:val="22"/>
                <w:szCs w:val="22"/>
              </w:rPr>
              <w:t>(1), 7–16.</w:t>
            </w:r>
          </w:p>
          <w:p>
            <w:pPr>
              <w:pStyle w:val="Normal"/>
              <w:spacing w:before="280" w:after="280"/>
              <w:rPr/>
            </w:pPr>
            <w:r>
              <w:rPr>
                <w:rFonts w:cs="Arial" w:ascii="Arial" w:hAnsi="Arial"/>
                <w:bCs/>
                <w:sz w:val="22"/>
                <w:szCs w:val="22"/>
              </w:rPr>
              <w:t xml:space="preserve">Grant, B. F., Goldstein, R. B., Saha, T. D., Chou, S. P., Jung, J., Zhang, H., Pickering, R. P., Ruan, W. J., Smith, S. M., Huang, B., &amp; Hasin, D. S. (2015). Epidemiology of DSM-5 Alcohol Use Disorder: Results from the National Epidemiologic Survey on Alcohol and Related Conditions III. </w:t>
            </w:r>
            <w:r>
              <w:rPr>
                <w:rFonts w:cs="Arial" w:ascii="Arial" w:hAnsi="Arial"/>
                <w:bCs/>
                <w:i/>
                <w:sz w:val="22"/>
                <w:szCs w:val="22"/>
              </w:rPr>
              <w:t>JAMA Psychiatry, 72</w:t>
            </w:r>
            <w:r>
              <w:rPr>
                <w:rFonts w:cs="Arial" w:ascii="Arial" w:hAnsi="Arial"/>
                <w:bCs/>
                <w:sz w:val="22"/>
                <w:szCs w:val="22"/>
              </w:rPr>
              <w:t>(8), 757</w:t>
            </w:r>
            <w:r>
              <w:rPr>
                <w:rFonts w:cs="Arial" w:ascii="Arial" w:hAnsi="Arial"/>
                <w:sz w:val="22"/>
                <w:szCs w:val="22"/>
              </w:rPr>
              <w:t>–7</w:t>
            </w:r>
            <w:r>
              <w:rPr>
                <w:rFonts w:cs="Arial" w:ascii="Arial" w:hAnsi="Arial"/>
                <w:bCs/>
                <w:sz w:val="22"/>
                <w:szCs w:val="22"/>
              </w:rPr>
              <w:t>66.</w:t>
            </w:r>
          </w:p>
          <w:p>
            <w:pPr>
              <w:pStyle w:val="Normal"/>
              <w:spacing w:before="280" w:after="280"/>
              <w:rPr/>
            </w:pPr>
            <w:r>
              <w:rPr>
                <w:rFonts w:cs="Arial" w:ascii="Arial" w:hAnsi="Arial"/>
                <w:bCs/>
                <w:sz w:val="22"/>
                <w:szCs w:val="22"/>
              </w:rPr>
              <w:t>Grant, B. F., Goldstein, R. B., Smith, S. M., Jung, J., Zhang, H., Chou, S. P., Pickering, R. P., Ruan, W. J., Huang, B., Saha, T. D., Aivadyan, C., Greenstein, E., &amp; Hasin, D. S. (2015). The Alcohol Use Disorder and Associated Disabilities Interview Schedule-5 (AUDADIS-5): Reliability of substance use and psychiatric disorder modules in a general population sample.</w:t>
            </w:r>
            <w:r>
              <w:rPr>
                <w:rFonts w:cs="Arial" w:ascii="Arial" w:hAnsi="Arial"/>
                <w:bCs/>
                <w:i/>
                <w:iCs/>
                <w:sz w:val="22"/>
                <w:szCs w:val="22"/>
              </w:rPr>
              <w:t xml:space="preserve"> Drug and Alcohol Dependence, 148,</w:t>
            </w:r>
            <w:r>
              <w:rPr>
                <w:rFonts w:cs="Arial" w:ascii="Arial" w:hAnsi="Arial"/>
                <w:bCs/>
                <w:iCs/>
                <w:sz w:val="22"/>
                <w:szCs w:val="22"/>
              </w:rPr>
              <w:t xml:space="preserve"> 27</w:t>
            </w:r>
            <w:r>
              <w:rPr>
                <w:rFonts w:cs="Arial" w:ascii="Arial" w:hAnsi="Arial"/>
                <w:sz w:val="22"/>
                <w:szCs w:val="22"/>
              </w:rPr>
              <w:t>–</w:t>
            </w:r>
            <w:r>
              <w:rPr>
                <w:rFonts w:cs="Arial" w:ascii="Arial" w:hAnsi="Arial"/>
                <w:bCs/>
                <w:iCs/>
                <w:sz w:val="22"/>
                <w:szCs w:val="22"/>
              </w:rPr>
              <w:t>33.</w:t>
            </w:r>
          </w:p>
          <w:p>
            <w:pPr>
              <w:pStyle w:val="Normal"/>
              <w:spacing w:before="280" w:after="280"/>
              <w:rPr/>
            </w:pPr>
            <w:r>
              <w:rPr>
                <w:rFonts w:cs="Arial" w:ascii="Arial" w:hAnsi="Arial"/>
                <w:bCs/>
                <w:sz w:val="22"/>
                <w:szCs w:val="22"/>
              </w:rPr>
              <w:t xml:space="preserve">Grant, B. F., Harford, T. C., Dawson, D. A., Chou, P. S., &amp; Pickering, R. P. (1995). The Alcohol Use Disorder and Associated Disabilities Interview Schedule (AUDADIS): Reliability of alcohol and drug modules in a general population sample. </w:t>
            </w:r>
            <w:r>
              <w:rPr>
                <w:rFonts w:cs="Arial" w:ascii="Arial" w:hAnsi="Arial"/>
                <w:bCs/>
                <w:i/>
                <w:iCs/>
                <w:sz w:val="22"/>
                <w:szCs w:val="22"/>
              </w:rPr>
              <w:t>Drug and Alcohol Dependence,</w:t>
            </w:r>
            <w:r>
              <w:rPr>
                <w:rFonts w:cs="Arial" w:ascii="Arial" w:hAnsi="Arial"/>
                <w:bCs/>
                <w:sz w:val="22"/>
                <w:szCs w:val="22"/>
              </w:rPr>
              <w:t xml:space="preserve"> </w:t>
            </w:r>
            <w:r>
              <w:rPr>
                <w:rFonts w:cs="Arial" w:ascii="Arial" w:hAnsi="Arial"/>
                <w:bCs/>
                <w:i/>
                <w:iCs/>
                <w:sz w:val="22"/>
                <w:szCs w:val="22"/>
              </w:rPr>
              <w:t>39</w:t>
            </w:r>
            <w:r>
              <w:rPr>
                <w:rFonts w:cs="Arial" w:ascii="Arial" w:hAnsi="Arial"/>
                <w:bCs/>
                <w:sz w:val="22"/>
                <w:szCs w:val="22"/>
              </w:rPr>
              <w:t>(1), 37–44.</w:t>
            </w:r>
          </w:p>
          <w:p>
            <w:pPr>
              <w:pStyle w:val="Normal"/>
              <w:spacing w:before="280" w:after="280"/>
              <w:rPr/>
            </w:pPr>
            <w:r>
              <w:rPr>
                <w:rFonts w:cs="Arial" w:ascii="Arial" w:hAnsi="Arial"/>
                <w:bCs/>
                <w:sz w:val="22"/>
                <w:szCs w:val="22"/>
              </w:rPr>
              <w:t xml:space="preserve">Hasin, D., Carpenter, K. M., McCloud, S., Smith, M., &amp; Grant, B. F. (1997). The alcohol use disorder and associated disabilities interview schedule (AUDADIS): Reliability of alcohol and drug modules in a clinical sample. </w:t>
            </w:r>
            <w:r>
              <w:rPr>
                <w:rFonts w:cs="Arial" w:ascii="Arial" w:hAnsi="Arial"/>
                <w:bCs/>
                <w:i/>
                <w:iCs/>
                <w:sz w:val="22"/>
                <w:szCs w:val="22"/>
              </w:rPr>
              <w:t>Drug and Alcohol Dependence,</w:t>
            </w:r>
            <w:r>
              <w:rPr>
                <w:rFonts w:cs="Arial" w:ascii="Arial" w:hAnsi="Arial"/>
                <w:bCs/>
                <w:sz w:val="22"/>
                <w:szCs w:val="22"/>
              </w:rPr>
              <w:t xml:space="preserve"> </w:t>
            </w:r>
            <w:r>
              <w:rPr>
                <w:rFonts w:cs="Arial" w:ascii="Arial" w:hAnsi="Arial"/>
                <w:bCs/>
                <w:i/>
                <w:iCs/>
                <w:sz w:val="22"/>
                <w:szCs w:val="22"/>
              </w:rPr>
              <w:t>44</w:t>
            </w:r>
            <w:r>
              <w:rPr>
                <w:rFonts w:cs="Arial" w:ascii="Arial" w:hAnsi="Arial"/>
                <w:bCs/>
                <w:sz w:val="22"/>
                <w:szCs w:val="22"/>
              </w:rPr>
              <w:t>(2–3), 133–141.</w:t>
            </w:r>
          </w:p>
          <w:p>
            <w:pPr>
              <w:pStyle w:val="Normal"/>
              <w:spacing w:before="280" w:after="280"/>
              <w:rPr/>
            </w:pPr>
            <w:r>
              <w:rPr>
                <w:rFonts w:cs="Arial" w:ascii="Arial" w:hAnsi="Arial"/>
                <w:bCs/>
                <w:sz w:val="22"/>
                <w:szCs w:val="22"/>
              </w:rPr>
              <w:t>Hasin, D. S., Greenstein, E., Aivadyan, C., Stohl, M., Aharonovich, E., Saha, T., Goldstein, R., Nunes, E. V., Jung, J., Zhang, H., &amp; Grant, B. F. (2015). The Alcohol Use Disorder and Associated Disabilities Interview Schedule-5 (AUDADIS-5): Procedural validity of substance use disorders modules through clinical re-appraisal in a general population sample.</w:t>
            </w:r>
            <w:r>
              <w:rPr>
                <w:rFonts w:cs="Arial" w:ascii="Arial" w:hAnsi="Arial"/>
                <w:bCs/>
                <w:i/>
                <w:sz w:val="22"/>
                <w:szCs w:val="22"/>
              </w:rPr>
              <w:t xml:space="preserve"> Drug and Alcohol Dependence, 148,</w:t>
            </w:r>
            <w:r>
              <w:rPr>
                <w:rFonts w:cs="Arial" w:ascii="Arial" w:hAnsi="Arial"/>
                <w:bCs/>
                <w:sz w:val="22"/>
                <w:szCs w:val="22"/>
              </w:rPr>
              <w:t xml:space="preserve"> 40</w:t>
            </w:r>
            <w:r>
              <w:rPr>
                <w:rFonts w:cs="Arial" w:ascii="Arial" w:hAnsi="Arial"/>
                <w:sz w:val="22"/>
                <w:szCs w:val="22"/>
              </w:rPr>
              <w:t>–4</w:t>
            </w:r>
            <w:r>
              <w:rPr>
                <w:rFonts w:cs="Arial" w:ascii="Arial" w:hAnsi="Arial"/>
                <w:bCs/>
                <w:sz w:val="22"/>
                <w:szCs w:val="22"/>
              </w:rPr>
              <w:t>6</w:t>
            </w:r>
            <w:r>
              <w:rPr>
                <w:rFonts w:cs="Arial" w:ascii="Arial" w:hAnsi="Arial"/>
                <w:bCs/>
                <w:i/>
                <w:sz w:val="22"/>
                <w:szCs w:val="22"/>
              </w:rPr>
              <w:t>.</w:t>
            </w:r>
          </w:p>
          <w:p>
            <w:pPr>
              <w:pStyle w:val="Normal"/>
              <w:spacing w:before="0" w:after="0"/>
              <w:rPr>
                <w:rFonts w:ascii="Arial" w:hAnsi="Arial" w:cs="Arial"/>
                <w:bCs/>
                <w:sz w:val="22"/>
                <w:szCs w:val="22"/>
              </w:rPr>
            </w:pPr>
            <w:r>
              <w:rPr>
                <w:rFonts w:cs="Arial" w:ascii="Arial" w:hAnsi="Arial"/>
                <w:bCs/>
                <w:sz w:val="22"/>
                <w:szCs w:val="22"/>
              </w:rPr>
              <w:t xml:space="preserve">Hasin, D. S., O’Brien, C. P., Auriacombe, M., Borges, G., Bucholz, K., Budney, A., Compton, W. M., Crowley, T., Ling, W., Petry, N. M., Schuckit, M., &amp; Grant, B. F. (2013). DSM-5 criteria for substance use disorders: Recommendations and rationale. </w:t>
            </w:r>
            <w:r>
              <w:rPr>
                <w:rFonts w:cs="Arial" w:ascii="Arial" w:hAnsi="Arial"/>
                <w:bCs/>
                <w:i/>
                <w:sz w:val="22"/>
                <w:szCs w:val="22"/>
              </w:rPr>
              <w:t>American Journal of Psychiatry,</w:t>
            </w:r>
            <w:r>
              <w:rPr>
                <w:rFonts w:cs="Arial" w:ascii="Arial" w:hAnsi="Arial"/>
                <w:bCs/>
                <w:sz w:val="22"/>
                <w:szCs w:val="22"/>
              </w:rPr>
              <w:t xml:space="preserve"> </w:t>
            </w:r>
            <w:r>
              <w:rPr>
                <w:rFonts w:cs="Arial" w:ascii="Arial" w:hAnsi="Arial"/>
                <w:bCs/>
                <w:i/>
                <w:sz w:val="22"/>
                <w:szCs w:val="22"/>
              </w:rPr>
              <w:t>170</w:t>
            </w:r>
            <w:r>
              <w:rPr>
                <w:rFonts w:cs="Arial" w:ascii="Arial" w:hAnsi="Arial"/>
                <w:bCs/>
                <w:sz w:val="22"/>
                <w:szCs w:val="22"/>
              </w:rPr>
              <w:t>(8), 834</w:t>
            </w:r>
            <w:r>
              <w:rPr>
                <w:rFonts w:cs="Arial" w:ascii="Arial" w:hAnsi="Arial"/>
                <w:sz w:val="22"/>
                <w:szCs w:val="22"/>
              </w:rPr>
              <w:t>–8</w:t>
            </w:r>
            <w:r>
              <w:rPr>
                <w:rFonts w:cs="Arial" w:ascii="Arial" w:hAnsi="Arial"/>
                <w:bCs/>
                <w:sz w:val="22"/>
                <w:szCs w:val="22"/>
              </w:rPr>
              <w:t>51.</w:t>
            </w:r>
          </w:p>
        </w:tc>
      </w:tr>
      <w:tr>
        <w:trPr>
          <w:trHeight w:val="960" w:hRule="atLeast"/>
        </w:trPr>
        <w:tc>
          <w:tcPr>
            <w:tcW w:w="233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Mode of Administration:</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 and Supplemental Information)</w:t>
            </w:r>
          </w:p>
        </w:tc>
        <w:tc>
          <w:tcPr>
            <w:tcW w:w="856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bCs/>
                <w:sz w:val="22"/>
                <w:szCs w:val="22"/>
                <w:u w:val="single"/>
              </w:rPr>
            </w:pPr>
            <w:r>
              <w:rPr>
                <w:rFonts w:cs="Arial" w:ascii="Arial" w:hAnsi="Arial"/>
                <w:sz w:val="22"/>
                <w:szCs w:val="22"/>
              </w:rPr>
              <w:t>Interviewer-administered questionnaire</w:t>
            </w:r>
          </w:p>
        </w:tc>
      </w:tr>
      <w:tr>
        <w:trPr>
          <w:trHeight w:val="960" w:hRule="atLeast"/>
        </w:trPr>
        <w:tc>
          <w:tcPr>
            <w:tcW w:w="2334"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Derived Variables: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w:t>
            </w:r>
          </w:p>
        </w:tc>
        <w:tc>
          <w:tcPr>
            <w:tcW w:w="856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bCs/>
                <w:sz w:val="22"/>
                <w:szCs w:val="22"/>
              </w:rPr>
              <w:t>None</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bCs/>
                <w:sz w:val="22"/>
                <w:szCs w:val="22"/>
                <w:u w:val="single"/>
              </w:rPr>
            </w:pPr>
            <w:r>
              <w:rPr>
                <w:rFonts w:cs="Arial" w:ascii="Arial" w:hAnsi="Arial"/>
                <w:b/>
                <w:bCs/>
                <w:sz w:val="22"/>
                <w:szCs w:val="22"/>
                <w:u w:val="single"/>
              </w:rPr>
            </w:r>
          </w:p>
        </w:tc>
      </w:tr>
      <w:tr>
        <w:trPr>
          <w:trHeight w:val="953" w:hRule="atLeast"/>
        </w:trPr>
        <w:tc>
          <w:tcPr>
            <w:tcW w:w="233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Requirements: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w:t>
            </w:r>
          </w:p>
        </w:tc>
        <w:tc>
          <w:tcPr>
            <w:tcW w:w="856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sz w:val="22"/>
                <w:szCs w:val="22"/>
              </w:rPr>
            </w:pPr>
            <w:r>
              <w:rPr>
                <w:rFonts w:cs="Arial" w:ascii="Arial" w:hAnsi="Arial"/>
                <w:b/>
                <w:sz w:val="22"/>
                <w:szCs w:val="22"/>
              </w:rPr>
            </w:r>
          </w:p>
          <w:tbl>
            <w:tblPr>
              <w:tblW w:w="6930" w:type="dxa"/>
              <w:jc w:val="left"/>
              <w:tblInd w:w="0" w:type="dxa"/>
              <w:tblLayout w:type="fixed"/>
              <w:tblCellMar>
                <w:top w:w="0" w:type="dxa"/>
                <w:left w:w="10" w:type="dxa"/>
                <w:bottom w:w="0" w:type="dxa"/>
                <w:right w:w="10" w:type="dxa"/>
              </w:tblCellMar>
            </w:tblPr>
            <w:tblGrid>
              <w:gridCol w:w="4680"/>
              <w:gridCol w:w="2250"/>
            </w:tblGrid>
            <w:tr>
              <w:trPr>
                <w:trHeight w:val="574" w:hRule="atLeast"/>
              </w:trPr>
              <w:tc>
                <w:tcPr>
                  <w:tcW w:w="4680" w:type="dxa"/>
                  <w:tcBorders>
                    <w:top w:val="single" w:sz="8" w:space="0" w:color="000000"/>
                    <w:left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Requirements Category</w:t>
                  </w:r>
                </w:p>
              </w:tc>
              <w:tc>
                <w:tcPr>
                  <w:tcW w:w="2250" w:type="dxa"/>
                  <w:tcBorders>
                    <w:top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Required (Yes/No):</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Major equipment</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training </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requirements for biospecimen collection </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Average time of greater than 15 minutes in an unaffected individual</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bl>
          <w:p>
            <w:pPr>
              <w:pStyle w:val="Normal"/>
              <w:rPr>
                <w:rFonts w:ascii="Arial" w:hAnsi="Arial" w:cs="Arial"/>
                <w:b/>
                <w:b/>
                <w:sz w:val="22"/>
                <w:szCs w:val="22"/>
              </w:rPr>
            </w:pPr>
            <w:r>
              <w:rPr>
                <w:rFonts w:cs="Arial" w:ascii="Arial" w:hAnsi="Arial"/>
                <w:b/>
                <w:sz w:val="22"/>
                <w:szCs w:val="22"/>
              </w:rPr>
            </w:r>
          </w:p>
        </w:tc>
      </w:tr>
      <w:tr>
        <w:trPr>
          <w:trHeight w:val="960" w:hRule="atLeast"/>
        </w:trPr>
        <w:tc>
          <w:tcPr>
            <w:tcW w:w="2334"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Annotations for Specific Conditions:</w:t>
            </w:r>
          </w:p>
        </w:tc>
        <w:tc>
          <w:tcPr>
            <w:tcW w:w="856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 annotations at this time.</w:t>
            </w:r>
          </w:p>
        </w:tc>
      </w:tr>
      <w:tr>
        <w:trPr>
          <w:trHeight w:val="960" w:hRule="atLeast"/>
        </w:trPr>
        <w:tc>
          <w:tcPr>
            <w:tcW w:w="2334"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Process and Review:</w:t>
            </w:r>
          </w:p>
        </w:tc>
        <w:tc>
          <w:tcPr>
            <w:tcW w:w="8562"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Arial" w:hAnsi="Arial" w:cs="Arial"/>
                <w:sz w:val="22"/>
                <w:szCs w:val="22"/>
              </w:rPr>
            </w:pPr>
            <w:r>
              <w:rPr>
                <w:rFonts w:cs="Arial" w:ascii="Arial" w:hAnsi="Arial"/>
                <w:sz w:val="22"/>
                <w:szCs w:val="22"/>
              </w:rPr>
              <w:t xml:space="preserve">The Expert Review Panel 3 (ERP3) reviewed the measures in the Alcohol, Tobacco and Other Substances domain and in the Substance Abuse and Addiction Collection. Using the same source, ERP3 updated the protocol. </w:t>
            </w:r>
          </w:p>
          <w:p>
            <w:pPr>
              <w:pStyle w:val="Normal"/>
              <w:rPr>
                <w:rFonts w:ascii="Arial" w:hAnsi="Arial" w:cs="Arial"/>
                <w:sz w:val="22"/>
                <w:szCs w:val="22"/>
              </w:rPr>
            </w:pPr>
            <w:r>
              <w:rPr>
                <w:rFonts w:cs="Arial" w:ascii="Arial" w:hAnsi="Arial"/>
                <w:sz w:val="22"/>
                <w:szCs w:val="22"/>
              </w:rPr>
            </w:r>
          </w:p>
          <w:p>
            <w:pPr>
              <w:pStyle w:val="Normal"/>
              <w:numPr>
                <w:ilvl w:val="0"/>
                <w:numId w:val="2"/>
              </w:numPr>
              <w:rPr>
                <w:rFonts w:ascii="Arial" w:hAnsi="Arial" w:cs="Arial"/>
                <w:sz w:val="22"/>
                <w:szCs w:val="22"/>
              </w:rPr>
            </w:pPr>
            <w:r>
              <w:rPr>
                <w:rFonts w:cs="Arial" w:ascii="Arial" w:hAnsi="Arial"/>
                <w:sz w:val="22"/>
                <w:szCs w:val="22"/>
              </w:rPr>
              <w:t>Partially back-compatible (updated/similar protocol which would require some changes to the data dictionary), variable mapping between current and previous protocols can be found here &lt;link&gt;.</w:t>
            </w:r>
          </w:p>
          <w:p>
            <w:pPr>
              <w:pStyle w:val="Normal"/>
              <w:rPr>
                <w:rFonts w:ascii="Arial" w:hAnsi="Arial" w:cs="Arial"/>
                <w:sz w:val="22"/>
                <w:szCs w:val="22"/>
              </w:rPr>
            </w:pPr>
            <w:r>
              <w:rPr>
                <w:rFonts w:cs="Arial" w:ascii="Arial" w:hAnsi="Arial"/>
                <w:sz w:val="22"/>
                <w:szCs w:val="22"/>
              </w:rPr>
            </w:r>
          </w:p>
          <w:p>
            <w:pPr>
              <w:pStyle w:val="Normal"/>
              <w:numPr>
                <w:ilvl w:val="0"/>
                <w:numId w:val="2"/>
              </w:numPr>
              <w:rPr>
                <w:rFonts w:ascii="Arial" w:hAnsi="Arial" w:cs="Arial"/>
                <w:sz w:val="22"/>
                <w:szCs w:val="22"/>
              </w:rPr>
            </w:pPr>
            <w:r>
              <w:rPr>
                <w:rFonts w:cs="Arial" w:ascii="Arial" w:hAnsi="Arial"/>
                <w:sz w:val="22"/>
                <w:szCs w:val="22"/>
              </w:rPr>
              <w:t xml:space="preserve">Previous version in Toolkit archive. </w:t>
            </w:r>
            <w:r>
              <w:rPr>
                <w:rFonts w:cs="Arial" w:ascii="Arial" w:hAnsi="Arial"/>
                <w:b/>
                <w:bCs/>
                <w:sz w:val="22"/>
                <w:szCs w:val="22"/>
                <w:u w:val="single"/>
              </w:rPr>
              <w:t xml:space="preserve">   </w:t>
            </w:r>
          </w:p>
        </w:tc>
      </w:tr>
    </w:tbl>
    <w:p>
      <w:pPr>
        <w:pStyle w:val="Normal"/>
        <w:rPr>
          <w:rFonts w:ascii="Arial" w:hAnsi="Arial" w:cs="Arial"/>
          <w:sz w:val="22"/>
          <w:szCs w:val="22"/>
        </w:rPr>
      </w:pPr>
      <w:r>
        <w:rPr>
          <w:rFonts w:cs="Arial" w:ascii="Arial" w:hAnsi="Arial"/>
          <w:sz w:val="22"/>
          <w:szCs w:val="22"/>
        </w:rPr>
      </w:r>
    </w:p>
    <w:sectPr>
      <w:headerReference w:type="default" r:id="rId3"/>
      <w:footerReference w:type="default" r:id="rId4"/>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Trebuchet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Fonts w:cs="Arial" w:ascii="Arial" w:hAnsi="Arial"/>
        <w:sz w:val="18"/>
        <w:szCs w:val="18"/>
      </w:rPr>
      <w:t>Version 10 – 10/21/09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u w:val="single"/>
      </w:rPr>
      <w:t>Alcohol - Treatment for Alcohol Usage</w:t>
    </w:r>
    <w:r>
      <w:rPr>
        <w:rFonts w:cs="Arial" w:ascii="Arial" w:hAnsi="Arial"/>
        <w:b/>
        <w:sz w:val="20"/>
        <w:szCs w:val="20"/>
      </w:rPr>
      <w:t xml:space="preserve">                                                                August 16, 2016</w:t>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abstractNum>
  <w:abstractNum w:abstractNumId="2">
    <w:lvl w:ilvl="0">
      <w:start w:val="1"/>
      <w:numFmt w:val="lowerLetter"/>
      <w:lvlText w:val="%1."/>
      <w:lvlJc w:val="left"/>
      <w:pPr>
        <w:tabs>
          <w:tab w:val="num" w:pos="0"/>
        </w:tabs>
        <w:ind w:left="72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SimSun;宋体" w:cs="Times New Roman"/>
      <w:color w:val="auto"/>
      <w:sz w:val="24"/>
      <w:szCs w:val="24"/>
      <w:lang w:val="en-US" w:bidi="ar-SA" w:eastAsia="zh-CN"/>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Times New Roman" w:hAnsi="Times New Roman" w:cs="Times New Roman"/>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sz w:val="20"/>
    </w:rPr>
  </w:style>
  <w:style w:type="character" w:styleId="WW8Num14z2">
    <w:name w:val="WW8Num14z2"/>
    <w:qFormat/>
    <w:rPr>
      <w:rFonts w:ascii="Wingdings" w:hAnsi="Wingdings" w:cs="Wingdings"/>
      <w:sz w:val="20"/>
    </w:rPr>
  </w:style>
  <w:style w:type="character" w:styleId="WW8Num15z0">
    <w:name w:val="WW8Num15z0"/>
    <w:qFormat/>
    <w:rPr>
      <w:rFonts w:ascii="Symbol" w:hAnsi="Symbol" w:cs="Symbol"/>
    </w:rPr>
  </w:style>
  <w:style w:type="character" w:styleId="WW8Num16z0">
    <w:name w:val="WW8Num16z0"/>
    <w:qFormat/>
    <w:rPr>
      <w:rFonts w:ascii="Symbol" w:hAnsi="Symbol" w:cs="Symbol"/>
      <w:sz w:val="20"/>
    </w:rPr>
  </w:style>
  <w:style w:type="character" w:styleId="WW8Num16z1">
    <w:name w:val="WW8Num16z1"/>
    <w:qFormat/>
    <w:rPr>
      <w:rFonts w:ascii="Courier New" w:hAnsi="Courier New" w:cs="Courier New"/>
      <w:sz w:val="20"/>
    </w:rPr>
  </w:style>
  <w:style w:type="character" w:styleId="WW8Num16z2">
    <w:name w:val="WW8Num16z2"/>
    <w:qFormat/>
    <w:rPr>
      <w:rFonts w:ascii="Wingdings" w:hAnsi="Wingdings" w:cs="Wingdings"/>
      <w:sz w:val="20"/>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b/>
      <w:bCs/>
    </w:rPr>
  </w:style>
  <w:style w:type="character" w:styleId="WW8Num20z0">
    <w:name w:val="WW8Num20z0"/>
    <w:qFormat/>
    <w:rPr>
      <w:b w:val="false"/>
      <w:u w:val="none"/>
    </w:rPr>
  </w:style>
  <w:style w:type="character" w:styleId="WW8Num21z1">
    <w:name w:val="WW8Num21z1"/>
    <w:qFormat/>
    <w:rPr>
      <w:rFonts w:cs="Times New Roman"/>
    </w:rPr>
  </w:style>
  <w:style w:type="character" w:styleId="WW8Num23z0">
    <w:name w:val="WW8Num23z0"/>
    <w:qFormat/>
    <w:rPr>
      <w:b w:val="false"/>
      <w:bCs w:val="false"/>
    </w:rPr>
  </w:style>
  <w:style w:type="character" w:styleId="WW8Num24z0">
    <w:name w:val="WW8Num24z0"/>
    <w:qFormat/>
    <w:rPr>
      <w:rFonts w:ascii="Symbol" w:hAnsi="Symbol" w:cs="Symbol"/>
      <w:b/>
      <w:bCs/>
    </w:rPr>
  </w:style>
  <w:style w:type="character" w:styleId="WW8Num25z0">
    <w:name w:val="WW8Num25z0"/>
    <w:qFormat/>
    <w:rPr/>
  </w:style>
  <w:style w:type="character" w:styleId="WW8Num26z0">
    <w:name w:val="WW8Num26z0"/>
    <w:qFormat/>
    <w:rPr>
      <w:rFonts w:ascii="Symbol" w:hAnsi="Symbol" w:cs="Symbol"/>
      <w:b/>
      <w:bCs/>
    </w:rPr>
  </w:style>
  <w:style w:type="character" w:styleId="WW8Num29z0">
    <w:name w:val="WW8Num29z0"/>
    <w:qFormat/>
    <w:rPr>
      <w:rFonts w:cs="Times New Roman"/>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Whuggins">
    <w:name w:val="whuggins"/>
    <w:qFormat/>
    <w:rPr>
      <w:rFonts w:ascii="Arial" w:hAnsi="Arial" w:cs="Arial"/>
      <w:color w:val="000080"/>
      <w:sz w:val="20"/>
      <w:szCs w:val="20"/>
    </w:rPr>
  </w:style>
  <w:style w:type="character" w:styleId="StrongEmphasis">
    <w:name w:val="Strong Emphasis"/>
    <w:qFormat/>
    <w:rPr>
      <w:b/>
      <w:bCs/>
    </w:rPr>
  </w:style>
  <w:style w:type="character" w:styleId="CommentTextChar">
    <w:name w:val="Comment Text Char"/>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NormalWeb">
    <w:name w:val="Normal (Web)"/>
    <w:basedOn w:val="Normal"/>
    <w:qFormat/>
    <w:pPr>
      <w:spacing w:before="280" w:after="280"/>
    </w:pPr>
    <w:rPr>
      <w:rFonts w:ascii="Trebuchet MS" w:hAnsi="Trebuchet MS" w:cs="Trebuchet MS"/>
      <w:color w:val="444444"/>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enome.gov/10005108"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2016-09-28T14:12:00Z</dcterms:created>
  <dc:creator>Nettles, Destiney</dc:creator>
  <dc:description/>
  <cp:keywords/>
  <dc:language>en-US</dc:language>
  <cp:lastModifiedBy>Nettles, Destiney</cp:lastModifiedBy>
  <cp:lastPrinted>2016-01-04T11:05:00Z</cp:lastPrinted>
  <dcterms:modified xsi:type="dcterms:W3CDTF">2016-09-28T14:12:00Z</dcterms:modified>
  <cp:revision>2</cp:revision>
  <dc:subject/>
  <dc:title>Birthplace</dc:title>
</cp:coreProperties>
</file>