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Demographics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Home Ownership</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Question asking the respondent if his or her family owns or rents the home or apartment in which he or she is currently living.</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interviewer asks the respondent if he or she or someone else in the family owns or rents the home or apartment. The respondent or family may neither own nor rent the home.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Do [you/they] [or anyone else in [your/their] family living there] own the [home/apartment/mobile home], pay rent, or what? (NOTE: Don’t Know/Refused are not allowed here)  </w:t>
            </w:r>
          </w:p>
          <w:p>
            <w:pPr>
              <w:pStyle w:val="Normal"/>
              <w:ind w:left="708" w:hanging="0"/>
              <w:rPr/>
            </w:pPr>
            <w:r>
              <w:rPr>
                <w:rFonts w:cs="Arial" w:ascii="Arial" w:hAnsi="Arial"/>
                <w:sz w:val="22"/>
                <w:szCs w:val="22"/>
              </w:rPr>
              <w:t xml:space="preserve">1. ANY FAMILY MEMBER OWNS OR IS BUYING (FULLY OR JOINTLY) </w:t>
            </w:r>
          </w:p>
          <w:p>
            <w:pPr>
              <w:pStyle w:val="Normal"/>
              <w:ind w:left="708" w:hanging="0"/>
              <w:rPr>
                <w:rFonts w:ascii="Arial" w:hAnsi="Arial" w:cs="Arial"/>
                <w:sz w:val="22"/>
                <w:szCs w:val="22"/>
              </w:rPr>
            </w:pPr>
            <w:r>
              <w:rPr>
                <w:rFonts w:cs="Arial" w:ascii="Arial" w:hAnsi="Arial"/>
                <w:sz w:val="22"/>
                <w:szCs w:val="22"/>
              </w:rPr>
              <w:t>5. FAMILY PAYS RENT</w:t>
            </w:r>
          </w:p>
          <w:p>
            <w:pPr>
              <w:pStyle w:val="Normal"/>
              <w:ind w:left="708" w:hanging="0"/>
              <w:rPr>
                <w:rFonts w:ascii="Arial" w:hAnsi="Arial" w:cs="Arial"/>
                <w:sz w:val="22"/>
                <w:szCs w:val="22"/>
              </w:rPr>
            </w:pPr>
            <w:r>
              <w:rPr>
                <w:rFonts w:cs="Arial" w:ascii="Arial" w:hAnsi="Arial"/>
                <w:sz w:val="22"/>
                <w:szCs w:val="22"/>
              </w:rPr>
              <w:t>8. FAMILY NEITHER OWNS NOR RENTS</w:t>
            </w:r>
          </w:p>
          <w:p>
            <w:pPr>
              <w:pStyle w:val="Normal"/>
              <w:rPr/>
            </w:pPr>
            <w:r>
              <w:rPr>
                <w:rFonts w:cs="Arial" w:ascii="Arial" w:hAnsi="Arial"/>
                <w:sz w:val="22"/>
                <w:szCs w:val="22"/>
              </w:rPr>
              <w:t xml:space="preserve">If respondent says “coop, cooperative,” PROBE: Are [you/they] a shareholder - do [you/they] have a purchase agreement - in the cooperative, or do [you/they] have a lease agreement?  </w:t>
            </w:r>
          </w:p>
          <w:p>
            <w:pPr>
              <w:pStyle w:val="Normal"/>
              <w:rPr>
                <w:rFonts w:ascii="Arial" w:hAnsi="Arial" w:cs="Arial"/>
                <w:sz w:val="22"/>
                <w:szCs w:val="22"/>
              </w:rPr>
            </w:pPr>
            <w:r>
              <w:rPr>
                <w:rFonts w:cs="Arial" w:ascii="Arial" w:hAnsi="Arial"/>
                <w:sz w:val="22"/>
                <w:szCs w:val="22"/>
              </w:rPr>
              <w:t xml:space="preserve">If SHAREHOLDER/PURCHASE agreement or Don't Know, ENTER [1] </w:t>
            </w:r>
          </w:p>
          <w:p>
            <w:pPr>
              <w:pStyle w:val="Normal"/>
              <w:rPr>
                <w:rFonts w:ascii="Arial" w:hAnsi="Arial" w:cs="Arial"/>
                <w:sz w:val="22"/>
                <w:szCs w:val="22"/>
              </w:rPr>
            </w:pPr>
            <w:r>
              <w:rPr>
                <w:rFonts w:cs="Arial" w:ascii="Arial" w:hAnsi="Arial"/>
                <w:sz w:val="22"/>
                <w:szCs w:val="22"/>
              </w:rPr>
              <w:t>If LEASE agreement, ENTER [5]</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Individual aged 18 or older.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highlight w:val="yellow"/>
              </w:rPr>
            </w:pPr>
            <w:r>
              <w:rPr>
                <w:rFonts w:cs="Arial" w:ascii="Arial" w:hAnsi="Arial"/>
                <w:sz w:val="22"/>
                <w:szCs w:val="22"/>
              </w:rPr>
              <w:t>Institute for Social Research, University of Michigan. (2015). Panel Study of Income Dynamics (PSID). Ann Arbor, MI: Author. Question number: A19.</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  </w:t>
            </w:r>
          </w:p>
          <w:p>
            <w:pPr>
              <w:pStyle w:val="Normal"/>
              <w:rPr>
                <w:rFonts w:ascii="Arial" w:hAnsi="Arial" w:cs="Arial"/>
                <w:sz w:val="22"/>
                <w:szCs w:val="22"/>
              </w:rPr>
            </w:pPr>
            <w:r>
              <w:rPr>
                <w:rFonts w:cs="Arial" w:ascii="Arial" w:hAnsi="Arial"/>
                <w:sz w:val="22"/>
                <w:szCs w:val="22"/>
              </w:rPr>
            </w:r>
          </w:p>
          <w:p>
            <w:pPr>
              <w:pStyle w:val="Normal"/>
              <w:spacing w:before="0" w:after="0"/>
              <w:contextualSpacing/>
              <w:rPr>
                <w:rStyle w:val="DefaultChar"/>
                <w:sz w:val="22"/>
                <w:szCs w:val="22"/>
              </w:rPr>
            </w:pPr>
            <w:r>
              <w:rPr>
                <w:rFonts w:cs="Arial" w:ascii="Arial" w:hAnsi="Arial"/>
                <w:sz w:val="22"/>
                <w:szCs w:val="22"/>
              </w:rPr>
              <w:t>* There are multiple modes to administer this question (e.g., paper-and-pencil and computer-assisted interviews).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bCs/>
                <w:sz w:val="22"/>
                <w:szCs w:val="22"/>
              </w:rPr>
              <w:t xml:space="preserve">While the </w:t>
            </w:r>
            <w:r>
              <w:rPr>
                <w:rFonts w:cs="Arial" w:ascii="Arial" w:hAnsi="Arial"/>
                <w:sz w:val="22"/>
                <w:szCs w:val="22"/>
              </w:rPr>
              <w:t>source</w:t>
            </w:r>
            <w:r>
              <w:rPr>
                <w:rFonts w:cs="Arial" w:ascii="Arial" w:hAnsi="Arial"/>
                <w:bCs/>
                <w:sz w:val="22"/>
                <w:szCs w:val="22"/>
              </w:rPr>
              <w:t xml:space="preserve"> protocol was developed to be administered by a computer-assisted telephone instrument, the PhenX Working Group acknowledges these questions can be administered in a noncomputerized format (i.e., paper-and-pencil instrument). </w:t>
            </w:r>
            <w:r>
              <w:rPr>
                <w:rFonts w:cs="Arial" w:ascii="Arial" w:hAnsi="Arial"/>
                <w:sz w:val="22"/>
                <w:szCs w:val="22"/>
              </w:rPr>
              <w:t>Computer software is necessary to develop computer-assisted instruments. The interviewer will require a laptop computer or handheld computer to administer a computer-assisted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Interviewer-administered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Institute for Social Research, University of Michigan. (2015). Panel Study of Income Dynamics (PSID). Ann Arbor, MI: Author. </w:t>
            </w:r>
          </w:p>
          <w:p>
            <w:pPr>
              <w:pStyle w:val="Normal"/>
              <w:spacing w:before="0" w:after="0"/>
              <w:contextualSpacing/>
              <w:rPr>
                <w:rFonts w:ascii="Arial" w:hAnsi="Arial" w:cs="Arial"/>
                <w:sz w:val="22"/>
                <w:szCs w:val="22"/>
              </w:rPr>
            </w:pPr>
            <w:hyperlink r:id="rId2">
              <w:r>
                <w:rPr>
                  <w:rStyle w:val="InternetLink"/>
                  <w:rFonts w:cs="Arial" w:ascii="Arial" w:hAnsi="Arial"/>
                  <w:sz w:val="22"/>
                  <w:szCs w:val="22"/>
                </w:rPr>
                <w:t>http://psidonline.isr.umich.edu/</w:t>
              </w:r>
            </w:hyperlink>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Web"/>
              <w:spacing w:before="0" w:after="280"/>
              <w:rPr/>
            </w:pPr>
            <w:r>
              <w:rPr>
                <w:rFonts w:cs="Arial" w:ascii="Arial" w:hAnsi="Arial"/>
                <w:sz w:val="22"/>
                <w:szCs w:val="22"/>
              </w:rPr>
              <w:t xml:space="preserve">The </w:t>
            </w:r>
            <w:hyperlink r:id="rId3">
              <w:r>
                <w:rPr>
                  <w:rStyle w:val="InternetLink"/>
                  <w:rFonts w:cs="Arial" w:ascii="Arial" w:hAnsi="Arial"/>
                  <w:sz w:val="22"/>
                  <w:szCs w:val="22"/>
                </w:rPr>
                <w:t>Expert Review Panel #2</w:t>
              </w:r>
            </w:hyperlink>
            <w:r>
              <w:rPr>
                <w:rFonts w:cs="Arial" w:ascii="Arial" w:hAnsi="Arial"/>
                <w:sz w:val="22"/>
                <w:szCs w:val="22"/>
              </w:rPr>
              <w:t xml:space="preserve"> (ERP 2) reviewed the measures in the Demographics, Social Environments, and Environmental Exposures domains. </w:t>
            </w:r>
          </w:p>
          <w:p>
            <w:pPr>
              <w:pStyle w:val="NormalWeb"/>
              <w:rPr>
                <w:rFonts w:ascii="Arial" w:hAnsi="Arial" w:cs="Arial"/>
                <w:sz w:val="22"/>
                <w:szCs w:val="22"/>
              </w:rPr>
            </w:pPr>
            <w:r>
              <w:rPr>
                <w:rFonts w:cs="Arial" w:ascii="Arial" w:hAnsi="Arial"/>
                <w:sz w:val="22"/>
                <w:szCs w:val="22"/>
              </w:rPr>
              <w:t>Guidance from ERP 2 includes:</w:t>
            </w:r>
          </w:p>
          <w:p>
            <w:pPr>
              <w:pStyle w:val="NormalWeb"/>
              <w:ind w:left="720" w:hanging="0"/>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Updated protocol</w:t>
            </w:r>
          </w:p>
          <w:p>
            <w:pPr>
              <w:pStyle w:val="NormalWeb"/>
              <w:spacing w:before="280" w:after="0"/>
              <w:rPr>
                <w:rFonts w:ascii="Arial" w:hAnsi="Arial" w:cs="Arial"/>
                <w:sz w:val="22"/>
                <w:szCs w:val="22"/>
              </w:rPr>
            </w:pPr>
            <w:r>
              <w:rPr>
                <w:rFonts w:cs="Arial" w:ascii="Arial" w:hAnsi="Arial"/>
                <w:sz w:val="22"/>
                <w:szCs w:val="22"/>
              </w:rPr>
              <w:t>Previous version in Toolkit archive (</w:t>
            </w:r>
            <w:hyperlink r:id="rId4" w:tgtFrame="_blank">
              <w:r>
                <w:rPr>
                  <w:rStyle w:val="InternetLink"/>
                  <w:rFonts w:cs="Arial" w:ascii="Arial" w:hAnsi="Arial"/>
                  <w:sz w:val="22"/>
                  <w:szCs w:val="22"/>
                </w:rPr>
                <w:t>link</w:t>
              </w:r>
            </w:hyperlink>
            <w:r>
              <w:rPr>
                <w:rFonts w:cs="Arial" w:ascii="Arial" w:hAnsi="Arial"/>
                <w:sz w:val="22"/>
                <w:szCs w:val="22"/>
              </w:rPr>
              <w:t>)</w:t>
            </w:r>
          </w:p>
        </w:tc>
      </w:tr>
    </w:tbl>
    <w:p>
      <w:pPr>
        <w:pStyle w:val="Normal"/>
        <w:spacing w:before="0" w:after="0"/>
        <w:contextualSpacing/>
        <w:rPr/>
      </w:pPr>
      <w:r>
        <w:rPr/>
      </w:r>
    </w:p>
    <w:sectPr>
      <w:headerReference w:type="default" r:id="rId5"/>
      <w:footerReference w:type="default" r:id="rId6"/>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Home Ownership</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Header"/>
      <w:rPr>
        <w:rFonts w:ascii="Arial" w:hAnsi="Arial" w:cs="Arial"/>
        <w:b/>
        <w:b/>
        <w:sz w:val="20"/>
        <w:szCs w:val="20"/>
      </w:rPr>
    </w:pPr>
    <w:r>
      <w:rPr>
        <w:rFonts w:cs="Arial" w:ascii="Arial" w:hAnsi="Arial"/>
        <w:b/>
        <w:sz w:val="20"/>
        <w:szCs w:val="20"/>
      </w:rPr>
      <w:t>Domain: Demographics</w:t>
    </w:r>
  </w:p>
  <w:p>
    <w:pPr>
      <w:pStyle w:val="Normal"/>
      <w:rPr>
        <w:rFonts w:ascii="Arial" w:hAnsi="Arial" w:cs="Arial"/>
        <w:b/>
        <w:b/>
        <w:bCs/>
        <w:sz w:val="20"/>
        <w:szCs w:val="20"/>
      </w:rPr>
    </w:pPr>
    <w:r>
      <w:rPr>
        <w:rFonts w:cs="Arial" w:ascii="Arial" w:hAnsi="Arial"/>
        <w:b/>
        <w:bCs/>
        <w:sz w:val="20"/>
        <w:szCs w:val="20"/>
      </w:rPr>
      <w:t>Release Date: May 31, 2016</w:t>
    </w:r>
  </w:p>
  <w:p>
    <w:pPr>
      <w:pStyle w:val="Normal"/>
      <w:rPr>
        <w:rFonts w:ascii="Arial" w:hAnsi="Arial" w:cs="Arial"/>
        <w:b/>
        <w:b/>
        <w:sz w:val="20"/>
        <w:szCs w:val="20"/>
      </w:rPr>
    </w:pPr>
    <w:r>
      <w:rPr>
        <w:rFonts w:cs="Arial" w:ascii="Arial" w:hAnsi="Arial"/>
        <w:b/>
        <w:sz w:val="20"/>
        <w:szCs w:val="20"/>
      </w:rPr>
      <w:t>Home Ownership</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sidonline.isr.umich.edu/" TargetMode="External"/><Relationship Id="rId3" Type="http://schemas.openxmlformats.org/officeDocument/2006/relationships/hyperlink" Target="https://www.phenx.org/Default.aspx?tabid=1010" TargetMode="External"/><Relationship Id="rId4" Type="http://schemas.openxmlformats.org/officeDocument/2006/relationships/hyperlink" Target="http://phenxtoolkitdev.rti.org/index.php?pageLink=browse.archive.protocols&amp;id=10000"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14</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2016-02-08T14:37:00Z</dcterms:created>
  <dc:creator>whuggins</dc:creator>
  <dc:description/>
  <cp:keywords/>
  <dc:language>en-US</dc:language>
  <cp:lastModifiedBy>Hwang, Stephen</cp:lastModifiedBy>
  <cp:lastPrinted>2009-03-24T15:13:00Z</cp:lastPrinted>
  <dcterms:modified xsi:type="dcterms:W3CDTF">2016-05-16T14:42:00Z</dcterms:modified>
  <cp:revision>7</cp:revision>
  <dc:subject/>
  <dc:title/>
</cp:coreProperties>
</file>