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Demographics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Last Health Care Visit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Question asking the respondent about the timing of his or her last health care visit.</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 respondent is asked how long ago he or she saw or talked to a doctor or other health care professional.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About how long has it been since you last saw or talked to a doctor or other health care professional about your health? Include doctors seen while you were a patient in a hospital. Has it been . . . </w:t>
            </w:r>
          </w:p>
          <w:p>
            <w:pPr>
              <w:pStyle w:val="Normal"/>
              <w:rPr>
                <w:rFonts w:ascii="Arial" w:hAnsi="Arial" w:cs="Arial"/>
                <w:sz w:val="22"/>
                <w:szCs w:val="22"/>
              </w:rPr>
            </w:pPr>
            <w:r>
              <w:rPr>
                <w:rFonts w:cs="Arial" w:ascii="Arial" w:hAnsi="Arial"/>
                <w:sz w:val="22"/>
                <w:szCs w:val="22"/>
              </w:rPr>
            </w:r>
          </w:p>
          <w:p>
            <w:pPr>
              <w:pStyle w:val="Normal"/>
              <w:ind w:left="708" w:hanging="0"/>
              <w:rPr/>
            </w:pPr>
            <w:r>
              <w:rPr>
                <w:rFonts w:cs="Arial" w:ascii="Arial" w:hAnsi="Arial"/>
                <w:sz w:val="22"/>
                <w:szCs w:val="22"/>
              </w:rPr>
              <w:t xml:space="preserve">6 months or less, …………………………………………….1 </w:t>
            </w:r>
          </w:p>
          <w:p>
            <w:pPr>
              <w:pStyle w:val="Normal"/>
              <w:ind w:left="708" w:hanging="0"/>
              <w:rPr/>
            </w:pPr>
            <w:r>
              <w:rPr>
                <w:rFonts w:cs="Arial" w:ascii="Arial" w:hAnsi="Arial"/>
                <w:sz w:val="22"/>
                <w:szCs w:val="22"/>
              </w:rPr>
              <w:t xml:space="preserve">More than 6 months, but not more than 1 year ago, …… 2 </w:t>
            </w:r>
          </w:p>
          <w:p>
            <w:pPr>
              <w:pStyle w:val="Normal"/>
              <w:ind w:left="708" w:hanging="0"/>
              <w:rPr>
                <w:rFonts w:ascii="Arial" w:hAnsi="Arial" w:cs="Arial"/>
                <w:sz w:val="22"/>
                <w:szCs w:val="22"/>
              </w:rPr>
            </w:pPr>
            <w:r>
              <w:rPr>
                <w:rFonts w:cs="Arial" w:ascii="Arial" w:hAnsi="Arial"/>
                <w:sz w:val="22"/>
                <w:szCs w:val="22"/>
              </w:rPr>
              <w:t xml:space="preserve">More than 1 year, but not more than 2 years ago, …..…..3 </w:t>
            </w:r>
          </w:p>
          <w:p>
            <w:pPr>
              <w:pStyle w:val="Normal"/>
              <w:ind w:left="708" w:hanging="0"/>
              <w:rPr>
                <w:rFonts w:ascii="Arial" w:hAnsi="Arial" w:cs="Arial"/>
                <w:sz w:val="22"/>
                <w:szCs w:val="22"/>
              </w:rPr>
            </w:pPr>
            <w:r>
              <w:rPr>
                <w:rFonts w:cs="Arial" w:ascii="Arial" w:hAnsi="Arial"/>
                <w:sz w:val="22"/>
                <w:szCs w:val="22"/>
              </w:rPr>
              <w:t>More than 2 years, but not more than 5 years ago, ……..4</w:t>
            </w:r>
          </w:p>
          <w:p>
            <w:pPr>
              <w:pStyle w:val="Normal"/>
              <w:ind w:left="708" w:hanging="0"/>
              <w:rPr/>
            </w:pPr>
            <w:r>
              <w:rPr>
                <w:rFonts w:cs="Arial" w:ascii="Arial" w:hAnsi="Arial"/>
                <w:sz w:val="22"/>
                <w:szCs w:val="22"/>
              </w:rPr>
              <w:t xml:space="preserve">More than 5 years, or ……………………………………….5 </w:t>
            </w:r>
          </w:p>
          <w:p>
            <w:pPr>
              <w:pStyle w:val="Normal"/>
              <w:ind w:left="708" w:hanging="0"/>
              <w:rPr/>
            </w:pPr>
            <w:r>
              <w:rPr>
                <w:rFonts w:cs="Arial" w:ascii="Arial" w:hAnsi="Arial"/>
                <w:sz w:val="22"/>
                <w:szCs w:val="22"/>
              </w:rPr>
              <w:t xml:space="preserve">Never? ……………………………………………………..…6 </w:t>
            </w:r>
          </w:p>
          <w:p>
            <w:pPr>
              <w:pStyle w:val="Normal"/>
              <w:ind w:left="708" w:hanging="0"/>
              <w:rPr>
                <w:rFonts w:ascii="Arial" w:hAnsi="Arial" w:cs="Arial"/>
                <w:sz w:val="22"/>
                <w:szCs w:val="22"/>
              </w:rPr>
            </w:pPr>
            <w:r>
              <w:rPr>
                <w:rFonts w:cs="Arial" w:ascii="Arial" w:hAnsi="Arial"/>
                <w:sz w:val="22"/>
                <w:szCs w:val="22"/>
              </w:rPr>
              <w:t>REFUSED ………………………………………………......77</w:t>
            </w:r>
          </w:p>
          <w:p>
            <w:pPr>
              <w:pStyle w:val="Normal"/>
              <w:ind w:left="708" w:hanging="0"/>
              <w:rPr>
                <w:rFonts w:ascii="Arial" w:hAnsi="Arial" w:cs="Arial"/>
                <w:sz w:val="22"/>
                <w:szCs w:val="22"/>
              </w:rPr>
            </w:pPr>
            <w:r>
              <w:rPr>
                <w:rFonts w:cs="Arial" w:ascii="Arial" w:hAnsi="Arial"/>
                <w:sz w:val="22"/>
                <w:szCs w:val="22"/>
              </w:rPr>
              <w:t>DON’T KNOW ………………………………………….......99</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Any age. May be asked of a proxy.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highlight w:val="yellow"/>
              </w:rPr>
            </w:pPr>
            <w:r>
              <w:rPr>
                <w:rFonts w:cs="Arial" w:ascii="Arial" w:hAnsi="Arial"/>
                <w:sz w:val="22"/>
                <w:szCs w:val="22"/>
              </w:rPr>
              <w:t>Centers for Disease Control and Prevention, National Center for Health Statistics. (2015). National Health and Nutrition Examination Survey (NHANES), 2013–2014. Atlanta, GA: Author. Hospital Utilization and Access to Care Section. Question number HUQ.061.</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  </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sz w:val="22"/>
                <w:szCs w:val="22"/>
              </w:rPr>
              <w:t>* There are multiple modes to administer this question (e.g., paper-and-pencil and computer-assisted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bCs/>
                <w:sz w:val="22"/>
                <w:szCs w:val="22"/>
              </w:rPr>
              <w:t xml:space="preserve">While the </w:t>
            </w:r>
            <w:r>
              <w:rPr>
                <w:rFonts w:cs="Arial" w:ascii="Arial" w:hAnsi="Arial"/>
                <w:sz w:val="22"/>
                <w:szCs w:val="22"/>
              </w:rPr>
              <w:t>source</w:t>
            </w:r>
            <w:r>
              <w:rPr>
                <w:rFonts w:cs="Arial" w:ascii="Arial" w:hAnsi="Arial"/>
                <w:bCs/>
                <w:sz w:val="22"/>
                <w:szCs w:val="22"/>
              </w:rPr>
              <w:t xml:space="preserve"> instrument was developed to be administered by computer, the PhenX Working Group acknowledges these questions can be administered in a noncomputerized format (i.e., paper-and-pencil instrument). </w:t>
            </w:r>
            <w:r>
              <w:rPr>
                <w:rFonts w:cs="Arial" w:ascii="Arial" w:hAnsi="Arial"/>
                <w:sz w:val="22"/>
                <w:szCs w:val="22"/>
              </w:rPr>
              <w:t>Computer software is necessary to develop computer-assisted instruments. The interviewer will require a laptop computer or handheld computer to administer a computer-assisted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Centers for Disease Control and Prevention, National Center for Health Statistics. (2015). National Health and Nutrition Examination Survey (NHANES), 2013–2014. Atlanta, GA: Author.</w:t>
            </w:r>
          </w:p>
          <w:p>
            <w:pPr>
              <w:pStyle w:val="Normal"/>
              <w:rPr>
                <w:rFonts w:ascii="Arial" w:hAnsi="Arial" w:cs="Arial"/>
                <w:sz w:val="22"/>
                <w:szCs w:val="22"/>
              </w:rPr>
            </w:pPr>
            <w:r>
              <w:rPr>
                <w:rFonts w:cs="Arial" w:ascii="Arial" w:hAnsi="Arial"/>
                <w:sz w:val="22"/>
                <w:szCs w:val="22"/>
              </w:rPr>
              <w:t>http://wwwn.cdc.gov/Nchs/Nhanes/2013-2014/HUQ_H.htm</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Web"/>
              <w:spacing w:before="0" w:after="280"/>
              <w:rPr/>
            </w:pPr>
            <w:r>
              <w:rPr>
                <w:rFonts w:cs="Arial" w:ascii="Arial" w:hAnsi="Arial"/>
                <w:sz w:val="22"/>
                <w:szCs w:val="22"/>
              </w:rPr>
              <w:t xml:space="preserve">The </w:t>
            </w:r>
            <w:hyperlink r:id="rId2">
              <w:r>
                <w:rPr>
                  <w:rStyle w:val="InternetLink"/>
                  <w:rFonts w:cs="Arial" w:ascii="Arial" w:hAnsi="Arial"/>
                  <w:sz w:val="22"/>
                  <w:szCs w:val="22"/>
                </w:rPr>
                <w:t>Expert Review Panel #2</w:t>
              </w:r>
            </w:hyperlink>
            <w:r>
              <w:rPr>
                <w:rFonts w:cs="Arial" w:ascii="Arial" w:hAnsi="Arial"/>
                <w:sz w:val="22"/>
                <w:szCs w:val="22"/>
              </w:rPr>
              <w:t xml:space="preserve"> (ERP 2) reviewed the measures in the Demographics, Social Environments, and Environmental Exposures domains. </w:t>
            </w:r>
          </w:p>
          <w:p>
            <w:pPr>
              <w:pStyle w:val="NormalWeb"/>
              <w:rPr>
                <w:rFonts w:ascii="Arial" w:hAnsi="Arial" w:cs="Arial"/>
                <w:sz w:val="22"/>
                <w:szCs w:val="22"/>
              </w:rPr>
            </w:pPr>
            <w:r>
              <w:rPr>
                <w:rFonts w:cs="Arial" w:ascii="Arial" w:hAnsi="Arial"/>
                <w:sz w:val="22"/>
                <w:szCs w:val="22"/>
              </w:rPr>
              <w:t>Guidance from ERP 2 includes:</w:t>
            </w:r>
          </w:p>
          <w:p>
            <w:pPr>
              <w:pStyle w:val="NormalWeb"/>
              <w:ind w:left="720" w:hanging="0"/>
              <w:rPr>
                <w:rFonts w:ascii="Arial" w:hAnsi="Arial" w:cs="Arial"/>
                <w:sz w:val="22"/>
                <w:szCs w:val="22"/>
              </w:rPr>
            </w:pPr>
            <w:r>
              <w:rPr>
                <w:rFonts w:cs="Arial" w:ascii="Arial" w:hAnsi="Arial"/>
                <w:sz w:val="22"/>
                <w:szCs w:val="22"/>
              </w:rPr>
              <w:t>•</w:t>
            </w:r>
            <w:r>
              <w:rPr>
                <w:rFonts w:eastAsia="Arial" w:cs="Arial" w:ascii="Arial" w:hAnsi="Arial"/>
                <w:sz w:val="22"/>
                <w:szCs w:val="22"/>
              </w:rPr>
              <w:t xml:space="preserve"> </w:t>
            </w:r>
            <w:r>
              <w:rPr>
                <w:rFonts w:cs="Arial" w:ascii="Arial" w:hAnsi="Arial"/>
                <w:sz w:val="22"/>
                <w:szCs w:val="22"/>
              </w:rPr>
              <w:t>Updated protocol</w:t>
            </w:r>
          </w:p>
          <w:p>
            <w:pPr>
              <w:pStyle w:val="NormalWeb"/>
              <w:spacing w:before="280" w:after="0"/>
              <w:rPr>
                <w:rFonts w:ascii="Arial" w:hAnsi="Arial" w:cs="Arial"/>
                <w:sz w:val="22"/>
                <w:szCs w:val="22"/>
              </w:rPr>
            </w:pPr>
            <w:r>
              <w:rPr>
                <w:rFonts w:cs="Arial" w:ascii="Arial" w:hAnsi="Arial"/>
                <w:sz w:val="22"/>
                <w:szCs w:val="22"/>
              </w:rPr>
              <w:t>Previous version in Toolkit archive (</w:t>
            </w:r>
            <w:hyperlink r:id="rId3" w:tgtFrame="_blank">
              <w:r>
                <w:rPr>
                  <w:rStyle w:val="InternetLink"/>
                  <w:rFonts w:cs="Arial" w:ascii="Arial" w:hAnsi="Arial"/>
                  <w:sz w:val="22"/>
                  <w:szCs w:val="22"/>
                </w:rPr>
                <w:t>link</w:t>
              </w:r>
            </w:hyperlink>
            <w:r>
              <w:rPr>
                <w:rFonts w:cs="Arial" w:ascii="Arial" w:hAnsi="Arial"/>
                <w:sz w:val="22"/>
                <w:szCs w:val="22"/>
              </w:rPr>
              <w:t>)</w:t>
            </w:r>
          </w:p>
        </w:tc>
      </w:tr>
    </w:tbl>
    <w:p>
      <w:pPr>
        <w:pStyle w:val="Normal"/>
        <w:spacing w:before="0" w:after="0"/>
        <w:contextualSpacing/>
        <w:rPr/>
      </w:pPr>
      <w:r>
        <w:rPr/>
      </w:r>
    </w:p>
    <w:sectPr>
      <w:headerReference w:type="default" r:id="rId4"/>
      <w:footerReference w:type="default" r:id="rId5"/>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Last Health Care Visit</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Footer"/>
      <w:tabs>
        <w:tab w:val="clear" w:pos="4320"/>
        <w:tab w:val="clear" w:pos="8640"/>
      </w:tabs>
      <w:rPr>
        <w:rFonts w:ascii="Arial" w:hAnsi="Arial" w:cs="Arial"/>
        <w:b/>
        <w:b/>
        <w:sz w:val="20"/>
        <w:szCs w:val="20"/>
      </w:rPr>
    </w:pPr>
    <w:r>
      <w:rPr>
        <w:rFonts w:cs="Arial" w:ascii="Arial" w:hAnsi="Arial"/>
        <w:b/>
        <w:sz w:val="20"/>
        <w:szCs w:val="20"/>
      </w:rPr>
      <w:t>Domain: Demographics</w:t>
    </w:r>
  </w:p>
  <w:p>
    <w:pPr>
      <w:pStyle w:val="Footer"/>
      <w:tabs>
        <w:tab w:val="clear" w:pos="4320"/>
        <w:tab w:val="clear" w:pos="8640"/>
      </w:tabs>
      <w:rPr/>
    </w:pPr>
    <w:r>
      <w:rPr>
        <w:rFonts w:cs="Arial" w:ascii="Arial" w:hAnsi="Arial"/>
        <w:b/>
        <w:sz w:val="20"/>
        <w:szCs w:val="20"/>
      </w:rPr>
      <w:t>Release Date: May 31, 2016</w:t>
      <w:tab/>
      <w:tab/>
      <w:tab/>
    </w:r>
  </w:p>
  <w:p>
    <w:pPr>
      <w:pStyle w:val="Normal"/>
      <w:rPr/>
    </w:pPr>
    <w:r>
      <w:rPr>
        <w:rFonts w:cs="Arial" w:ascii="Arial" w:hAnsi="Arial"/>
        <w:b/>
        <w:sz w:val="20"/>
        <w:szCs w:val="20"/>
      </w:rPr>
      <w:t>Last Health Care Visit</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FooterChar">
    <w:name w:val="Footer Char"/>
    <w:qFormat/>
    <w:rPr>
      <w:sz w:val="24"/>
      <w:szCs w:val="24"/>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NormalWeb">
    <w:name w:val="Normal (Web)"/>
    <w:basedOn w:val="Normal"/>
    <w:qFormat/>
    <w:pPr>
      <w:spacing w:before="280" w:after="28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henx.org/Default.aspx?tabid=1010" TargetMode="External"/><Relationship Id="rId3" Type="http://schemas.openxmlformats.org/officeDocument/2006/relationships/hyperlink" Target="http://phenxtoolkitdev.rti.org/index.php?pageLink=browse.archive.protocols&amp;id=10000"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83</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2016-02-08T14:58:00Z</dcterms:created>
  <dc:creator>whuggins</dc:creator>
  <dc:description/>
  <cp:keywords/>
  <dc:language>en-US</dc:language>
  <cp:lastModifiedBy>Hwang, Stephen</cp:lastModifiedBy>
  <cp:lastPrinted>2009-03-24T15:13:00Z</cp:lastPrinted>
  <dcterms:modified xsi:type="dcterms:W3CDTF">2016-05-16T14:42:00Z</dcterms:modified>
  <cp:revision>11</cp:revision>
  <dc:subject/>
  <dc:title/>
</cp:coreProperties>
</file>