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Demographics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Social Status in the Community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Question asking the respondent to view a graphical representation of social position in the community and indicate how his/her social position relates to others in his/her community.</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respondent is shown the ladder with the descriptions of the top status and the meaning of the ladder and then asked to indicate which level he or she thinks he or she currently stands relative to other people in his or her community. The community is self-defined.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drawing>
                <wp:inline distT="0" distB="0" distL="0" distR="0">
                  <wp:extent cx="3648075" cy="42862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8" r="-10" b="-8"/>
                          <a:stretch>
                            <a:fillRect/>
                          </a:stretch>
                        </pic:blipFill>
                        <pic:spPr bwMode="auto">
                          <a:xfrm>
                            <a:off x="0" y="0"/>
                            <a:ext cx="3648075" cy="4286250"/>
                          </a:xfrm>
                          <a:prstGeom prst="rect">
                            <a:avLst/>
                          </a:prstGeom>
                        </pic:spPr>
                      </pic:pic>
                    </a:graphicData>
                  </a:graphic>
                </wp:inline>
              </w:drawing>
            </w:r>
          </w:p>
          <w:p>
            <w:pPr>
              <w:pStyle w:val="Normal"/>
              <w:spacing w:before="0" w:after="0"/>
              <w:contextualSpacing/>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Think of this ladder as representing where people stand in their communities.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People define community in different ways; please define it in whatever way is most meaningful for you. At the top of the ladder are the people who have the highest standing in their community. At the bottom are the people who have the lowest standing in their community.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What is the number to the right of the rung where you think you stand at this time in your life, relative to other people in your community?</w:t>
            </w:r>
          </w:p>
          <w:p>
            <w:pPr>
              <w:pStyle w:val="Normal"/>
              <w:ind w:left="828" w:hanging="0"/>
              <w:rPr>
                <w:rFonts w:ascii="Arial" w:hAnsi="Arial" w:cs="Arial"/>
                <w:sz w:val="22"/>
                <w:szCs w:val="22"/>
              </w:rPr>
            </w:pPr>
            <w:r>
              <w:rPr>
                <w:rFonts w:cs="Arial" w:ascii="Arial" w:hAnsi="Arial"/>
                <w:sz w:val="22"/>
                <w:szCs w:val="22"/>
              </w:rPr>
              <w:t>___________ NUMBER</w:t>
            </w:r>
          </w:p>
          <w:p>
            <w:pPr>
              <w:pStyle w:val="Normal"/>
              <w:ind w:left="828" w:hanging="0"/>
              <w:rPr>
                <w:rFonts w:ascii="Arial" w:hAnsi="Arial" w:cs="Arial"/>
                <w:sz w:val="22"/>
                <w:szCs w:val="22"/>
              </w:rPr>
            </w:pPr>
            <w:r>
              <w:rPr>
                <w:rFonts w:cs="Arial" w:ascii="Arial" w:hAnsi="Arial"/>
                <w:sz w:val="22"/>
                <w:szCs w:val="22"/>
              </w:rPr>
              <w:t>DON’T KNOW .................... 998</w:t>
            </w:r>
          </w:p>
          <w:p>
            <w:pPr>
              <w:pStyle w:val="Normal"/>
              <w:ind w:left="828" w:hanging="0"/>
              <w:rPr>
                <w:rFonts w:ascii="Arial" w:hAnsi="Arial" w:cs="Arial"/>
                <w:sz w:val="22"/>
                <w:szCs w:val="22"/>
              </w:rPr>
            </w:pPr>
            <w:r>
              <w:rPr>
                <w:rFonts w:cs="Arial" w:ascii="Arial" w:hAnsi="Arial"/>
                <w:sz w:val="22"/>
                <w:szCs w:val="22"/>
              </w:rPr>
              <w:t>REFUSED ............................ 999</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Individuals aged 18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highlight w:val="yellow"/>
              </w:rPr>
            </w:pPr>
            <w:r>
              <w:rPr>
                <w:rFonts w:cs="Arial" w:ascii="Arial" w:hAnsi="Arial"/>
                <w:sz w:val="22"/>
                <w:szCs w:val="22"/>
              </w:rPr>
              <w:t>Center for Multicultural Mental Health Research. (2002). National Latino and Asian American Study (NLAAS). Somerville, MA: Author. Adult Demographics Section. Question number DA 38.</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 There are multiple modes to administer this question (e.g., paper-and-pencil and computer-assisted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bCs/>
              </w:rPr>
            </w:pPr>
            <w:r>
              <w:rPr>
                <w:rFonts w:cs="Arial" w:ascii="Arial" w:hAnsi="Arial"/>
                <w:bCs/>
                <w:sz w:val="22"/>
                <w:szCs w:val="22"/>
              </w:rPr>
              <w:t>While the source instrument was developed to be administered by computer, the PhenX Working Group acknowledges these questions can be administered in a noncomputerized format (i.e., paper-and-pencil instrument). Computer software is necessary to develop computer-assisted instruments. The interviewer will require a laptop computer or 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Cs/>
                <w:sz w:val="22"/>
                <w:szCs w:val="22"/>
              </w:rPr>
            </w:pPr>
            <w:r>
              <w:rPr>
                <w:rFonts w:cs="Arial" w:ascii="Arial" w:hAnsi="Arial"/>
                <w:bCs/>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Center for Multicultural Mental Health Research. (2002). National Latino and Asian American Study (NLAAS). Somerville, MA: Author. Adult Demographics Section. </w:t>
            </w:r>
          </w:p>
          <w:p>
            <w:pPr>
              <w:pStyle w:val="Normal"/>
              <w:rPr>
                <w:rFonts w:ascii="Arial" w:hAnsi="Arial" w:cs="Arial"/>
                <w:sz w:val="22"/>
                <w:szCs w:val="22"/>
              </w:rPr>
            </w:pPr>
            <w:r>
              <w:rPr>
                <w:rFonts w:cs="Arial" w:ascii="Arial" w:hAnsi="Arial"/>
                <w:sz w:val="22"/>
                <w:szCs w:val="22"/>
              </w:rPr>
              <w:t>http://www.multiculturalmentalhealth.org/nlaas.asp</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3" w:tgtFrame="_blank">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Environmental Exposures, and Social Environments domains. </w:t>
            </w:r>
          </w:p>
          <w:p>
            <w:pPr>
              <w:pStyle w:val="NormalWeb"/>
              <w:rPr>
                <w:rFonts w:ascii="Arial" w:hAnsi="Arial" w:cs="Arial"/>
                <w:sz w:val="22"/>
                <w:szCs w:val="22"/>
              </w:rPr>
            </w:pPr>
            <w:r>
              <w:rPr>
                <w:rFonts w:cs="Arial" w:ascii="Arial" w:hAnsi="Arial"/>
                <w:sz w:val="22"/>
                <w:szCs w:val="22"/>
              </w:rPr>
              <w:t>Guidance from ERP 2 includes:</w:t>
            </w:r>
          </w:p>
          <w:p>
            <w:pPr>
              <w:pStyle w:val="NormalWeb"/>
              <w:spacing w:before="280" w:after="0"/>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No significant changes to measure</w:t>
            </w:r>
          </w:p>
        </w:tc>
      </w:tr>
    </w:tbl>
    <w:p>
      <w:pPr>
        <w:pStyle w:val="Normal"/>
        <w:spacing w:before="0" w:after="0"/>
        <w:contextualSpacing/>
        <w:rPr/>
      </w:pPr>
      <w:r>
        <w:rPr/>
      </w:r>
    </w:p>
    <w:sectPr>
      <w:headerReference w:type="default" r:id="rId4"/>
      <w:footerReference w:type="default" r:id="rId5"/>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Social Status in the Community</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Header"/>
      <w:tabs>
        <w:tab w:val="clear" w:pos="4320"/>
        <w:tab w:val="clear" w:pos="8640"/>
      </w:tabs>
      <w:rPr>
        <w:rFonts w:ascii="Arial" w:hAnsi="Arial" w:cs="Arial"/>
        <w:b/>
        <w:b/>
        <w:sz w:val="20"/>
        <w:szCs w:val="20"/>
      </w:rPr>
    </w:pPr>
    <w:r>
      <w:rPr>
        <w:rFonts w:cs="Arial" w:ascii="Arial" w:hAnsi="Arial"/>
        <w:b/>
        <w:sz w:val="20"/>
        <w:szCs w:val="20"/>
      </w:rPr>
      <w:t>Domain: Demographics</w:t>
    </w:r>
  </w:p>
  <w:p>
    <w:pPr>
      <w:pStyle w:val="Header"/>
      <w:tabs>
        <w:tab w:val="clear" w:pos="4320"/>
        <w:tab w:val="clear" w:pos="8640"/>
      </w:tabs>
      <w:rPr>
        <w:rFonts w:ascii="Arial" w:hAnsi="Arial" w:cs="Arial"/>
        <w:b/>
        <w:b/>
        <w:sz w:val="20"/>
        <w:szCs w:val="20"/>
      </w:rPr>
    </w:pPr>
    <w:r>
      <w:rPr>
        <w:rFonts w:cs="Arial" w:ascii="Arial" w:hAnsi="Arial"/>
        <w:b/>
        <w:sz w:val="20"/>
        <w:szCs w:val="20"/>
      </w:rPr>
      <w:t>Release Date: May 31, 2016</w:t>
    </w:r>
  </w:p>
  <w:p>
    <w:pPr>
      <w:pStyle w:val="Normal"/>
      <w:rPr/>
    </w:pPr>
    <w:r>
      <w:rPr>
        <w:rFonts w:cs="Arial" w:ascii="Arial" w:hAnsi="Arial"/>
        <w:b/>
        <w:sz w:val="20"/>
        <w:szCs w:val="20"/>
      </w:rPr>
      <w:t>Social Status in the Community</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henx.org/Default.aspx?tabid=101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2016-02-08T17:44:00Z</dcterms:created>
  <dc:creator>whuggins</dc:creator>
  <dc:description/>
  <cp:keywords/>
  <dc:language>en-US</dc:language>
  <cp:lastModifiedBy>Hwang, Stephen</cp:lastModifiedBy>
  <cp:lastPrinted>2009-03-24T15:13:00Z</cp:lastPrinted>
  <dcterms:modified xsi:type="dcterms:W3CDTF">2016-05-11T18:21:00Z</dcterms:modified>
  <cp:revision>7</cp:revision>
  <dc:subject/>
  <dc:title/>
</cp:coreProperties>
</file>