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63.xml" ContentType="application/vnd.openxmlformats-officedocument.wordprocessingml.header+xml"/>
  <Override PartName="/word/header6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61.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styles.xml" ContentType="application/vnd.openxmlformats-officedocument.wordprocessingml.styles+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_rels/document.xml.rels" ContentType="application/vnd.openxmlformats-package.relationships+xml"/>
  <Override PartName="/word/footer54.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footer52.xml" ContentType="application/vnd.openxmlformats-officedocument.wordprocessingml.footer+xml"/>
  <Override PartName="/word/footer59.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footer57.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2.xml" ContentType="application/vnd.openxmlformats-officedocument.wordprocessingml.footer+xml"/>
  <Override PartName="/word/footer49.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0.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19.xml" ContentType="application/vnd.openxmlformats-officedocument.wordprocessingml.footer+xml"/>
  <Override PartName="/word/footer87.xml" ContentType="application/vnd.openxmlformats-officedocument.wordprocessingml.footer+xml"/>
  <Override PartName="/word/header13.xml" ContentType="application/vnd.openxmlformats-officedocument.wordprocessingml.header+xml"/>
  <Override PartName="/word/header81.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20.xml" ContentType="application/vnd.openxmlformats-officedocument.wordprocessingml.footer+xml"/>
  <Override PartName="/word/numbering.xml" ContentType="application/vnd.openxmlformats-officedocument.wordprocessingml.numbering+xml"/>
  <Override PartName="/word/header75.xml" ContentType="application/vnd.openxmlformats-officedocument.wordprocessingml.header+xml"/>
  <Override PartName="/word/footer72.xml" ContentType="application/vnd.openxmlformats-officedocument.wordprocessingml.footer+xml"/>
  <Override PartName="/word/footer22.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footer76.xml" ContentType="application/vnd.openxmlformats-officedocument.wordprocessingml.footer+xml"/>
  <Override PartName="/word/footer2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footer23.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footer18.xml" ContentType="application/vnd.openxmlformats-officedocument.wordprocessingml.footer+xml"/>
  <Override PartName="/word/header80.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footer77.xml" ContentType="application/vnd.openxmlformats-officedocument.wordprocessingml.footer+xml"/>
  <Override PartName="/word/footer73.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9.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5.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4.xml" ContentType="application/vnd.openxmlformats-officedocument.wordprocessingml.header+xml"/>
  <Override PartName="/word/footer65.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header3.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header2.xml" ContentType="application/vnd.openxmlformats-officedocument.wordprocessingml.header+xml"/>
  <Override PartName="/word/header65.xml" ContentType="application/vnd.openxmlformats-officedocument.wordprocessingml.header+xml"/>
  <Override PartName="/word/header1.xml" ContentType="application/vnd.openxmlformats-officedocument.wordprocessingml.header+xml"/>
  <Override PartName="/word/header64.xml" ContentType="application/vnd.openxmlformats-officedocument.wordprocessingml.header+xml"/>
  <Override PartName="/word/header87.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84.xml" ContentType="application/vnd.openxmlformats-officedocument.wordprocessingml.header+xml"/>
  <Override PartName="/word/header86.xml" ContentType="application/vnd.openxmlformats-officedocument.wordprocessingml.header+xml"/>
  <Override PartName="/word/header18.xml" ContentType="application/vnd.openxmlformats-officedocument.wordprocessingml.header+xml"/>
  <Override PartName="/word/header15.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84.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85.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82.xml" ContentType="application/vnd.openxmlformats-officedocument.wordprocessingml.header+xml"/>
  <Override PartName="/word/footer3.xml" ContentType="application/vnd.openxmlformats-officedocument.wordprocessingml.footer+xml"/>
  <Override PartName="/word/header39.xml" ContentType="application/vnd.openxmlformats-officedocument.wordprocessingml.header+xml"/>
  <Override PartName="/word/footer2.xml" ContentType="application/vnd.openxmlformats-officedocument.wordprocessingml.footer+xml"/>
  <Override PartName="/word/header38.xml" ContentType="application/vnd.openxmlformats-officedocument.wordprocessingml.header+xml"/>
  <Override PartName="/word/header71.xml" ContentType="application/vnd.openxmlformats-officedocument.wordprocessingml.header+xml"/>
  <Override PartName="/word/header6.xml" ContentType="application/vnd.openxmlformats-officedocument.wordprocessingml.header+xml"/>
  <Override PartName="/word/footer30.xml" ContentType="application/vnd.openxmlformats-officedocument.wordprocessingml.footer+xml"/>
  <Override PartName="/word/media/image9.jpeg" ContentType="image/jpeg"/>
  <Override PartName="/word/media/image11.jpeg" ContentType="image/jpeg"/>
  <Override PartName="/word/media/image12.jpeg" ContentType="image/jpeg"/>
  <Override PartName="/word/media/image7.jpeg" ContentType="image/jpeg"/>
  <Override PartName="/word/media/image18.png" ContentType="image/png"/>
  <Override PartName="/word/media/image20.png" ContentType="image/png"/>
  <Override PartName="/word/media/image6.jpeg" ContentType="image/jpeg"/>
  <Override PartName="/word/media/image10.jpeg" ContentType="image/jpeg"/>
  <Override PartName="/word/media/image8.jpeg" ContentType="image/jpeg"/>
  <Override PartName="/word/media/image5.jpeg" ContentType="image/jpeg"/>
  <Override PartName="/word/media/image4.wmf" ContentType="image/x-wmf"/>
  <Override PartName="/word/media/image25.png" ContentType="image/png"/>
  <Override PartName="/word/media/image22.png" ContentType="image/png"/>
  <Override PartName="/word/media/image3.wmf" ContentType="image/x-wmf"/>
  <Override PartName="/word/media/image21.png" ContentType="image/png"/>
  <Override PartName="/word/media/image19.png" ContentType="image/png"/>
  <Override PartName="/word/media/image17.png" ContentType="image/png"/>
  <Override PartName="/word/media/image16.png" ContentType="image/png"/>
  <Override PartName="/word/media/image15.png" ContentType="image/png"/>
  <Override PartName="/word/media/image14.jpeg" ContentType="image/jpeg"/>
  <Override PartName="/word/media/image1.png" ContentType="image/png"/>
  <Override PartName="/word/media/image24.png" ContentType="image/png"/>
  <Override PartName="/word/media/image2.wmf" ContentType="image/x-wmf"/>
  <Override PartName="/word/media/image13.jpeg" ContentType="image/jpeg"/>
  <Override PartName="/word/media/image23.png" ContentType="image/png"/>
  <Override PartName="/word/footer1.xml" ContentType="application/vnd.openxmlformats-officedocument.wordprocessingml.footer+xml"/>
  <Override PartName="/word/header37.xml" ContentType="application/vnd.openxmlformats-officedocument.wordprocessingml.header+xml"/>
  <Override PartName="/word/header55.xml" ContentType="application/vnd.openxmlformats-officedocument.wordprocessingml.header+xml"/>
  <Override PartName="/word/document.xml" ContentType="application/vnd.openxmlformats-officedocument.wordprocessingml.document.main+xml"/>
  <Override PartName="/word/header76.xml" ContentType="application/vnd.openxmlformats-officedocument.wordprocessingml.header+xml"/>
  <Override PartName="/word/header72.xml" ContentType="application/vnd.openxmlformats-officedocument.wordprocessingml.header+xml"/>
  <Override PartName="/word/header7.xml" ContentType="application/vnd.openxmlformats-officedocument.wordprocessingml.header+xml"/>
  <Override PartName="/word/footer31.xml" ContentType="application/vnd.openxmlformats-officedocument.wordprocessingml.footer+xml"/>
  <Override PartName="/word/footer81.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73.xml" ContentType="application/vnd.openxmlformats-officedocument.wordprocessingml.header+xml"/>
  <Override PartName="/word/header8.xml" ContentType="application/vnd.openxmlformats-officedocument.wordprocessingml.header+xml"/>
  <Override PartName="/word/footer32.xml" ContentType="application/vnd.openxmlformats-officedocument.wordprocessingml.footer+xml"/>
  <Override PartName="/word/header74.xml" ContentType="application/vnd.openxmlformats-officedocument.wordprocessingml.header+xml"/>
  <Override PartName="/word/header9.xml" ContentType="application/vnd.openxmlformats-officedocument.wordprocessingml.header+xml"/>
  <Override PartName="/word/footer33.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footer8.xml" ContentType="application/vnd.openxmlformats-officedocument.wordprocessingml.footer+xml"/>
  <Override PartName="/word/footer83.xml" ContentType="application/vnd.openxmlformats-officedocument.wordprocessingml.footer+xml"/>
  <Override PartName="/word/footer15.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6.xml" ContentType="application/vnd.openxmlformats-officedocument.wordprocessingml.footer+xml"/>
  <Override PartName="/word/footer80.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bsectionheading"/>
        <w:rPr/>
      </w:pPr>
      <w:bookmarkStart w:id="0" w:name="__RefHeading___Toc503858956"/>
      <w:bookmarkEnd w:id="0"/>
      <w:r>
        <w:rPr/>
        <w:t>Multi-Ethnic Study of Atherosclerosis</w:t>
      </w:r>
    </w:p>
    <w:p>
      <w:pPr>
        <w:pStyle w:val="Subsectionheading"/>
        <w:rPr/>
      </w:pPr>
      <w:bookmarkStart w:id="1" w:name="__RefHeading___Toc503858957"/>
      <w:bookmarkEnd w:id="1"/>
      <w:r>
        <w:rPr/>
        <w:t>Field Center Manual of Operations</w:t>
      </w:r>
    </w:p>
    <w:p>
      <w:pPr>
        <w:pStyle w:val="Normal"/>
        <w:tabs>
          <w:tab w:val="clear" w:pos="720"/>
          <w:tab w:val="decimal" w:pos="360" w:leader="none"/>
        </w:tabs>
        <w:ind w:left="630" w:hanging="630"/>
        <w:jc w:val="center"/>
        <w:rPr>
          <w:b/>
          <w:b/>
          <w:bCs/>
          <w:sz w:val="36"/>
        </w:rPr>
      </w:pPr>
      <w:r>
        <w:rPr>
          <w:b/>
          <w:bCs/>
          <w:sz w:val="36"/>
        </w:rPr>
      </w:r>
    </w:p>
    <w:p>
      <w:pPr>
        <w:pStyle w:val="Normal"/>
        <w:tabs>
          <w:tab w:val="clear" w:pos="720"/>
          <w:tab w:val="decimal" w:pos="360" w:leader="none"/>
        </w:tabs>
        <w:ind w:left="630" w:hanging="630"/>
        <w:jc w:val="center"/>
        <w:rPr>
          <w:b/>
          <w:b/>
          <w:bCs/>
          <w:sz w:val="40"/>
        </w:rPr>
      </w:pPr>
      <w:r>
        <w:rPr>
          <w:b/>
          <w:bCs/>
          <w:sz w:val="36"/>
        </w:rPr>
        <w:t>Table of Contents</w:t>
      </w:r>
    </w:p>
    <w:p>
      <w:pPr>
        <w:pStyle w:val="Normal"/>
        <w:tabs>
          <w:tab w:val="clear" w:pos="720"/>
          <w:tab w:val="decimal" w:pos="360" w:leader="none"/>
        </w:tabs>
        <w:ind w:left="630" w:hanging="630"/>
        <w:rPr>
          <w:b/>
          <w:b/>
          <w:bCs/>
          <w:sz w:val="40"/>
        </w:rPr>
      </w:pPr>
      <w:r>
        <w:rPr>
          <w:b/>
          <w:bCs/>
          <w:sz w:val="40"/>
        </w:rPr>
      </w:r>
    </w:p>
    <w:sdt>
      <w:sdtPr>
        <w:docPartObj>
          <w:docPartGallery w:val="Table of Contents"/>
          <w:docPartUnique w:val="true"/>
        </w:docPartObj>
      </w:sdtPr>
      <w:sdtContent>
        <w:p>
          <w:pPr>
            <w:pStyle w:val="Contents2"/>
            <w:tabs>
              <w:tab w:val="clear" w:pos="720"/>
              <w:tab w:val="right" w:pos="8270" w:leader="dot"/>
            </w:tabs>
            <w:rPr>
              <w:lang w:val="en-US" w:eastAsia="en-US"/>
            </w:rPr>
          </w:pPr>
          <w:r>
            <w:fldChar w:fldCharType="begin"/>
          </w:r>
          <w:r>
            <w:rPr>
              <w:rStyle w:val="IndexLink"/>
              <w:szCs w:val="36"/>
              <w:lang w:val="en-US" w:eastAsia="en-US"/>
            </w:rPr>
            <w:instrText xml:space="preserve"> TOC \h \z \t "section heading,1,subsection heading,2,subsub,3,subsubsub,4" </w:instrText>
          </w:r>
          <w:r>
            <w:rPr>
              <w:rStyle w:val="IndexLink"/>
              <w:szCs w:val="36"/>
              <w:lang w:val="en-US" w:eastAsia="en-US"/>
            </w:rPr>
            <w:fldChar w:fldCharType="separate"/>
          </w:r>
          <w:hyperlink w:anchor="__RefHeading___Toc503858956">
            <w:r>
              <w:rPr>
                <w:rStyle w:val="IndexLink"/>
                <w:szCs w:val="36"/>
                <w:lang w:val="en-US" w:eastAsia="en-US"/>
              </w:rPr>
              <w:t>Multi-Ethnic Study of Atherosclerosis</w:t>
            </w:r>
            <w:r>
              <w:rPr>
                <w:rStyle w:val="IndexLink"/>
                <w:lang w:val="en-US" w:eastAsia="en-US"/>
              </w:rPr>
              <w:tab/>
              <w:t>1</w:t>
            </w:r>
          </w:hyperlink>
        </w:p>
        <w:p>
          <w:pPr>
            <w:pStyle w:val="Contents2"/>
            <w:tabs>
              <w:tab w:val="clear" w:pos="720"/>
              <w:tab w:val="right" w:pos="8270" w:leader="dot"/>
            </w:tabs>
            <w:rPr>
              <w:lang w:val="en-US" w:eastAsia="en-US"/>
            </w:rPr>
          </w:pPr>
          <w:hyperlink w:anchor="__RefHeading___Toc503858957">
            <w:r>
              <w:rPr>
                <w:rStyle w:val="IndexLink"/>
                <w:szCs w:val="36"/>
                <w:lang w:val="en-US" w:eastAsia="en-US"/>
              </w:rPr>
              <w:t>Field Center Manual of Operations</w:t>
            </w:r>
            <w:r>
              <w:rPr>
                <w:rStyle w:val="IndexLink"/>
                <w:lang w:val="en-US" w:eastAsia="en-US"/>
              </w:rPr>
              <w:tab/>
              <w:t>1</w:t>
            </w:r>
          </w:hyperlink>
        </w:p>
        <w:p>
          <w:pPr>
            <w:pStyle w:val="Contents1"/>
            <w:tabs>
              <w:tab w:val="clear" w:pos="720"/>
              <w:tab w:val="right" w:pos="8270" w:leader="dot"/>
            </w:tabs>
            <w:rPr>
              <w:lang w:val="en-US" w:eastAsia="en-US"/>
            </w:rPr>
          </w:pPr>
          <w:hyperlink w:anchor="__RefHeading___Toc503858958">
            <w:r>
              <w:rPr>
                <w:rStyle w:val="IndexLink"/>
                <w:szCs w:val="40"/>
                <w:lang w:val="en-US" w:eastAsia="en-US"/>
              </w:rPr>
              <w:t>Section 1:  Overview and Clinic Equipment</w:t>
            </w:r>
            <w:r>
              <w:rPr>
                <w:rStyle w:val="IndexLink"/>
                <w:lang w:val="en-US" w:eastAsia="en-US"/>
              </w:rPr>
              <w:tab/>
              <w:t>3</w:t>
            </w:r>
          </w:hyperlink>
        </w:p>
        <w:p>
          <w:pPr>
            <w:pStyle w:val="Contents1"/>
            <w:tabs>
              <w:tab w:val="clear" w:pos="720"/>
              <w:tab w:val="right" w:pos="8270" w:leader="dot"/>
            </w:tabs>
            <w:rPr>
              <w:lang w:val="en-US" w:eastAsia="en-US"/>
            </w:rPr>
          </w:pPr>
          <w:hyperlink w:anchor="__RefHeading___Toc503858959">
            <w:r>
              <w:rPr>
                <w:rStyle w:val="IndexLink"/>
                <w:szCs w:val="40"/>
                <w:lang w:val="en-US" w:eastAsia="en-US"/>
              </w:rPr>
              <w:t>Section 2: Recruitment</w:t>
            </w:r>
            <w:r>
              <w:rPr>
                <w:rStyle w:val="IndexLink"/>
                <w:lang w:val="en-US" w:eastAsia="en-US"/>
              </w:rPr>
              <w:tab/>
              <w:t>13</w:t>
            </w:r>
          </w:hyperlink>
        </w:p>
        <w:p>
          <w:pPr>
            <w:pStyle w:val="Contents2"/>
            <w:tabs>
              <w:tab w:val="clear" w:pos="720"/>
              <w:tab w:val="right" w:pos="8270" w:leader="dot"/>
            </w:tabs>
            <w:rPr>
              <w:lang w:val="en-US" w:eastAsia="en-US"/>
            </w:rPr>
          </w:pPr>
          <w:hyperlink w:anchor="__RefHeading___Toc503858960">
            <w:r>
              <w:rPr>
                <w:rStyle w:val="IndexLink"/>
                <w:szCs w:val="36"/>
                <w:lang w:val="en-US" w:eastAsia="en-US"/>
              </w:rPr>
              <w:t>2.1 Overview of Recruitment</w:t>
            </w:r>
            <w:r>
              <w:rPr>
                <w:rStyle w:val="IndexLink"/>
                <w:lang w:val="en-US" w:eastAsia="en-US"/>
              </w:rPr>
              <w:tab/>
              <w:t>15</w:t>
            </w:r>
          </w:hyperlink>
        </w:p>
        <w:p>
          <w:pPr>
            <w:pStyle w:val="Contents3"/>
            <w:rPr>
              <w:szCs w:val="24"/>
            </w:rPr>
          </w:pPr>
          <w:hyperlink w:anchor="__RefHeading___Toc503858961">
            <w:r>
              <w:rPr>
                <w:rStyle w:val="IndexLink"/>
              </w:rPr>
              <w:t>2.1.1  Recruitment Questionnaires</w:t>
              <w:tab/>
              <w:t>27</w:t>
            </w:r>
          </w:hyperlink>
        </w:p>
        <w:p>
          <w:pPr>
            <w:pStyle w:val="Contents4"/>
            <w:tabs>
              <w:tab w:val="clear" w:pos="720"/>
              <w:tab w:val="right" w:pos="8270" w:leader="dot"/>
            </w:tabs>
            <w:rPr>
              <w:lang w:val="en-US" w:eastAsia="en-US"/>
            </w:rPr>
          </w:pPr>
          <w:hyperlink w:anchor="__RefHeading___Toc503858962">
            <w:r>
              <w:rPr>
                <w:rStyle w:val="IndexLink"/>
                <w:szCs w:val="28"/>
                <w:lang w:val="en-US" w:eastAsia="en-US"/>
              </w:rPr>
              <w:t>2.1.1.1  Screening/Recruitment Questionnaire</w:t>
            </w:r>
            <w:r>
              <w:rPr>
                <w:rStyle w:val="IndexLink"/>
                <w:lang w:val="en-US" w:eastAsia="en-US"/>
              </w:rPr>
              <w:tab/>
              <w:t>29</w:t>
            </w:r>
          </w:hyperlink>
        </w:p>
        <w:p>
          <w:pPr>
            <w:pStyle w:val="Contents4"/>
            <w:tabs>
              <w:tab w:val="clear" w:pos="720"/>
              <w:tab w:val="right" w:pos="8270" w:leader="dot"/>
            </w:tabs>
            <w:rPr>
              <w:lang w:val="en-US" w:eastAsia="en-US"/>
            </w:rPr>
          </w:pPr>
          <w:hyperlink w:anchor="__RefHeading___Toc503858963">
            <w:r>
              <w:rPr>
                <w:rStyle w:val="IndexLink"/>
                <w:szCs w:val="28"/>
                <w:lang w:val="en-US" w:eastAsia="en-US"/>
              </w:rPr>
              <w:t>2.1.1.2  Household Enumeration</w:t>
            </w:r>
            <w:r>
              <w:rPr>
                <w:rStyle w:val="IndexLink"/>
                <w:lang w:val="en-US" w:eastAsia="en-US"/>
              </w:rPr>
              <w:tab/>
              <w:t>39</w:t>
            </w:r>
          </w:hyperlink>
        </w:p>
        <w:p>
          <w:pPr>
            <w:pStyle w:val="Contents4"/>
            <w:tabs>
              <w:tab w:val="clear" w:pos="720"/>
              <w:tab w:val="right" w:pos="8270" w:leader="dot"/>
            </w:tabs>
            <w:rPr>
              <w:lang w:val="en-US" w:eastAsia="en-US"/>
            </w:rPr>
          </w:pPr>
          <w:hyperlink w:anchor="__RefHeading___Toc503858964">
            <w:r>
              <w:rPr>
                <w:rStyle w:val="IndexLink"/>
                <w:szCs w:val="28"/>
                <w:lang w:val="en-US" w:eastAsia="en-US"/>
              </w:rPr>
              <w:t>2.1.1.3  Non-Participant/Ineligible</w:t>
            </w:r>
            <w:r>
              <w:rPr>
                <w:rStyle w:val="IndexLink"/>
                <w:lang w:val="en-US" w:eastAsia="en-US"/>
              </w:rPr>
              <w:tab/>
              <w:t>41</w:t>
            </w:r>
          </w:hyperlink>
        </w:p>
        <w:p>
          <w:pPr>
            <w:pStyle w:val="Contents4"/>
            <w:tabs>
              <w:tab w:val="clear" w:pos="720"/>
              <w:tab w:val="right" w:pos="8270" w:leader="dot"/>
            </w:tabs>
            <w:rPr>
              <w:lang w:val="en-US" w:eastAsia="en-US"/>
            </w:rPr>
          </w:pPr>
          <w:hyperlink w:anchor="__RefHeading___Toc503858965">
            <w:r>
              <w:rPr>
                <w:rStyle w:val="IndexLink"/>
                <w:szCs w:val="28"/>
                <w:lang w:val="en-US" w:eastAsia="en-US"/>
              </w:rPr>
              <w:t>2.1.1.4  Quick Tips for Recruitment Calls and Codes</w:t>
            </w:r>
            <w:r>
              <w:rPr>
                <w:rStyle w:val="IndexLink"/>
                <w:lang w:val="en-US" w:eastAsia="en-US"/>
              </w:rPr>
              <w:tab/>
              <w:t>43</w:t>
            </w:r>
          </w:hyperlink>
        </w:p>
        <w:p>
          <w:pPr>
            <w:pStyle w:val="Contents1"/>
            <w:tabs>
              <w:tab w:val="clear" w:pos="720"/>
              <w:tab w:val="right" w:pos="8270" w:leader="dot"/>
            </w:tabs>
            <w:rPr>
              <w:lang w:val="en-US" w:eastAsia="en-US"/>
            </w:rPr>
          </w:pPr>
          <w:hyperlink w:anchor="__RefHeading___Toc503858966">
            <w:r>
              <w:rPr>
                <w:rStyle w:val="IndexLink"/>
                <w:szCs w:val="40"/>
                <w:lang w:val="en-US" w:eastAsia="en-US"/>
              </w:rPr>
              <w:t>Section 3:  Clinic Examination</w:t>
            </w:r>
            <w:r>
              <w:rPr>
                <w:rStyle w:val="IndexLink"/>
                <w:lang w:val="en-US" w:eastAsia="en-US"/>
              </w:rPr>
              <w:tab/>
              <w:t>47</w:t>
            </w:r>
          </w:hyperlink>
        </w:p>
        <w:p>
          <w:pPr>
            <w:pStyle w:val="Contents2"/>
            <w:tabs>
              <w:tab w:val="clear" w:pos="720"/>
              <w:tab w:val="right" w:pos="8270" w:leader="dot"/>
            </w:tabs>
            <w:rPr>
              <w:lang w:val="en-US" w:eastAsia="en-US"/>
            </w:rPr>
          </w:pPr>
          <w:hyperlink w:anchor="__RefHeading___Toc503858967">
            <w:r>
              <w:rPr>
                <w:rStyle w:val="IndexLink"/>
                <w:szCs w:val="36"/>
                <w:lang w:val="en-US" w:eastAsia="en-US"/>
              </w:rPr>
              <w:t>3.1  Pre-Exam Activities</w:t>
            </w:r>
            <w:r>
              <w:rPr>
                <w:rStyle w:val="IndexLink"/>
                <w:lang w:val="en-US" w:eastAsia="en-US"/>
              </w:rPr>
              <w:tab/>
              <w:t>49</w:t>
            </w:r>
          </w:hyperlink>
        </w:p>
        <w:p>
          <w:pPr>
            <w:pStyle w:val="Contents2"/>
            <w:tabs>
              <w:tab w:val="clear" w:pos="720"/>
              <w:tab w:val="right" w:pos="8270" w:leader="dot"/>
            </w:tabs>
            <w:rPr>
              <w:lang w:val="en-US" w:eastAsia="en-US"/>
            </w:rPr>
          </w:pPr>
          <w:hyperlink w:anchor="__RefHeading___Toc503858968">
            <w:r>
              <w:rPr>
                <w:rStyle w:val="IndexLink"/>
                <w:szCs w:val="36"/>
                <w:lang w:val="en-US" w:eastAsia="en-US"/>
              </w:rPr>
              <w:t>3.2  Examination Guidelines</w:t>
            </w:r>
            <w:r>
              <w:rPr>
                <w:rStyle w:val="IndexLink"/>
                <w:lang w:val="en-US" w:eastAsia="en-US"/>
              </w:rPr>
              <w:tab/>
              <w:t>51</w:t>
            </w:r>
          </w:hyperlink>
        </w:p>
        <w:p>
          <w:pPr>
            <w:pStyle w:val="Contents2"/>
            <w:tabs>
              <w:tab w:val="clear" w:pos="720"/>
              <w:tab w:val="right" w:pos="8270" w:leader="dot"/>
            </w:tabs>
            <w:rPr>
              <w:lang w:val="en-US" w:eastAsia="en-US"/>
            </w:rPr>
          </w:pPr>
          <w:hyperlink w:anchor="__RefHeading___Toc503858969">
            <w:r>
              <w:rPr>
                <w:rStyle w:val="IndexLink"/>
                <w:szCs w:val="36"/>
                <w:lang w:val="en-US" w:eastAsia="en-US"/>
              </w:rPr>
              <w:t>3.3  Clinic Reception Form</w:t>
            </w:r>
            <w:r>
              <w:rPr>
                <w:rStyle w:val="IndexLink"/>
                <w:lang w:val="en-US" w:eastAsia="en-US"/>
              </w:rPr>
              <w:tab/>
              <w:t>55</w:t>
            </w:r>
          </w:hyperlink>
        </w:p>
        <w:p>
          <w:pPr>
            <w:pStyle w:val="Contents2"/>
            <w:tabs>
              <w:tab w:val="clear" w:pos="720"/>
              <w:tab w:val="right" w:pos="8270" w:leader="dot"/>
            </w:tabs>
            <w:rPr>
              <w:lang w:val="en-US" w:eastAsia="en-US"/>
            </w:rPr>
          </w:pPr>
          <w:hyperlink w:anchor="__RefHeading___Toc503858970">
            <w:r>
              <w:rPr>
                <w:rStyle w:val="IndexLink"/>
                <w:szCs w:val="36"/>
                <w:lang w:val="en-US" w:eastAsia="en-US"/>
              </w:rPr>
              <w:t>3.4  Interviews</w:t>
            </w:r>
            <w:r>
              <w:rPr>
                <w:rStyle w:val="IndexLink"/>
                <w:lang w:val="en-US" w:eastAsia="en-US"/>
              </w:rPr>
              <w:tab/>
              <w:t>59</w:t>
            </w:r>
          </w:hyperlink>
        </w:p>
        <w:p>
          <w:pPr>
            <w:pStyle w:val="Contents3"/>
            <w:rPr>
              <w:szCs w:val="24"/>
            </w:rPr>
          </w:pPr>
          <w:hyperlink w:anchor="__RefHeading___Toc503858971">
            <w:r>
              <w:rPr>
                <w:rStyle w:val="IndexLink"/>
              </w:rPr>
              <w:t>3.4.1  Interviewing Guidelines and Techniques</w:t>
              <w:tab/>
              <w:t>61</w:t>
            </w:r>
          </w:hyperlink>
        </w:p>
        <w:p>
          <w:pPr>
            <w:pStyle w:val="Contents3"/>
            <w:rPr>
              <w:szCs w:val="24"/>
            </w:rPr>
          </w:pPr>
          <w:hyperlink w:anchor="__RefHeading___Toc503858972">
            <w:r>
              <w:rPr>
                <w:rStyle w:val="IndexLink"/>
              </w:rPr>
              <w:t>3.4.2  Participant Contact Form</w:t>
              <w:tab/>
              <w:t>69</w:t>
            </w:r>
          </w:hyperlink>
        </w:p>
        <w:p>
          <w:pPr>
            <w:pStyle w:val="Contents3"/>
            <w:rPr>
              <w:szCs w:val="24"/>
            </w:rPr>
          </w:pPr>
          <w:hyperlink w:anchor="__RefHeading___Toc503858973">
            <w:r>
              <w:rPr>
                <w:rStyle w:val="IndexLink"/>
              </w:rPr>
              <w:t>3.4.3  Personal History</w:t>
              <w:tab/>
              <w:t>73</w:t>
            </w:r>
          </w:hyperlink>
        </w:p>
        <w:p>
          <w:pPr>
            <w:pStyle w:val="Contents3"/>
            <w:rPr>
              <w:szCs w:val="24"/>
            </w:rPr>
          </w:pPr>
          <w:hyperlink w:anchor="__RefHeading___Toc503858974">
            <w:r>
              <w:rPr>
                <w:rStyle w:val="IndexLink"/>
              </w:rPr>
              <w:t>3.4.4  Medical History</w:t>
              <w:tab/>
              <w:t>83</w:t>
            </w:r>
          </w:hyperlink>
        </w:p>
        <w:p>
          <w:pPr>
            <w:pStyle w:val="Contents3"/>
            <w:rPr>
              <w:szCs w:val="24"/>
            </w:rPr>
          </w:pPr>
          <w:hyperlink w:anchor="__RefHeading___Toc503858975">
            <w:r>
              <w:rPr>
                <w:rStyle w:val="IndexLink"/>
              </w:rPr>
              <w:t>3.4.5  Medications</w:t>
              <w:tab/>
              <w:t>91</w:t>
            </w:r>
          </w:hyperlink>
        </w:p>
        <w:p>
          <w:pPr>
            <w:pStyle w:val="Contents3"/>
            <w:rPr>
              <w:szCs w:val="24"/>
            </w:rPr>
          </w:pPr>
          <w:hyperlink w:anchor="__RefHeading___Toc503858976">
            <w:r>
              <w:rPr>
                <w:rStyle w:val="IndexLink"/>
              </w:rPr>
              <w:t>3.4.6  Physical Activity</w:t>
              <w:tab/>
              <w:t>99</w:t>
            </w:r>
          </w:hyperlink>
        </w:p>
        <w:p>
          <w:pPr>
            <w:pStyle w:val="Contents3"/>
            <w:rPr>
              <w:szCs w:val="24"/>
            </w:rPr>
          </w:pPr>
          <w:hyperlink w:anchor="__RefHeading___Toc503858977">
            <w:r>
              <w:rPr>
                <w:rStyle w:val="IndexLink"/>
              </w:rPr>
              <w:t>3.4.7  Health and Life</w:t>
              <w:tab/>
              <w:t>107</w:t>
            </w:r>
          </w:hyperlink>
        </w:p>
        <w:p>
          <w:pPr>
            <w:pStyle w:val="Contents3"/>
            <w:rPr>
              <w:szCs w:val="24"/>
            </w:rPr>
          </w:pPr>
          <w:hyperlink w:anchor="__RefHeading___Toc503858978">
            <w:r>
              <w:rPr>
                <w:rStyle w:val="IndexLink"/>
              </w:rPr>
              <w:t>3.4.8  Neighborhood</w:t>
              <w:tab/>
              <w:t>117</w:t>
            </w:r>
          </w:hyperlink>
        </w:p>
        <w:p>
          <w:pPr>
            <w:pStyle w:val="Contents3"/>
            <w:rPr>
              <w:szCs w:val="24"/>
            </w:rPr>
          </w:pPr>
          <w:hyperlink w:anchor="__RefHeading___Toc503858979">
            <w:r>
              <w:rPr>
                <w:rStyle w:val="IndexLink"/>
              </w:rPr>
              <w:t>3.4.9  Diet Assessment</w:t>
              <w:tab/>
              <w:t>121</w:t>
            </w:r>
          </w:hyperlink>
        </w:p>
        <w:p>
          <w:pPr>
            <w:pStyle w:val="Contents2"/>
            <w:tabs>
              <w:tab w:val="clear" w:pos="720"/>
              <w:tab w:val="right" w:pos="8270" w:leader="dot"/>
            </w:tabs>
            <w:rPr>
              <w:lang w:val="en-US" w:eastAsia="en-US"/>
            </w:rPr>
          </w:pPr>
          <w:hyperlink w:anchor="__RefHeading___Toc503858980">
            <w:r>
              <w:rPr>
                <w:rStyle w:val="IndexLink"/>
                <w:szCs w:val="36"/>
                <w:lang w:val="en-US" w:eastAsia="en-US"/>
              </w:rPr>
              <w:t>3.5  Clinic Examinations</w:t>
            </w:r>
            <w:r>
              <w:rPr>
                <w:rStyle w:val="IndexLink"/>
                <w:lang w:val="en-US" w:eastAsia="en-US"/>
              </w:rPr>
              <w:tab/>
              <w:t>145</w:t>
            </w:r>
          </w:hyperlink>
        </w:p>
        <w:p>
          <w:pPr>
            <w:pStyle w:val="Contents3"/>
            <w:rPr>
              <w:szCs w:val="24"/>
            </w:rPr>
          </w:pPr>
          <w:hyperlink w:anchor="__RefHeading___Toc503858981">
            <w:r>
              <w:rPr>
                <w:rStyle w:val="IndexLink"/>
              </w:rPr>
              <w:t>3.5.1  Anthropometry</w:t>
              <w:tab/>
              <w:t>147</w:t>
            </w:r>
          </w:hyperlink>
        </w:p>
        <w:p>
          <w:pPr>
            <w:pStyle w:val="Contents3"/>
            <w:rPr>
              <w:szCs w:val="24"/>
            </w:rPr>
          </w:pPr>
          <w:hyperlink w:anchor="__RefHeading___Toc503858982">
            <w:r>
              <w:rPr>
                <w:rStyle w:val="IndexLink"/>
              </w:rPr>
              <w:t>3.5.2  Seated Blood Pressure</w:t>
              <w:tab/>
              <w:t>153</w:t>
            </w:r>
          </w:hyperlink>
        </w:p>
        <w:p>
          <w:pPr>
            <w:pStyle w:val="Contents3"/>
            <w:rPr>
              <w:szCs w:val="24"/>
            </w:rPr>
          </w:pPr>
          <w:hyperlink w:anchor="__RefHeading___Toc503858983">
            <w:r>
              <w:rPr>
                <w:rStyle w:val="IndexLink"/>
              </w:rPr>
              <w:t>3.5.3  Ankle/Arm Blood Pressure</w:t>
              <w:tab/>
              <w:t>161</w:t>
            </w:r>
          </w:hyperlink>
        </w:p>
        <w:p>
          <w:pPr>
            <w:pStyle w:val="Contents2"/>
            <w:tabs>
              <w:tab w:val="clear" w:pos="720"/>
              <w:tab w:val="right" w:pos="8270" w:leader="dot"/>
            </w:tabs>
            <w:rPr>
              <w:lang w:val="en-US" w:eastAsia="en-US"/>
            </w:rPr>
          </w:pPr>
          <w:hyperlink w:anchor="__RefHeading___Toc503858984">
            <w:r>
              <w:rPr>
                <w:rStyle w:val="IndexLink"/>
                <w:szCs w:val="36"/>
                <w:lang w:val="en-US" w:eastAsia="en-US"/>
              </w:rPr>
              <w:t>3.6  Electrocardiogram</w:t>
            </w:r>
            <w:r>
              <w:rPr>
                <w:rStyle w:val="IndexLink"/>
                <w:lang w:val="en-US" w:eastAsia="en-US"/>
              </w:rPr>
              <w:tab/>
              <w:t>165</w:t>
            </w:r>
          </w:hyperlink>
        </w:p>
        <w:p>
          <w:pPr>
            <w:pStyle w:val="Contents2"/>
            <w:tabs>
              <w:tab w:val="clear" w:pos="720"/>
              <w:tab w:val="right" w:pos="8270" w:leader="dot"/>
            </w:tabs>
            <w:rPr>
              <w:lang w:val="en-US" w:eastAsia="en-US"/>
            </w:rPr>
          </w:pPr>
          <w:hyperlink w:anchor="__RefHeading___Toc503858985">
            <w:r>
              <w:rPr>
                <w:rStyle w:val="IndexLink"/>
                <w:szCs w:val="36"/>
                <w:lang w:val="en-US" w:eastAsia="en-US"/>
              </w:rPr>
              <w:t>3.7  Laboratory</w:t>
            </w:r>
            <w:r>
              <w:rPr>
                <w:rStyle w:val="IndexLink"/>
                <w:lang w:val="en-US" w:eastAsia="en-US"/>
              </w:rPr>
              <w:tab/>
              <w:t>195</w:t>
            </w:r>
          </w:hyperlink>
        </w:p>
        <w:p>
          <w:pPr>
            <w:pStyle w:val="Contents3"/>
            <w:rPr>
              <w:szCs w:val="24"/>
            </w:rPr>
          </w:pPr>
          <w:hyperlink w:anchor="__RefHeading___Toc503858986">
            <w:r>
              <w:rPr>
                <w:rStyle w:val="IndexLink"/>
              </w:rPr>
              <w:t>3.7.1  Collection, Processing, and Shipping of Urine Samples</w:t>
              <w:tab/>
              <w:t>197</w:t>
            </w:r>
          </w:hyperlink>
        </w:p>
        <w:p>
          <w:pPr>
            <w:pStyle w:val="Contents3"/>
            <w:rPr>
              <w:szCs w:val="24"/>
            </w:rPr>
          </w:pPr>
          <w:hyperlink w:anchor="__RefHeading___Toc503858987">
            <w:r>
              <w:rPr>
                <w:rStyle w:val="IndexLink"/>
              </w:rPr>
              <w:t>3.7.2  Collection, Processing, and Shipping of Blood Samples</w:t>
              <w:tab/>
              <w:t>201</w:t>
            </w:r>
          </w:hyperlink>
        </w:p>
        <w:p>
          <w:pPr>
            <w:pStyle w:val="Contents2"/>
            <w:tabs>
              <w:tab w:val="clear" w:pos="720"/>
              <w:tab w:val="right" w:pos="8270" w:leader="dot"/>
            </w:tabs>
            <w:rPr>
              <w:lang w:val="en-US" w:eastAsia="en-US"/>
            </w:rPr>
          </w:pPr>
          <w:hyperlink w:anchor="__RefHeading___Toc503858988">
            <w:r>
              <w:rPr>
                <w:rStyle w:val="IndexLink"/>
                <w:szCs w:val="36"/>
                <w:lang w:val="en-US" w:eastAsia="en-US"/>
              </w:rPr>
              <w:t>3.8  Ultrasound</w:t>
            </w:r>
            <w:r>
              <w:rPr>
                <w:rStyle w:val="IndexLink"/>
                <w:lang w:val="en-US" w:eastAsia="en-US"/>
              </w:rPr>
              <w:tab/>
              <w:t>225</w:t>
            </w:r>
          </w:hyperlink>
        </w:p>
        <w:p>
          <w:pPr>
            <w:pStyle w:val="Contents3"/>
            <w:rPr>
              <w:szCs w:val="24"/>
            </w:rPr>
          </w:pPr>
          <w:hyperlink w:anchor="__RefHeading___Toc503858989">
            <w:r>
              <w:rPr>
                <w:rStyle w:val="IndexLink"/>
              </w:rPr>
              <w:t>3.8.1  Brachial Artery Vasodilatation – Endothelial Function</w:t>
              <w:tab/>
              <w:t>239</w:t>
            </w:r>
          </w:hyperlink>
        </w:p>
        <w:p>
          <w:pPr>
            <w:pStyle w:val="Contents3"/>
            <w:rPr>
              <w:szCs w:val="24"/>
            </w:rPr>
          </w:pPr>
          <w:hyperlink w:anchor="__RefHeading___Toc503858990">
            <w:r>
              <w:rPr>
                <w:rStyle w:val="IndexLink"/>
              </w:rPr>
              <w:t>3.8.2  Carotid Artery Distensibility</w:t>
              <w:tab/>
              <w:t>255</w:t>
            </w:r>
          </w:hyperlink>
        </w:p>
        <w:p>
          <w:pPr>
            <w:pStyle w:val="Contents3"/>
            <w:rPr>
              <w:szCs w:val="24"/>
            </w:rPr>
          </w:pPr>
          <w:hyperlink w:anchor="__RefHeading___Toc503858991">
            <w:r>
              <w:rPr>
                <w:rStyle w:val="IndexLink"/>
              </w:rPr>
              <w:t>3.8.3  Carotid Artery Intima-Media Wall Thickness (IMT)</w:t>
              <w:tab/>
              <w:t>265</w:t>
            </w:r>
          </w:hyperlink>
        </w:p>
        <w:p>
          <w:pPr>
            <w:pStyle w:val="Contents3"/>
            <w:rPr>
              <w:szCs w:val="24"/>
            </w:rPr>
          </w:pPr>
          <w:hyperlink w:anchor="__RefHeading___Toc503858992">
            <w:r>
              <w:rPr>
                <w:rStyle w:val="IndexLink"/>
              </w:rPr>
              <w:t>3.8.4  Arterial Pulse Wave</w:t>
              <w:tab/>
              <w:t>289</w:t>
            </w:r>
          </w:hyperlink>
        </w:p>
        <w:p>
          <w:pPr>
            <w:pStyle w:val="Contents2"/>
            <w:tabs>
              <w:tab w:val="clear" w:pos="720"/>
              <w:tab w:val="right" w:pos="8270" w:leader="dot"/>
            </w:tabs>
            <w:rPr>
              <w:lang w:val="en-US" w:eastAsia="en-US"/>
            </w:rPr>
          </w:pPr>
          <w:hyperlink w:anchor="__RefHeading___Toc503858993">
            <w:r>
              <w:rPr>
                <w:rStyle w:val="IndexLink"/>
                <w:szCs w:val="36"/>
                <w:lang w:val="en-US" w:eastAsia="en-US"/>
              </w:rPr>
              <w:t>3.9  MRI</w:t>
            </w:r>
            <w:r>
              <w:rPr>
                <w:rStyle w:val="IndexLink"/>
                <w:lang w:val="en-US" w:eastAsia="en-US"/>
              </w:rPr>
              <w:tab/>
              <w:t>299</w:t>
            </w:r>
          </w:hyperlink>
        </w:p>
        <w:p>
          <w:pPr>
            <w:pStyle w:val="Contents2"/>
            <w:tabs>
              <w:tab w:val="clear" w:pos="720"/>
              <w:tab w:val="right" w:pos="8270" w:leader="dot"/>
            </w:tabs>
            <w:rPr>
              <w:lang w:val="en-US" w:eastAsia="en-US"/>
            </w:rPr>
          </w:pPr>
          <w:hyperlink w:anchor="__RefHeading___Toc503858994">
            <w:r>
              <w:rPr>
                <w:rStyle w:val="IndexLink"/>
                <w:szCs w:val="36"/>
                <w:lang w:val="en-US" w:eastAsia="en-US"/>
              </w:rPr>
              <w:t>3.10  Computed Tomography (CT)</w:t>
            </w:r>
            <w:r>
              <w:rPr>
                <w:rStyle w:val="IndexLink"/>
                <w:lang w:val="en-US" w:eastAsia="en-US"/>
              </w:rPr>
              <w:tab/>
              <w:t>305</w:t>
            </w:r>
          </w:hyperlink>
        </w:p>
        <w:p>
          <w:pPr>
            <w:pStyle w:val="Contents2"/>
            <w:tabs>
              <w:tab w:val="clear" w:pos="720"/>
              <w:tab w:val="right" w:pos="8270" w:leader="dot"/>
            </w:tabs>
            <w:rPr>
              <w:lang w:val="en-US" w:eastAsia="en-US"/>
            </w:rPr>
          </w:pPr>
          <w:hyperlink w:anchor="__RefHeading___Toc503858995">
            <w:r>
              <w:rPr>
                <w:rStyle w:val="IndexLink"/>
                <w:szCs w:val="36"/>
                <w:lang w:val="en-US" w:eastAsia="en-US"/>
              </w:rPr>
              <w:t>/Electron Beam Computed Tomography (EBCT)</w:t>
            </w:r>
            <w:r>
              <w:rPr>
                <w:rStyle w:val="IndexLink"/>
                <w:lang w:val="en-US" w:eastAsia="en-US"/>
              </w:rPr>
              <w:tab/>
              <w:t>305</w:t>
            </w:r>
          </w:hyperlink>
        </w:p>
        <w:p>
          <w:pPr>
            <w:pStyle w:val="Contents1"/>
            <w:tabs>
              <w:tab w:val="clear" w:pos="720"/>
              <w:tab w:val="right" w:pos="8270" w:leader="dot"/>
            </w:tabs>
            <w:rPr>
              <w:lang w:val="en-US" w:eastAsia="en-US"/>
            </w:rPr>
          </w:pPr>
          <w:hyperlink w:anchor="__RefHeading___Toc503858996">
            <w:r>
              <w:rPr>
                <w:rStyle w:val="IndexLink"/>
                <w:szCs w:val="40"/>
                <w:lang w:val="en-US" w:eastAsia="en-US"/>
              </w:rPr>
              <w:t>Section 4  Alerts</w:t>
            </w:r>
            <w:r>
              <w:rPr>
                <w:rStyle w:val="IndexLink"/>
                <w:lang w:val="en-US" w:eastAsia="en-US"/>
              </w:rPr>
              <w:tab/>
              <w:t>309</w:t>
            </w:r>
          </w:hyperlink>
        </w:p>
        <w:p>
          <w:pPr>
            <w:pStyle w:val="Contents1"/>
            <w:tabs>
              <w:tab w:val="clear" w:pos="720"/>
              <w:tab w:val="right" w:pos="8270" w:leader="dot"/>
            </w:tabs>
            <w:rPr>
              <w:lang w:val="en-US" w:eastAsia="en-US"/>
            </w:rPr>
          </w:pPr>
          <w:hyperlink w:anchor="__RefHeading___Toc503858997">
            <w:r>
              <w:rPr>
                <w:rStyle w:val="IndexLink"/>
                <w:szCs w:val="40"/>
                <w:lang w:val="en-US" w:eastAsia="en-US"/>
              </w:rPr>
              <w:t>Section 5  Reporting Participants’ Results</w:t>
            </w:r>
            <w:r>
              <w:rPr>
                <w:rStyle w:val="IndexLink"/>
                <w:lang w:val="en-US" w:eastAsia="en-US"/>
              </w:rPr>
              <w:tab/>
              <w:t>313</w:t>
            </w:r>
          </w:hyperlink>
        </w:p>
        <w:p>
          <w:pPr>
            <w:pStyle w:val="Contents1"/>
            <w:tabs>
              <w:tab w:val="clear" w:pos="720"/>
              <w:tab w:val="right" w:pos="8270" w:leader="dot"/>
            </w:tabs>
            <w:rPr>
              <w:lang w:val="en-US" w:eastAsia="en-US"/>
            </w:rPr>
          </w:pPr>
          <w:hyperlink w:anchor="__RefHeading___Toc503858998">
            <w:r>
              <w:rPr>
                <w:rStyle w:val="IndexLink"/>
                <w:szCs w:val="40"/>
                <w:lang w:val="en-US" w:eastAsia="en-US"/>
              </w:rPr>
              <w:t>Section 6  Data Management</w:t>
            </w:r>
            <w:r>
              <w:rPr>
                <w:rStyle w:val="IndexLink"/>
                <w:lang w:val="en-US" w:eastAsia="en-US"/>
              </w:rPr>
              <w:tab/>
              <w:t>315</w:t>
            </w:r>
          </w:hyperlink>
        </w:p>
        <w:p>
          <w:pPr>
            <w:pStyle w:val="Contents1"/>
            <w:tabs>
              <w:tab w:val="clear" w:pos="720"/>
              <w:tab w:val="right" w:pos="8270" w:leader="dot"/>
            </w:tabs>
            <w:rPr>
              <w:lang w:val="en-US" w:eastAsia="en-US"/>
            </w:rPr>
          </w:pPr>
          <w:hyperlink w:anchor="__RefHeading___Toc503858999">
            <w:r>
              <w:rPr>
                <w:rStyle w:val="IndexLink"/>
                <w:szCs w:val="40"/>
                <w:lang w:val="en-US" w:eastAsia="en-US"/>
              </w:rPr>
              <w:t>Section 7  Follow-up and Surveillance</w:t>
            </w:r>
            <w:r>
              <w:rPr>
                <w:rStyle w:val="IndexLink"/>
                <w:lang w:val="en-US" w:eastAsia="en-US"/>
              </w:rPr>
              <w:tab/>
              <w:t>333</w:t>
            </w:r>
          </w:hyperlink>
          <w:r>
            <w:rPr>
              <w:rStyle w:val="IndexLink"/>
              <w:lang w:val="en-US" w:eastAsia="en-US"/>
            </w:rPr>
            <w:fldChar w:fldCharType="end"/>
          </w:r>
        </w:p>
      </w:sdtContent>
    </w:sdt>
    <w:p>
      <w:pPr>
        <w:pStyle w:val="Normal"/>
        <w:tabs>
          <w:tab w:val="clear" w:pos="720"/>
          <w:tab w:val="decimal" w:pos="360" w:leader="none"/>
        </w:tabs>
        <w:ind w:left="630" w:hanging="630"/>
        <w:rPr>
          <w:b/>
          <w:b/>
          <w:bCs/>
          <w:sz w:val="22"/>
          <w:lang w:val="en-US" w:eastAsia="en-US"/>
        </w:rPr>
      </w:pPr>
      <w:r>
        <w:rPr>
          <w:b/>
          <w:bCs/>
          <w:sz w:val="22"/>
          <w:lang w:val="en-US" w:eastAsia="en-US"/>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2880" w:right="1080" w:gutter="0" w:header="720" w:top="1440" w:footer="720" w:bottom="1440"/>
          <w:pgNumType w:fmt="decimal"/>
          <w:formProt w:val="false"/>
          <w:titlePg/>
          <w:textDirection w:val="lrTb"/>
          <w:docGrid w:type="default" w:linePitch="360" w:charSpace="0"/>
        </w:sectPr>
        <w:pStyle w:val="Normal"/>
        <w:widowControl/>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
          <w:bCs/>
          <w:sz w:val="28"/>
        </w:rPr>
      </w:pPr>
      <w:r>
        <w:rPr>
          <w:sz w:val="22"/>
        </w:rPr>
        <w:t xml:space="preserve"> </w:t>
      </w:r>
    </w:p>
    <w:p>
      <w:pPr>
        <w:pStyle w:val="Sectionheading"/>
        <w:rPr/>
      </w:pPr>
      <w:bookmarkStart w:id="2" w:name="__RefHeading___Toc503858958"/>
      <w:bookmarkEnd w:id="2"/>
      <w:r>
        <w:rPr/>
        <w:t>Section 1:  Overview and Clinic Equipment</w:t>
      </w:r>
    </w:p>
    <w:p>
      <w:pPr>
        <w:pStyle w:val="Normal"/>
        <w:rPr/>
      </w:pPr>
      <w:r>
        <w:rPr/>
      </w:r>
    </w:p>
    <w:p>
      <w:pPr>
        <w:pStyle w:val="Header"/>
        <w:tabs>
          <w:tab w:val="clear" w:pos="4320"/>
          <w:tab w:val="clear" w:pos="8640"/>
        </w:tabs>
        <w:rPr/>
      </w:pPr>
      <w:r>
        <w:rPr/>
      </w:r>
    </w:p>
    <w:p>
      <w:pPr>
        <w:pStyle w:val="Romanbold"/>
        <w:rPr/>
      </w:pPr>
      <w:r>
        <w:rPr/>
        <w:tab/>
        <w:t>1.1</w:t>
        <w:tab/>
        <w:t>MESA Overview</w:t>
      </w:r>
    </w:p>
    <w:p>
      <w:pPr>
        <w:pStyle w:val="Romanbody"/>
        <w:rPr/>
      </w:pPr>
      <w:r>
        <w:rPr/>
      </w:r>
    </w:p>
    <w:p>
      <w:pPr>
        <w:pStyle w:val="Romanbody"/>
        <w:rPr/>
      </w:pPr>
      <w:r>
        <w:rPr/>
        <w:t xml:space="preserve">Welcome to the Multi-Ethnic Study of Atherosclerosis (MESA)! As an employee in a MESA Clinic, you do not have “just a job,” but a vitally important position in a national research project that will influence diagnosis and treatment of cardiovascular diseases over the next several decades.  Keep this in mind as you perform the same procedures on a never-ending stream of participants: The ultimate value of this study depends on </w:t>
      </w:r>
      <w:r>
        <w:rPr>
          <w:i/>
          <w:iCs/>
        </w:rPr>
        <w:t>you</w:t>
      </w:r>
      <w:r>
        <w:rPr/>
        <w:t xml:space="preserve"> and on the quality of the data that you collect.</w:t>
      </w:r>
    </w:p>
    <w:p>
      <w:pPr>
        <w:pStyle w:val="Romanbold"/>
        <w:rPr>
          <w:b w:val="false"/>
          <w:b w:val="false"/>
          <w:bCs w:val="false"/>
          <w:caps w:val="false"/>
          <w:smallCaps w:val="false"/>
        </w:rPr>
      </w:pPr>
      <w:r>
        <w:rPr>
          <w:b w:val="false"/>
          <w:bCs w:val="false"/>
          <w:caps w:val="false"/>
          <w:smallCaps w:val="false"/>
        </w:rPr>
      </w:r>
    </w:p>
    <w:p>
      <w:pPr>
        <w:pStyle w:val="Number1"/>
        <w:rPr/>
      </w:pPr>
      <w:r>
        <w:rPr>
          <w:b/>
          <w:bCs/>
          <w:caps/>
        </w:rPr>
        <w:tab/>
      </w:r>
      <w:r>
        <w:rPr>
          <w:caps/>
        </w:rPr>
        <w:t>1.11</w:t>
        <w:tab/>
      </w:r>
      <w:r>
        <w:rPr>
          <w:u w:val="single"/>
        </w:rPr>
        <w:t>Purpose and Objectives</w:t>
      </w:r>
    </w:p>
    <w:p>
      <w:pPr>
        <w:pStyle w:val="Number11"/>
        <w:rPr/>
      </w:pPr>
      <w:r>
        <w:rPr/>
      </w:r>
    </w:p>
    <w:p>
      <w:pPr>
        <w:pStyle w:val="Number11"/>
        <w:rPr/>
      </w:pPr>
      <w:r>
        <w:rPr/>
        <w:tab/>
        <w:t>1.111</w:t>
        <w:tab/>
        <w:t xml:space="preserve">The purpose of MESA is to study subclinical cardiovascular disease (CVD).  Subclinical diseases are those detected by non-invasive procedures, such as ECG and ultrasound, before they have produced any clinical signs or symptoms. </w:t>
      </w:r>
    </w:p>
    <w:p>
      <w:pPr>
        <w:pStyle w:val="Number11"/>
        <w:rPr/>
      </w:pPr>
      <w:r>
        <w:rPr/>
      </w:r>
    </w:p>
    <w:p>
      <w:pPr>
        <w:pStyle w:val="Number11"/>
        <w:rPr/>
      </w:pPr>
      <w:r>
        <w:rPr/>
        <w:tab/>
        <w:t>1.112</w:t>
        <w:tab/>
        <w:t>The primary objectives of MESA are to determine:</w:t>
      </w:r>
    </w:p>
    <w:p>
      <w:pPr>
        <w:pStyle w:val="Number11"/>
        <w:rPr/>
      </w:pPr>
      <w:r>
        <w:rPr/>
      </w:r>
    </w:p>
    <w:p>
      <w:pPr>
        <w:pStyle w:val="Number11bodybullet"/>
        <w:rPr/>
      </w:pPr>
      <w:r>
        <w:rPr/>
        <w:tab/>
      </w:r>
      <w:r>
        <w:rPr>
          <w:rFonts w:eastAsia="Symbol" w:cs="Symbol" w:ascii="Symbol" w:hAnsi="Symbol"/>
        </w:rPr>
        <w:t></w:t>
      </w:r>
      <w:r>
        <w:rPr/>
        <w:tab/>
        <w:t>what factors influence the progression of mild subclinical disease to more severe subclinical disease</w:t>
      </w:r>
    </w:p>
    <w:p>
      <w:pPr>
        <w:pStyle w:val="Number11bodybullet"/>
        <w:rPr/>
      </w:pPr>
      <w:r>
        <w:rPr/>
        <w:tab/>
      </w:r>
      <w:r>
        <w:rPr>
          <w:rFonts w:eastAsia="Symbol" w:cs="Symbol" w:ascii="Symbol" w:hAnsi="Symbol"/>
        </w:rPr>
        <w:t></w:t>
      </w:r>
      <w:r>
        <w:rPr/>
        <w:tab/>
        <w:t xml:space="preserve">what factors influence the progression of subclinical disease to clinical disease.  </w:t>
      </w:r>
    </w:p>
    <w:p>
      <w:pPr>
        <w:pStyle w:val="Number11bodybullet"/>
        <w:rPr/>
      </w:pPr>
      <w:r>
        <w:rPr/>
      </w:r>
    </w:p>
    <w:p>
      <w:pPr>
        <w:pStyle w:val="Number11"/>
        <w:rPr/>
      </w:pPr>
      <w:r>
        <w:rPr/>
        <w:tab/>
        <w:t>1.113</w:t>
        <w:tab/>
        <w:t>The secondary objectives of MESA are to:</w:t>
      </w:r>
    </w:p>
    <w:p>
      <w:pPr>
        <w:pStyle w:val="Number11bodybullet"/>
        <w:rPr/>
      </w:pPr>
      <w:r>
        <w:rPr/>
      </w:r>
    </w:p>
    <w:p>
      <w:pPr>
        <w:pStyle w:val="Number11bodybullet"/>
        <w:rPr/>
      </w:pPr>
      <w:r>
        <w:rPr/>
        <w:tab/>
      </w:r>
      <w:r>
        <w:rPr>
          <w:rFonts w:eastAsia="Symbol" w:cs="Symbol" w:ascii="Symbol" w:hAnsi="Symbol"/>
        </w:rPr>
        <w:t></w:t>
      </w:r>
      <w:r>
        <w:rPr/>
        <w:tab/>
        <w:t>assess ethnic, age, and gender differences in subclinical CVD prevalence and risk of progression</w:t>
      </w:r>
    </w:p>
    <w:p>
      <w:pPr>
        <w:pStyle w:val="Number11bodybullet"/>
        <w:rPr/>
      </w:pPr>
      <w:r>
        <w:rPr/>
        <w:tab/>
      </w:r>
      <w:r>
        <w:rPr>
          <w:rFonts w:eastAsia="Symbol" w:cs="Symbol" w:ascii="Symbol" w:hAnsi="Symbol"/>
        </w:rPr>
        <w:t></w:t>
      </w:r>
      <w:r>
        <w:rPr/>
        <w:tab/>
        <w:t>describe the interrelationships of established risk factors for subclinical CVD with new risk factors that are identified by the MESA study</w:t>
      </w:r>
    </w:p>
    <w:p>
      <w:pPr>
        <w:pStyle w:val="Number11bodybullet"/>
        <w:rPr/>
      </w:pPr>
      <w:r>
        <w:rPr/>
        <w:tab/>
      </w:r>
      <w:r>
        <w:rPr>
          <w:rFonts w:eastAsia="Symbol" w:cs="Symbol" w:ascii="Symbol" w:hAnsi="Symbol"/>
        </w:rPr>
        <w:t></w:t>
      </w:r>
      <w:r>
        <w:rPr/>
        <w:tab/>
        <w:t>develop population-based methods, suitable for application in future screening and intervention studies, to identify asymptomatic individuals who are at high risk for subclinical CVD.</w:t>
      </w:r>
    </w:p>
    <w:p>
      <w:pPr>
        <w:pStyle w:val="Romanbold"/>
        <w:rPr>
          <w:b w:val="false"/>
          <w:b w:val="false"/>
          <w:bCs w:val="false"/>
          <w:caps w:val="false"/>
          <w:smallCaps w:val="false"/>
        </w:rPr>
      </w:pPr>
      <w:r>
        <w:rPr>
          <w:b w:val="false"/>
          <w:bCs w:val="false"/>
          <w:caps w:val="false"/>
          <w:smallCaps w:val="false"/>
        </w:rPr>
      </w:r>
    </w:p>
    <w:p>
      <w:pPr>
        <w:pStyle w:val="Number1"/>
        <w:rPr/>
      </w:pPr>
      <w:r>
        <w:rPr>
          <w:b/>
          <w:bCs/>
          <w:caps/>
        </w:rPr>
        <w:tab/>
      </w:r>
      <w:r>
        <w:rPr>
          <w:caps/>
        </w:rPr>
        <w:t>1.12</w:t>
        <w:tab/>
      </w:r>
      <w:r>
        <w:rPr>
          <w:u w:val="single"/>
        </w:rPr>
        <w:t>Description of the MESA study</w:t>
      </w:r>
    </w:p>
    <w:p>
      <w:pPr>
        <w:pStyle w:val="Number1"/>
        <w:rPr/>
      </w:pPr>
      <w:r>
        <w:rPr/>
      </w:r>
    </w:p>
    <w:p>
      <w:pPr>
        <w:pStyle w:val="Number11"/>
        <w:rPr/>
      </w:pPr>
      <w:r>
        <w:rPr/>
        <w:tab/>
        <w:t>1.121</w:t>
        <w:tab/>
        <w:t xml:space="preserve">In order to accomplish the study objectives, MESA has been designed as a large and complex long-term study. The MESA cohort will consist of 6,500 men and women ages 45–84. Approximately 40% of the cohort will be white, 30% African-American, 20% Hispanic, and 10% Asian, predominantly of Chinese descent.  </w:t>
      </w:r>
    </w:p>
    <w:p>
      <w:pPr>
        <w:pStyle w:val="Number11"/>
        <w:rPr/>
      </w:pPr>
      <w:r>
        <w:rPr/>
      </w:r>
    </w:p>
    <w:p>
      <w:pPr>
        <w:pStyle w:val="Number11"/>
        <w:rPr/>
      </w:pPr>
      <w:r>
        <w:rPr/>
        <w:tab/>
        <w:t>1.122</w:t>
        <w:tab/>
        <w:t>The cohort will be recruited from the following six Field Centers (ID number in parentheses):</w:t>
      </w:r>
    </w:p>
    <w:p>
      <w:pPr>
        <w:pStyle w:val="Number11"/>
        <w:rPr/>
      </w:pPr>
      <w:r>
        <w:rPr/>
      </w:r>
    </w:p>
    <w:p>
      <w:pPr>
        <w:pStyle w:val="Number11bodybullet"/>
        <w:rPr/>
      </w:pPr>
      <w:r>
        <w:rPr/>
        <w:tab/>
      </w:r>
      <w:r>
        <w:rPr>
          <w:rFonts w:eastAsia="Symbol" w:cs="Symbol" w:ascii="Symbol" w:hAnsi="Symbol"/>
        </w:rPr>
        <w:t></w:t>
      </w:r>
      <w:r>
        <w:rPr/>
        <w:tab/>
        <w:t>Wake Forest University, Winston-Salem, NC (3)</w:t>
      </w:r>
    </w:p>
    <w:p>
      <w:pPr>
        <w:pStyle w:val="Number11bodybullet"/>
        <w:rPr/>
      </w:pPr>
      <w:r>
        <w:rPr/>
        <w:tab/>
      </w:r>
      <w:r>
        <w:rPr>
          <w:rFonts w:eastAsia="Symbol" w:cs="Symbol" w:ascii="Symbol" w:hAnsi="Symbol"/>
        </w:rPr>
        <w:t></w:t>
      </w:r>
      <w:r>
        <w:rPr/>
        <w:tab/>
        <w:t>Columbia University, New York, NY (4)</w:t>
      </w:r>
    </w:p>
    <w:p>
      <w:pPr>
        <w:pStyle w:val="Number11bodybullet"/>
        <w:rPr/>
      </w:pPr>
      <w:r>
        <w:rPr/>
        <w:tab/>
      </w:r>
      <w:r>
        <w:rPr>
          <w:rFonts w:eastAsia="Symbol" w:cs="Symbol" w:ascii="Symbol" w:hAnsi="Symbol"/>
        </w:rPr>
        <w:t></w:t>
      </w:r>
      <w:r>
        <w:rPr/>
        <w:tab/>
        <w:t>Johns Hopkins University, Baltimore, MD (5)</w:t>
      </w:r>
    </w:p>
    <w:p>
      <w:pPr>
        <w:pStyle w:val="Number11bodybullet"/>
        <w:rPr/>
      </w:pPr>
      <w:r>
        <w:rPr/>
        <w:tab/>
      </w:r>
      <w:r>
        <w:rPr>
          <w:rFonts w:eastAsia="Symbol" w:cs="Symbol" w:ascii="Symbol" w:hAnsi="Symbol"/>
        </w:rPr>
        <w:t></w:t>
      </w:r>
      <w:r>
        <w:rPr/>
        <w:tab/>
        <w:t>University of Minnesota, Minneapolis-St. Paul, MN (6)</w:t>
      </w:r>
    </w:p>
    <w:p>
      <w:pPr>
        <w:pStyle w:val="Number11bodybullet"/>
        <w:rPr/>
      </w:pPr>
      <w:r>
        <w:rPr/>
        <w:tab/>
      </w:r>
      <w:r>
        <w:rPr>
          <w:rFonts w:eastAsia="Symbol" w:cs="Symbol" w:ascii="Symbol" w:hAnsi="Symbol"/>
        </w:rPr>
        <w:t></w:t>
      </w:r>
      <w:r>
        <w:rPr/>
        <w:tab/>
        <w:t>Northwestern and Loyola Universities, Chicago, IL (7)</w:t>
      </w:r>
    </w:p>
    <w:p>
      <w:pPr>
        <w:pStyle w:val="Number11bodybullet"/>
        <w:rPr/>
      </w:pPr>
      <w:r>
        <w:rPr/>
        <w:tab/>
      </w:r>
      <w:r>
        <w:rPr>
          <w:rFonts w:eastAsia="Symbol" w:cs="Symbol" w:ascii="Symbol" w:hAnsi="Symbol"/>
        </w:rPr>
        <w:t></w:t>
      </w:r>
      <w:r>
        <w:rPr/>
        <w:tab/>
        <w:t xml:space="preserve">UCLA, Los Angeles, CA (8)  </w:t>
      </w:r>
    </w:p>
    <w:p>
      <w:pPr>
        <w:pStyle w:val="Number11"/>
        <w:rPr/>
      </w:pPr>
      <w:r>
        <w:rPr/>
      </w:r>
    </w:p>
    <w:p>
      <w:pPr>
        <w:pStyle w:val="Number11"/>
        <w:rPr/>
      </w:pPr>
      <w:r>
        <w:rPr/>
        <w:tab/>
        <w:t>1.123</w:t>
        <w:tab/>
        <w:t>In addition to the Field Centers, there are six Reading Centers and Labs, located at:</w:t>
      </w:r>
    </w:p>
    <w:p>
      <w:pPr>
        <w:pStyle w:val="Number11"/>
        <w:rPr/>
      </w:pPr>
      <w:r>
        <w:rPr/>
      </w:r>
    </w:p>
    <w:p>
      <w:pPr>
        <w:pStyle w:val="Number11bodybullet"/>
        <w:rPr/>
      </w:pPr>
      <w:r>
        <w:rPr/>
        <w:t xml:space="preserve"> </w:t>
      </w:r>
      <w:r>
        <w:rPr/>
        <w:tab/>
      </w:r>
      <w:r>
        <w:rPr>
          <w:rFonts w:eastAsia="Symbol" w:cs="Symbol" w:ascii="Symbol" w:hAnsi="Symbol"/>
        </w:rPr>
        <w:t></w:t>
      </w:r>
      <w:r>
        <w:rPr/>
        <w:tab/>
        <w:t>Harbor-UCLA (CT Reading Center)</w:t>
      </w:r>
    </w:p>
    <w:p>
      <w:pPr>
        <w:pStyle w:val="Number11bodybullet"/>
        <w:rPr/>
      </w:pPr>
      <w:r>
        <w:rPr/>
        <w:tab/>
      </w:r>
      <w:r>
        <w:rPr>
          <w:rFonts w:eastAsia="Symbol" w:cs="Symbol" w:ascii="Symbol" w:hAnsi="Symbol"/>
        </w:rPr>
        <w:t></w:t>
      </w:r>
      <w:r>
        <w:rPr/>
        <w:tab/>
        <w:t>Johns Hopkins University (MRI Reading Center)</w:t>
      </w:r>
    </w:p>
    <w:p>
      <w:pPr>
        <w:pStyle w:val="Number11bodybullet"/>
        <w:rPr/>
      </w:pPr>
      <w:r>
        <w:rPr/>
        <w:tab/>
      </w:r>
      <w:r>
        <w:rPr>
          <w:rFonts w:eastAsia="Symbol" w:cs="Symbol" w:ascii="Symbol" w:hAnsi="Symbol"/>
        </w:rPr>
        <w:t></w:t>
      </w:r>
      <w:r>
        <w:rPr/>
        <w:tab/>
        <w:t>Tufts-New England Medical Center (Boston, Ultrasound Reading Center)</w:t>
      </w:r>
    </w:p>
    <w:p>
      <w:pPr>
        <w:pStyle w:val="Number11bodybullet"/>
        <w:rPr/>
      </w:pPr>
      <w:r>
        <w:rPr/>
        <w:tab/>
      </w:r>
      <w:r>
        <w:rPr>
          <w:rFonts w:eastAsia="Symbol" w:cs="Symbol" w:ascii="Symbol" w:hAnsi="Symbol"/>
        </w:rPr>
        <w:t></w:t>
      </w:r>
      <w:r>
        <w:rPr/>
        <w:tab/>
        <w:t>Wake Forest University (ECG Reading Center)</w:t>
      </w:r>
    </w:p>
    <w:p>
      <w:pPr>
        <w:pStyle w:val="Number11bodybullet"/>
        <w:rPr/>
      </w:pPr>
      <w:r>
        <w:rPr/>
        <w:tab/>
      </w:r>
      <w:r>
        <w:rPr>
          <w:rFonts w:eastAsia="Symbol" w:cs="Symbol" w:ascii="Symbol" w:hAnsi="Symbol"/>
        </w:rPr>
        <w:t></w:t>
      </w:r>
      <w:r>
        <w:rPr/>
        <w:tab/>
        <w:t>University of Vermont (Central Blood Lab)</w:t>
      </w:r>
    </w:p>
    <w:p>
      <w:pPr>
        <w:pStyle w:val="Number11bodybullet"/>
        <w:rPr/>
      </w:pPr>
      <w:r>
        <w:rPr/>
        <w:tab/>
      </w:r>
      <w:r>
        <w:rPr>
          <w:rFonts w:eastAsia="Symbol" w:cs="Symbol" w:ascii="Symbol" w:hAnsi="Symbol"/>
        </w:rPr>
        <w:t></w:t>
      </w:r>
      <w:r>
        <w:rPr/>
        <w:tab/>
        <w:t>University of Minnesota (Lipid Lab).</w:t>
      </w:r>
    </w:p>
    <w:p>
      <w:pPr>
        <w:pStyle w:val="Number11"/>
        <w:rPr/>
      </w:pPr>
      <w:r>
        <w:rPr/>
      </w:r>
    </w:p>
    <w:p>
      <w:pPr>
        <w:pStyle w:val="Number11"/>
        <w:rPr/>
      </w:pPr>
      <w:r>
        <w:rPr/>
        <w:tab/>
        <w:t>1.124</w:t>
        <w:tab/>
        <w:t>The Coordinating Center at the University of Washington (Seattle) will coordinate all aspects of the study, including development of the Manual of Operations, development of data entry and management software, quality control, and statistical analysis of the data for publication in medical journals.</w:t>
      </w:r>
    </w:p>
    <w:p>
      <w:pPr>
        <w:pStyle w:val="Number11"/>
        <w:rPr/>
      </w:pPr>
      <w:r>
        <w:rPr/>
      </w:r>
    </w:p>
    <w:p>
      <w:pPr>
        <w:pStyle w:val="Number11"/>
        <w:rPr/>
      </w:pPr>
      <w:r>
        <w:rPr/>
        <w:tab/>
        <w:t>1.125</w:t>
        <w:tab/>
        <w:t xml:space="preserve">Funding for MESA is provided by the National Heart, Lung, and Blood Institute (NHLBI), a division of the National Institutes of Health. The Project Officer from NHLBI also provides scientific leadership to the study. </w:t>
      </w:r>
    </w:p>
    <w:p>
      <w:pPr>
        <w:pStyle w:val="Number11"/>
        <w:rPr/>
      </w:pPr>
      <w:r>
        <w:rPr/>
      </w:r>
    </w:p>
    <w:p>
      <w:pPr>
        <w:pStyle w:val="Number11"/>
        <w:rPr/>
      </w:pPr>
      <w:r>
        <w:rPr/>
        <w:tab/>
        <w:t>1.126</w:t>
        <w:tab/>
        <w:t>The entire MESA project will take 10 years to complete. The first 18 months of the study were devoted to protocol development, staff training, and pilot testing. The first examination (also called the “Baseline Exam”) will take place over a two-year period, beginning in July 2000. The second and third exams will each require18 months to complete, and the fourth exam will require two years to complete. During these four exams, participants will also be contacted by telephone every 6–9 months to determine whether any medical events have occurred. The final 18 months of the study will be dedicated to close out and data analysis for publication.</w:t>
      </w:r>
    </w:p>
    <w:p>
      <w:pPr>
        <w:pStyle w:val="Number11"/>
        <w:rPr>
          <w:b/>
          <w:b/>
          <w:bCs/>
          <w:caps/>
        </w:rPr>
      </w:pPr>
      <w:r>
        <w:rPr>
          <w:b/>
          <w:bCs/>
          <w:caps/>
        </w:rPr>
      </w:r>
    </w:p>
    <w:p>
      <w:pPr>
        <w:pStyle w:val="Number1"/>
        <w:rPr/>
      </w:pPr>
      <w:r>
        <w:rPr/>
        <w:tab/>
        <w:t>1.13</w:t>
        <w:tab/>
      </w:r>
      <w:r>
        <w:rPr>
          <w:u w:val="single"/>
        </w:rPr>
        <w:t>Recruitment Phase</w:t>
      </w:r>
    </w:p>
    <w:p>
      <w:pPr>
        <w:pStyle w:val="Number1"/>
        <w:rPr/>
      </w:pPr>
      <w:r>
        <w:rPr/>
      </w:r>
    </w:p>
    <w:p>
      <w:pPr>
        <w:pStyle w:val="Number11"/>
        <w:rPr/>
      </w:pPr>
      <w:r>
        <w:rPr/>
        <w:tab/>
        <w:t>1.131</w:t>
        <w:tab/>
        <w:t>Between July 2000, and June 2002, each Field Center will recruit enough people to enroll 1100 participants in MESA. There are several steps in the recruitment process, which are outlined below. This section is intended to give you an overview of the process; specific instructions for each step are contained in later sections of this manual.</w:t>
      </w:r>
    </w:p>
    <w:p>
      <w:pPr>
        <w:pStyle w:val="Number11"/>
        <w:rPr/>
      </w:pPr>
      <w:r>
        <w:rPr/>
      </w:r>
    </w:p>
    <w:p>
      <w:pPr>
        <w:pStyle w:val="Number11"/>
        <w:rPr/>
      </w:pPr>
      <w:r>
        <w:rPr/>
        <w:tab/>
        <w:t>1.132</w:t>
        <w:tab/>
        <w:t>The first step in recruitment is the “sampling” of a number of households out of a large, site-specific database. At all sites, except UCLA, we will mail letters and a brochure to these sampled households.</w:t>
      </w:r>
    </w:p>
    <w:p>
      <w:pPr>
        <w:pStyle w:val="Number11"/>
        <w:rPr/>
      </w:pPr>
      <w:r>
        <w:rPr/>
      </w:r>
    </w:p>
    <w:p>
      <w:pPr>
        <w:pStyle w:val="Number11"/>
        <w:rPr/>
      </w:pPr>
      <w:r>
        <w:rPr/>
        <w:tab/>
        <w:t>1.133</w:t>
        <w:tab/>
        <w:t xml:space="preserve">In the next step, interviewers begin contacting each household by telephone (this will be the first step for UCLA, which will use random-digit dialing to make the initial contact). The person who answers the phone is given more information about the study and screened for eligibility. If anyone in the household is between the ages of 45 and 84 and speaks one of the languages available at that clinic (one or more of English, Spanish, and Chinese), the interviewer will “enumerate” the household (i.e., collect the name, age and gender of all age-eligible household members). Each age-eligible member of the household, if willing, is then screened individually. </w:t>
      </w:r>
    </w:p>
    <w:p>
      <w:pPr>
        <w:pStyle w:val="Number11"/>
        <w:rPr/>
      </w:pPr>
      <w:r>
        <w:rPr/>
      </w:r>
    </w:p>
    <w:p>
      <w:pPr>
        <w:pStyle w:val="Number11"/>
        <w:rPr/>
      </w:pPr>
      <w:r>
        <w:rPr/>
        <w:tab/>
        <w:t>1.134</w:t>
        <w:tab/>
        <w:t>Each person who is eligible and willing to participate in MESA is then scheduled for a clinic visit. Potential participants receive specific instructions about how to prepare for the clinic visit (e.g., what to eat, wear, and bring with them) Reminder letters are sent out to each person who is scheduled for a visit, and each person is also called just before the visit as a final reminder.</w:t>
      </w:r>
    </w:p>
    <w:p>
      <w:pPr>
        <w:pStyle w:val="Number11"/>
        <w:rPr/>
      </w:pPr>
      <w:r>
        <w:rPr/>
      </w:r>
    </w:p>
    <w:p>
      <w:pPr>
        <w:pStyle w:val="Number11"/>
        <w:rPr/>
      </w:pPr>
      <w:r>
        <w:rPr/>
        <w:tab/>
        <w:t>1.135</w:t>
        <w:tab/>
        <w:t>Each afternoon, the clinic staff makes sure that enough forms are printed and blood tubes prepared for the following day’s clinic visits. The data manager will print out a calendar showing who is scheduled for a visit the following day, what time each appointment is, and whether the person speaks English, Spanish, or Chinese. (Forms are available in each language.)</w:t>
      </w:r>
    </w:p>
    <w:p>
      <w:pPr>
        <w:pStyle w:val="Number11"/>
        <w:rPr/>
      </w:pPr>
      <w:r>
        <w:rPr/>
      </w:r>
    </w:p>
    <w:p>
      <w:pPr>
        <w:pStyle w:val="Number11"/>
        <w:rPr/>
      </w:pPr>
      <w:r>
        <w:rPr/>
        <w:tab/>
        <w:t>1.136</w:t>
        <w:tab/>
        <w:t>After the person arrives and is greeted at the MESA clinic, a staff member will review the exclusion criteria to make sure that the person is eligible. If the person is still eligible, he/she will be asked to read and sign the informed consent. Once the informed consent is signed, the clinic visit can proceed.  The staff member will select a set of forms for that person, and the ID printed on those forms becomes that person’s MESA ID number.</w:t>
      </w:r>
    </w:p>
    <w:p>
      <w:pPr>
        <w:pStyle w:val="Number11"/>
        <w:rPr/>
      </w:pPr>
      <w:r>
        <w:rPr/>
      </w:r>
    </w:p>
    <w:p>
      <w:pPr>
        <w:pStyle w:val="Number11"/>
        <w:rPr/>
      </w:pPr>
      <w:r>
        <w:rPr/>
        <w:tab/>
        <w:t>1.137</w:t>
        <w:tab/>
        <w:t>The clinic visit consists of many procedures and interviews, which are described in detail throughout this manual. It is important that the clinic visit procedures be completed in the correct order and that those that require fasting are completed before the participant is offered a snack. During the clinic visit, the participant will also be scheduled for a CT scan and an MRI scan. (At some sites, one or both of these scans will take place on the same day as the clinic visit.) In general, the CT and MRI scans should not be done until the clinic visit is completed.</w:t>
      </w:r>
    </w:p>
    <w:p>
      <w:pPr>
        <w:pStyle w:val="Number11"/>
        <w:rPr/>
      </w:pPr>
      <w:r>
        <w:rPr/>
      </w:r>
    </w:p>
    <w:p>
      <w:pPr>
        <w:pStyle w:val="Number11"/>
        <w:rPr/>
      </w:pPr>
      <w:r>
        <w:rPr/>
        <w:tab/>
        <w:t>1.138</w:t>
        <w:tab/>
        <w:t>In order to become a MESA participant, the person must</w:t>
      </w:r>
    </w:p>
    <w:p>
      <w:pPr>
        <w:pStyle w:val="Number11"/>
        <w:rPr/>
      </w:pPr>
      <w:r>
        <w:rPr/>
      </w:r>
    </w:p>
    <w:p>
      <w:pPr>
        <w:pStyle w:val="Number11bodybullet"/>
        <w:rPr/>
      </w:pPr>
      <w:r>
        <w:rPr/>
        <w:tab/>
      </w:r>
      <w:r>
        <w:rPr>
          <w:rFonts w:eastAsia="Symbol" w:cs="Symbol" w:ascii="Symbol" w:hAnsi="Symbol"/>
        </w:rPr>
        <w:t></w:t>
      </w:r>
      <w:r>
        <w:rPr/>
        <w:tab/>
        <w:t>sign the informed consent</w:t>
      </w:r>
    </w:p>
    <w:p>
      <w:pPr>
        <w:pStyle w:val="Number11bodybullet"/>
        <w:rPr/>
      </w:pPr>
      <w:r>
        <w:rPr/>
        <w:tab/>
      </w:r>
      <w:r>
        <w:rPr>
          <w:rFonts w:eastAsia="Symbol" w:cs="Symbol" w:ascii="Symbol" w:hAnsi="Symbol"/>
        </w:rPr>
        <w:t></w:t>
      </w:r>
      <w:r>
        <w:rPr/>
        <w:tab/>
        <w:t>have blood drawn</w:t>
      </w:r>
    </w:p>
    <w:p>
      <w:pPr>
        <w:pStyle w:val="Number11bodybullet"/>
        <w:rPr/>
      </w:pPr>
      <w:r>
        <w:rPr/>
        <w:tab/>
      </w:r>
      <w:r>
        <w:rPr>
          <w:rFonts w:eastAsia="Symbol" w:cs="Symbol" w:ascii="Symbol" w:hAnsi="Symbol"/>
        </w:rPr>
        <w:t></w:t>
      </w:r>
      <w:r>
        <w:rPr/>
        <w:tab/>
        <w:t>complete the interviews</w:t>
      </w:r>
    </w:p>
    <w:p>
      <w:pPr>
        <w:pStyle w:val="Number11bodybullet"/>
        <w:rPr/>
      </w:pPr>
      <w:r>
        <w:rPr/>
        <w:tab/>
      </w:r>
      <w:r>
        <w:rPr>
          <w:rFonts w:eastAsia="Symbol" w:cs="Symbol" w:ascii="Symbol" w:hAnsi="Symbol"/>
        </w:rPr>
        <w:t></w:t>
      </w:r>
      <w:r>
        <w:rPr/>
        <w:tab/>
        <w:t>complete the physical exam (seated blood pressure, ankle-arm blood pressure, and anthropometry)</w:t>
      </w:r>
    </w:p>
    <w:p>
      <w:pPr>
        <w:pStyle w:val="Number11bodybullet"/>
        <w:rPr/>
      </w:pPr>
      <w:r>
        <w:rPr/>
        <w:tab/>
      </w:r>
      <w:r>
        <w:rPr>
          <w:rFonts w:eastAsia="Symbol" w:cs="Symbol" w:ascii="Symbol" w:hAnsi="Symbol"/>
        </w:rPr>
        <w:t></w:t>
      </w:r>
      <w:r>
        <w:rPr/>
        <w:tab/>
        <w:t>complete the CT exam.</w:t>
      </w:r>
    </w:p>
    <w:p>
      <w:pPr>
        <w:pStyle w:val="Number11bodybullet"/>
        <w:rPr/>
      </w:pPr>
      <w:r>
        <w:rPr/>
      </w:r>
    </w:p>
    <w:p>
      <w:pPr>
        <w:pStyle w:val="Number11"/>
        <w:rPr/>
      </w:pPr>
      <w:r>
        <w:rPr/>
        <w:tab/>
        <w:tab/>
        <w:t>If a person completes all of these procedures, he/she is considered a MESA participant, even if the MRI or ultrasound procedures are not completed.</w:t>
      </w:r>
    </w:p>
    <w:p>
      <w:pPr>
        <w:pStyle w:val="Number11"/>
        <w:rPr/>
      </w:pPr>
      <w:r>
        <w:rPr/>
      </w:r>
    </w:p>
    <w:p>
      <w:pPr>
        <w:pStyle w:val="Number1"/>
        <w:rPr/>
      </w:pPr>
      <w:r>
        <w:rPr/>
        <w:tab/>
        <w:t>1.14</w:t>
        <w:tab/>
      </w:r>
      <w:r>
        <w:rPr>
          <w:u w:val="single"/>
        </w:rPr>
        <w:t>Events</w:t>
      </w:r>
    </w:p>
    <w:p>
      <w:pPr>
        <w:pStyle w:val="Number1body"/>
        <w:rPr/>
      </w:pPr>
      <w:r>
        <w:rPr/>
      </w:r>
    </w:p>
    <w:p>
      <w:pPr>
        <w:pStyle w:val="Number1body"/>
        <w:rPr/>
      </w:pPr>
      <w:r>
        <w:rPr/>
        <w:t>In MESA, an “event” is the development of a medical condition requiring participant hospitalization or other specified types of treatment, or the death of a participant.  In MESA, we are particularly interested in collecting data about myocardial infarction (MI or “heart attack”), stroke, transient ischemic attack (TIA or “mini-stroke”), angina, congestive heart failure (CHF), peripheral vascular disease (PVD), and death. When an event occurs, we will collect a separate set of data based on hospital and physician records and on interviews with participants or their proxies.</w:t>
      </w:r>
    </w:p>
    <w:p>
      <w:pPr>
        <w:pStyle w:val="Number1body"/>
        <w:rPr/>
      </w:pPr>
      <w:r>
        <w:rPr/>
      </w:r>
    </w:p>
    <w:p>
      <w:pPr>
        <w:pStyle w:val="Number1"/>
        <w:rPr/>
      </w:pPr>
      <w:r>
        <w:rPr/>
        <w:tab/>
        <w:t>1.15</w:t>
        <w:tab/>
      </w:r>
      <w:r>
        <w:rPr>
          <w:u w:val="single"/>
        </w:rPr>
        <w:t>What happens to all of the data</w:t>
      </w:r>
      <w:r>
        <w:rPr/>
        <w:t>?</w:t>
      </w:r>
    </w:p>
    <w:p>
      <w:pPr>
        <w:pStyle w:val="Number1"/>
        <w:rPr/>
      </w:pPr>
      <w:r>
        <w:rPr/>
      </w:r>
    </w:p>
    <w:p>
      <w:pPr>
        <w:pStyle w:val="Number1"/>
        <w:rPr/>
      </w:pPr>
      <w:r>
        <w:rPr/>
        <w:tab/>
        <w:tab/>
        <w:t>Once the data have been entered into your local computers, they are transmitted electronically to the Coordinating Center. There the data are read into a database, and various quality checks are performed. After all of the data for an examination have been collected and checked, investigators at all of the sites will begin working on statistical analyses of the data to see what questions MESA may have answered.</w:t>
      </w:r>
    </w:p>
    <w:p>
      <w:pPr>
        <w:pStyle w:val="Number1"/>
        <w:rPr/>
      </w:pPr>
      <w:r>
        <w:rPr/>
      </w:r>
    </w:p>
    <w:p>
      <w:pPr>
        <w:pStyle w:val="Number1"/>
        <w:rPr/>
      </w:pPr>
      <w:r>
        <w:rPr/>
        <w:tab/>
        <w:t>1.16</w:t>
        <w:tab/>
      </w:r>
      <w:r>
        <w:rPr>
          <w:u w:val="single"/>
        </w:rPr>
        <w:t>How to use this manual</w:t>
      </w:r>
    </w:p>
    <w:p>
      <w:pPr>
        <w:pStyle w:val="Number1"/>
        <w:rPr/>
      </w:pPr>
      <w:r>
        <w:rPr/>
      </w:r>
    </w:p>
    <w:p>
      <w:pPr>
        <w:pStyle w:val="Number1"/>
        <w:rPr/>
      </w:pPr>
      <w:r>
        <w:rPr/>
        <w:tab/>
        <w:tab/>
        <w:t xml:space="preserve">This manual contains step-by-step instructions for completing all of the steps in recruiting people into the MESA study and for all clinic procedures. You should carefully study all sections that relate to procedures that you will be performing, and you should keep this manual handy as a reference. If you have questions about anything in the Manual, please direct them to your Study Coordinator.  </w:t>
      </w:r>
    </w:p>
    <w:p>
      <w:pPr>
        <w:pStyle w:val="Number1"/>
        <w:rPr/>
      </w:pPr>
      <w:r>
        <w:rPr/>
      </w:r>
    </w:p>
    <w:p>
      <w:pPr>
        <w:pStyle w:val="Romanbold"/>
        <w:rPr/>
      </w:pPr>
      <w:r>
        <w:rPr/>
        <w:tab/>
        <w:t>1.2</w:t>
        <w:tab/>
        <w:t>Supplies and Equipment</w:t>
      </w:r>
    </w:p>
    <w:p>
      <w:pPr>
        <w:pStyle w:val="Romanbody"/>
        <w:rPr/>
      </w:pPr>
      <w:r>
        <w:rPr/>
      </w:r>
    </w:p>
    <w:p>
      <w:pPr>
        <w:pStyle w:val="Romanbody"/>
        <w:rPr/>
      </w:pPr>
      <w:r>
        <w:rPr/>
        <w:t>Each clinic should be equipped with the following supplies and equipment:</w:t>
      </w:r>
    </w:p>
    <w:p>
      <w:pPr>
        <w:pStyle w:val="Romanbody"/>
        <w:rPr/>
      </w:pPr>
      <w:r>
        <w:rPr/>
      </w:r>
    </w:p>
    <w:p>
      <w:pPr>
        <w:pStyle w:val="Number1"/>
        <w:rPr/>
      </w:pPr>
      <w:r>
        <w:rPr/>
        <w:tab/>
        <w:t>1.21</w:t>
        <w:tab/>
      </w:r>
      <w:r>
        <w:rPr>
          <w:u w:val="single"/>
        </w:rPr>
        <w:t>Equipment Provided by the Coordinating Center</w:t>
      </w:r>
    </w:p>
    <w:p>
      <w:pPr>
        <w:pStyle w:val="Normal"/>
        <w:widowControl/>
        <w:jc w:val="center"/>
        <w:rPr>
          <w:rFonts w:ascii="Arial;Arial" w:hAnsi="Arial;Arial" w:cs="Arial;Arial"/>
          <w:sz w:val="22"/>
          <w:szCs w:val="22"/>
          <w:u w:val="single"/>
        </w:rPr>
      </w:pPr>
      <w:r>
        <w:rPr>
          <w:rFonts w:cs="Arial;Arial" w:ascii="Arial;Arial" w:hAnsi="Arial;Arial"/>
          <w:sz w:val="22"/>
          <w:szCs w:val="22"/>
          <w:u w:val="single"/>
        </w:rPr>
      </w:r>
    </w:p>
    <w:p>
      <w:pPr>
        <w:pStyle w:val="Number1bodybullet"/>
        <w:rPr/>
      </w:pPr>
      <w:r>
        <w:rPr>
          <w:rFonts w:eastAsia="Symbol" w:cs="Symbol" w:ascii="Symbol" w:hAnsi="Symbol"/>
        </w:rPr>
        <w:t></w:t>
      </w:r>
      <w:r>
        <w:rPr/>
        <w:tab/>
        <w:t>2 ECG machines and modems</w:t>
      </w:r>
    </w:p>
    <w:p>
      <w:pPr>
        <w:pStyle w:val="Number1bodybullet"/>
        <w:rPr/>
      </w:pPr>
      <w:r>
        <w:rPr>
          <w:rFonts w:eastAsia="Symbol" w:cs="Symbol" w:ascii="Symbol" w:hAnsi="Symbol"/>
        </w:rPr>
        <w:t></w:t>
      </w:r>
      <w:r>
        <w:rPr/>
        <w:tab/>
        <w:t>3 computers, a scanner, and two printers</w:t>
      </w:r>
    </w:p>
    <w:p>
      <w:pPr>
        <w:pStyle w:val="Normal"/>
        <w:widowControl/>
        <w:jc w:val="center"/>
        <w:rPr>
          <w:rFonts w:ascii="Arial;Arial" w:hAnsi="Arial;Arial" w:cs="Arial;Arial"/>
          <w:sz w:val="22"/>
          <w:szCs w:val="22"/>
        </w:rPr>
      </w:pPr>
      <w:r>
        <w:rPr>
          <w:rFonts w:cs="Arial;Arial" w:ascii="Arial;Arial" w:hAnsi="Arial;Arial"/>
          <w:sz w:val="22"/>
          <w:szCs w:val="22"/>
        </w:rPr>
      </w:r>
    </w:p>
    <w:p>
      <w:pPr>
        <w:pStyle w:val="Normal"/>
        <w:widowControl/>
        <w:jc w:val="center"/>
        <w:rPr>
          <w:rFonts w:ascii="Arial;Arial" w:hAnsi="Arial;Arial" w:cs="Arial;Arial"/>
          <w:sz w:val="22"/>
          <w:szCs w:val="22"/>
        </w:rPr>
      </w:pPr>
      <w:r>
        <w:rPr>
          <w:rFonts w:cs="Arial;Arial" w:ascii="Arial;Arial" w:hAnsi="Arial;Arial"/>
          <w:sz w:val="22"/>
          <w:szCs w:val="22"/>
        </w:rPr>
      </w:r>
    </w:p>
    <w:p>
      <w:pPr>
        <w:pStyle w:val="Number1"/>
        <w:rPr>
          <w:rFonts w:ascii="Arial;Arial" w:hAnsi="Arial;Arial" w:cs="Arial;Arial"/>
          <w:sz w:val="22"/>
          <w:szCs w:val="22"/>
        </w:rPr>
      </w:pPr>
      <w:r>
        <w:rPr/>
        <w:tab/>
        <w:t>1.22</w:t>
        <w:tab/>
      </w:r>
      <w:r>
        <w:rPr>
          <w:u w:val="single"/>
        </w:rPr>
        <w:t xml:space="preserve">Phlebotomy and Laboratory Supplies to be Provided </w:t>
      </w:r>
      <w:r>
        <w:rPr>
          <w:szCs w:val="22"/>
          <w:u w:val="single"/>
        </w:rPr>
        <w:t>by the Central Laboratory</w:t>
      </w:r>
    </w:p>
    <w:p>
      <w:pPr>
        <w:pStyle w:val="Normal"/>
        <w:widowControl/>
        <w:rPr>
          <w:rFonts w:ascii="Arial;Arial" w:hAnsi="Arial;Arial" w:cs="Arial;Arial"/>
          <w:sz w:val="22"/>
          <w:szCs w:val="22"/>
        </w:rPr>
      </w:pPr>
      <w:r>
        <w:rPr>
          <w:rFonts w:cs="Arial;Arial" w:ascii="Arial;Arial" w:hAnsi="Arial;Arial"/>
          <w:sz w:val="22"/>
          <w:szCs w:val="22"/>
        </w:rPr>
      </w:r>
    </w:p>
    <w:p>
      <w:pPr>
        <w:pStyle w:val="Number1bodybullet"/>
        <w:tabs>
          <w:tab w:val="clear" w:pos="720"/>
          <w:tab w:val="right" w:pos="1080" w:leader="none"/>
        </w:tabs>
        <w:ind w:left="1260" w:hanging="1260"/>
        <w:rPr/>
      </w:pPr>
      <w:r>
        <w:rPr/>
        <w:tab/>
      </w:r>
      <w:r>
        <w:rPr>
          <w:rFonts w:eastAsia="Symbol" w:cs="Symbol" w:ascii="Symbol" w:hAnsi="Symbol"/>
        </w:rPr>
        <w:t></w:t>
      </w:r>
      <w:r>
        <w:rPr/>
        <w:tab/>
        <w:t>5 mL SCAT-1 tubes</w:t>
      </w:r>
    </w:p>
    <w:p>
      <w:pPr>
        <w:pStyle w:val="Number1bodybullet"/>
        <w:tabs>
          <w:tab w:val="clear" w:pos="720"/>
          <w:tab w:val="right" w:pos="1080" w:leader="none"/>
        </w:tabs>
        <w:ind w:left="1260" w:hanging="1260"/>
        <w:rPr/>
      </w:pPr>
      <w:r>
        <w:rPr/>
        <w:tab/>
      </w:r>
      <w:r>
        <w:rPr>
          <w:rFonts w:eastAsia="Symbol" w:cs="Symbol" w:ascii="Symbol" w:hAnsi="Symbol"/>
        </w:rPr>
        <w:t></w:t>
      </w:r>
      <w:r>
        <w:rPr/>
        <w:tab/>
        <w:t>8 mL Cell Preparation tubes</w:t>
      </w:r>
    </w:p>
    <w:p>
      <w:pPr>
        <w:pStyle w:val="Number1bodybullet"/>
        <w:tabs>
          <w:tab w:val="clear" w:pos="720"/>
          <w:tab w:val="right" w:pos="1080" w:leader="none"/>
        </w:tabs>
        <w:ind w:left="1260" w:hanging="1260"/>
        <w:rPr/>
      </w:pPr>
      <w:r>
        <w:rPr/>
        <w:tab/>
      </w:r>
      <w:r>
        <w:rPr>
          <w:rFonts w:eastAsia="Symbol" w:cs="Symbol" w:ascii="Symbol" w:hAnsi="Symbol"/>
        </w:rPr>
        <w:t></w:t>
      </w:r>
      <w:r>
        <w:rPr/>
        <w:tab/>
        <w:t xml:space="preserve"> Cryogenic vials (0.5 mL, 2.0 mL, 10.0 mL)</w:t>
      </w:r>
    </w:p>
    <w:p>
      <w:pPr>
        <w:pStyle w:val="Number1bodybullet"/>
        <w:tabs>
          <w:tab w:val="clear" w:pos="720"/>
          <w:tab w:val="right" w:pos="1080" w:leader="none"/>
        </w:tabs>
        <w:ind w:left="1260" w:hanging="1260"/>
        <w:rPr/>
      </w:pPr>
      <w:r>
        <w:rPr/>
        <w:tab/>
      </w:r>
      <w:r>
        <w:rPr>
          <w:rFonts w:eastAsia="Symbol" w:cs="Symbol" w:ascii="Symbol" w:hAnsi="Symbol"/>
        </w:rPr>
        <w:t></w:t>
      </w:r>
      <w:r>
        <w:rPr/>
        <w:tab/>
        <w:t>Nalgene Freezing container #2 'Mr. Frosty' (for cell prep) (Nalge#5100-001)</w:t>
      </w:r>
    </w:p>
    <w:p>
      <w:pPr>
        <w:pStyle w:val="Number1bodybullet"/>
        <w:tabs>
          <w:tab w:val="clear" w:pos="720"/>
          <w:tab w:val="right" w:pos="1080" w:leader="none"/>
        </w:tabs>
        <w:ind w:left="1260" w:hanging="1260"/>
        <w:rPr/>
      </w:pPr>
      <w:r>
        <w:rPr/>
        <w:tab/>
      </w:r>
      <w:r>
        <w:rPr>
          <w:rFonts w:eastAsia="Symbol" w:cs="Symbol" w:ascii="Symbol" w:hAnsi="Symbol"/>
        </w:rPr>
        <w:t></w:t>
      </w:r>
      <w:r>
        <w:rPr/>
        <w:tab/>
        <w:t>15 mL centrifuge tubes (for cell prep)</w:t>
      </w:r>
    </w:p>
    <w:p>
      <w:pPr>
        <w:pStyle w:val="Number1bodybullet"/>
        <w:tabs>
          <w:tab w:val="clear" w:pos="720"/>
          <w:tab w:val="right" w:pos="1080" w:leader="none"/>
        </w:tabs>
        <w:ind w:left="1260" w:hanging="1260"/>
        <w:rPr/>
      </w:pPr>
      <w:r>
        <w:rPr/>
        <w:tab/>
      </w:r>
      <w:r>
        <w:rPr>
          <w:rFonts w:eastAsia="Symbol" w:cs="Symbol" w:ascii="Symbol" w:hAnsi="Symbol"/>
        </w:rPr>
        <w:t></w:t>
      </w:r>
      <w:r>
        <w:rPr/>
        <w:tab/>
        <w:t>Freezing Media A and B</w:t>
      </w:r>
    </w:p>
    <w:p>
      <w:pPr>
        <w:pStyle w:val="Number1bodybullet"/>
        <w:tabs>
          <w:tab w:val="clear" w:pos="720"/>
          <w:tab w:val="right" w:pos="1080" w:leader="none"/>
        </w:tabs>
        <w:ind w:left="1260" w:hanging="1260"/>
        <w:rPr/>
      </w:pPr>
      <w:r>
        <w:rPr/>
        <w:tab/>
      </w:r>
      <w:r>
        <w:rPr>
          <w:rFonts w:eastAsia="Symbol" w:cs="Symbol" w:ascii="Symbol" w:hAnsi="Symbol"/>
        </w:rPr>
        <w:t></w:t>
      </w:r>
      <w:r>
        <w:rPr/>
        <w:tab/>
        <w:t>PBS (phosphate buffered saline)</w:t>
      </w:r>
    </w:p>
    <w:p>
      <w:pPr>
        <w:pStyle w:val="Number1bodybullet"/>
        <w:tabs>
          <w:tab w:val="clear" w:pos="720"/>
          <w:tab w:val="right" w:pos="1080" w:leader="none"/>
        </w:tabs>
        <w:ind w:left="1260" w:hanging="1260"/>
        <w:rPr/>
      </w:pPr>
      <w:r>
        <w:rPr/>
        <w:tab/>
      </w:r>
      <w:r>
        <w:rPr>
          <w:rFonts w:eastAsia="Symbol" w:cs="Symbol" w:ascii="Symbol" w:hAnsi="Symbol"/>
        </w:rPr>
        <w:t></w:t>
      </w:r>
      <w:r>
        <w:rPr/>
        <w:tab/>
        <w:t>Acetic acid (for urine)</w:t>
      </w:r>
    </w:p>
    <w:p>
      <w:pPr>
        <w:pStyle w:val="Number1bodybullet"/>
        <w:tabs>
          <w:tab w:val="clear" w:pos="720"/>
          <w:tab w:val="right" w:pos="1080" w:leader="none"/>
        </w:tabs>
        <w:ind w:left="1260" w:hanging="1260"/>
        <w:rPr/>
      </w:pPr>
      <w:r>
        <w:rPr/>
        <w:tab/>
      </w:r>
      <w:r>
        <w:rPr>
          <w:rFonts w:eastAsia="Symbol" w:cs="Symbol" w:ascii="Symbol" w:hAnsi="Symbol"/>
        </w:rPr>
        <w:t></w:t>
      </w:r>
      <w:r>
        <w:rPr/>
        <w:tab/>
        <w:t>ACD/dextran (for red cell membranes)</w:t>
      </w:r>
    </w:p>
    <w:p>
      <w:pPr>
        <w:pStyle w:val="Number1bodybullet"/>
        <w:tabs>
          <w:tab w:val="clear" w:pos="720"/>
          <w:tab w:val="right" w:pos="1080" w:leader="none"/>
        </w:tabs>
        <w:ind w:left="1260" w:hanging="1260"/>
        <w:rPr>
          <w:rFonts w:ascii="Arial;Arial" w:hAnsi="Arial;Arial" w:cs="Arial;Arial"/>
          <w:sz w:val="22"/>
          <w:szCs w:val="22"/>
        </w:rPr>
      </w:pPr>
      <w:r>
        <w:rPr>
          <w:rFonts w:cs="Arial;Arial" w:ascii="Arial;Arial" w:hAnsi="Arial;Arial"/>
          <w:sz w:val="22"/>
          <w:szCs w:val="22"/>
        </w:rPr>
      </w:r>
    </w:p>
    <w:p>
      <w:pPr>
        <w:pStyle w:val="Number1"/>
        <w:rPr/>
      </w:pPr>
      <w:r>
        <w:rPr/>
        <w:tab/>
        <w:t>1.23</w:t>
        <w:tab/>
      </w:r>
      <w:r>
        <w:rPr>
          <w:u w:val="single"/>
        </w:rPr>
        <w:t>Equipment &amp; Supplies to be Purchased by Field Centers</w:t>
      </w:r>
    </w:p>
    <w:p>
      <w:pPr>
        <w:pStyle w:val="Normal"/>
        <w:widowControl/>
        <w:rPr>
          <w:rFonts w:ascii="Arial;Arial" w:hAnsi="Arial;Arial" w:cs="Arial;Arial"/>
          <w:sz w:val="22"/>
          <w:szCs w:val="22"/>
        </w:rPr>
      </w:pPr>
      <w:r>
        <w:rPr>
          <w:rFonts w:cs="Arial;Arial" w:ascii="Arial;Arial" w:hAnsi="Arial;Arial"/>
          <w:sz w:val="22"/>
          <w:szCs w:val="22"/>
        </w:rPr>
      </w:r>
    </w:p>
    <w:p>
      <w:pPr>
        <w:pStyle w:val="Number11"/>
        <w:rPr/>
      </w:pPr>
      <w:r>
        <w:rPr/>
        <w:tab/>
        <w:t>1.231</w:t>
        <w:tab/>
        <w:t>Examination Equipment</w:t>
      </w:r>
    </w:p>
    <w:p>
      <w:pPr>
        <w:pStyle w:val="Number11"/>
        <w:rPr/>
      </w:pPr>
      <w:r>
        <w:rPr/>
      </w:r>
    </w:p>
    <w:p>
      <w:pPr>
        <w:pStyle w:val="Number11bodybullet"/>
        <w:rPr/>
      </w:pPr>
      <w:r>
        <w:rPr/>
        <w:tab/>
      </w:r>
      <w:r>
        <w:rPr>
          <w:rFonts w:eastAsia="Symbol" w:cs="Symbol" w:ascii="Symbol" w:hAnsi="Symbol"/>
        </w:rPr>
        <w:t></w:t>
      </w:r>
      <w:r>
        <w:rPr/>
        <w:tab/>
        <w:t>Three Dinamap Blood Pressure Machines, Model PRO 100 (</w:t>
      </w:r>
      <w:r>
        <w:rPr>
          <w:b/>
          <w:bCs/>
        </w:rPr>
        <w:t>Critikon</w:t>
      </w:r>
      <w:r>
        <w:rPr/>
        <w:t>)</w:t>
      </w:r>
    </w:p>
    <w:p>
      <w:pPr>
        <w:pStyle w:val="Number11bodybullet"/>
        <w:rPr/>
      </w:pPr>
      <w:r>
        <w:rPr/>
        <w:tab/>
      </w:r>
      <w:r>
        <w:rPr>
          <w:rFonts w:eastAsia="Symbol" w:cs="Symbol" w:ascii="Symbol" w:hAnsi="Symbol"/>
        </w:rPr>
        <w:t></w:t>
      </w:r>
      <w:r>
        <w:rPr/>
        <w:tab/>
        <w:t>Rapid Cuff Inflation E20 (</w:t>
      </w:r>
      <w:r>
        <w:rPr>
          <w:b/>
          <w:bCs/>
        </w:rPr>
        <w:t>DE Hokanson</w:t>
      </w:r>
      <w:r>
        <w:rPr/>
        <w:t>)</w:t>
      </w:r>
    </w:p>
    <w:p>
      <w:pPr>
        <w:pStyle w:val="Number11bodybullet"/>
        <w:rPr/>
      </w:pPr>
      <w:r>
        <w:rPr/>
        <w:tab/>
      </w:r>
      <w:r>
        <w:rPr>
          <w:rFonts w:eastAsia="Symbol" w:cs="Symbol" w:ascii="Symbol" w:hAnsi="Symbol"/>
        </w:rPr>
        <w:t></w:t>
      </w:r>
      <w:r>
        <w:rPr/>
        <w:tab/>
        <w:t>AG 101 Airsource with BP 10D &amp; SC 12 D and PAK5 Positioning Kit (</w:t>
      </w:r>
      <w:r>
        <w:rPr>
          <w:b/>
          <w:bCs/>
        </w:rPr>
        <w:t>DE Hokanson</w:t>
      </w:r>
      <w:r>
        <w:rPr/>
        <w:t>)</w:t>
      </w:r>
    </w:p>
    <w:p>
      <w:pPr>
        <w:pStyle w:val="Number11bodybullet"/>
        <w:rPr/>
      </w:pPr>
      <w:r>
        <w:rPr/>
        <w:tab/>
      </w:r>
      <w:r>
        <w:rPr>
          <w:rFonts w:eastAsia="Symbol" w:cs="Symbol" w:ascii="Symbol" w:hAnsi="Symbol"/>
        </w:rPr>
        <w:t></w:t>
      </w:r>
      <w:r>
        <w:rPr/>
        <w:tab/>
        <w:t>Detecto Platform Balance, # 1915-339W Scale in lbs/kg (</w:t>
      </w:r>
      <w:r>
        <w:rPr>
          <w:b/>
          <w:bCs/>
        </w:rPr>
        <w:t>Titus Home Health Care</w:t>
      </w:r>
      <w:r>
        <w:rPr/>
        <w:t>)</w:t>
      </w:r>
    </w:p>
    <w:p>
      <w:pPr>
        <w:pStyle w:val="Number11bodybullet"/>
        <w:rPr/>
      </w:pPr>
      <w:r>
        <w:rPr/>
        <w:tab/>
      </w:r>
      <w:r>
        <w:rPr>
          <w:rFonts w:eastAsia="Symbol" w:cs="Symbol" w:ascii="Symbol" w:hAnsi="Symbol"/>
        </w:rPr>
        <w:t></w:t>
      </w:r>
      <w:r>
        <w:rPr/>
        <w:tab/>
        <w:t xml:space="preserve">Stadiometer (Accu-Hite Measure Device w/level Bubble model # 216 catalog # 5758) </w:t>
      </w:r>
    </w:p>
    <w:p>
      <w:pPr>
        <w:pStyle w:val="Number11bodybullet"/>
        <w:rPr/>
      </w:pPr>
      <w:r>
        <w:rPr/>
        <w:tab/>
      </w:r>
      <w:r>
        <w:rPr>
          <w:rFonts w:eastAsia="Symbol" w:cs="Symbol" w:ascii="Symbol" w:hAnsi="Symbol"/>
        </w:rPr>
        <w:t></w:t>
      </w:r>
      <w:r>
        <w:rPr/>
        <w:tab/>
        <w:t>Two Gulick II anthropometric tapes in cm, Model 67021 (</w:t>
      </w:r>
      <w:r>
        <w:rPr>
          <w:b/>
          <w:bCs/>
        </w:rPr>
        <w:t>Country Technology</w:t>
      </w:r>
      <w:r>
        <w:rPr/>
        <w:t>)</w:t>
      </w:r>
    </w:p>
    <w:p>
      <w:pPr>
        <w:pStyle w:val="Number11bodybullet"/>
        <w:rPr/>
      </w:pPr>
      <w:r>
        <w:rPr/>
        <w:tab/>
      </w:r>
      <w:r>
        <w:rPr>
          <w:rFonts w:eastAsia="Symbol" w:cs="Symbol" w:ascii="Symbol" w:hAnsi="Symbol"/>
        </w:rPr>
        <w:t></w:t>
      </w:r>
      <w:r>
        <w:rPr/>
        <w:tab/>
        <w:t>Wall mounted mirror for verifying tape measurement (</w:t>
      </w:r>
      <w:r>
        <w:rPr>
          <w:b/>
          <w:bCs/>
        </w:rPr>
        <w:t>any local vendor</w:t>
      </w:r>
      <w:r>
        <w:rPr/>
        <w:t>)</w:t>
      </w:r>
    </w:p>
    <w:p>
      <w:pPr>
        <w:pStyle w:val="Number11bodybullet"/>
        <w:rPr/>
      </w:pPr>
      <w:r>
        <w:rPr/>
        <w:tab/>
      </w:r>
      <w:r>
        <w:rPr>
          <w:rFonts w:eastAsia="Symbol" w:cs="Symbol" w:ascii="Symbol" w:hAnsi="Symbol"/>
        </w:rPr>
        <w:t></w:t>
      </w:r>
      <w:r>
        <w:rPr/>
        <w:tab/>
        <w:t>Wall thermometer (</w:t>
      </w:r>
      <w:r>
        <w:rPr>
          <w:b/>
          <w:bCs/>
        </w:rPr>
        <w:t>local vendor</w:t>
      </w:r>
      <w:r>
        <w:rPr/>
        <w:t>)</w:t>
      </w:r>
    </w:p>
    <w:p>
      <w:pPr>
        <w:pStyle w:val="Number11bodybullet"/>
        <w:rPr/>
      </w:pPr>
      <w:r>
        <w:rPr/>
        <w:tab/>
      </w:r>
      <w:r>
        <w:rPr>
          <w:rFonts w:eastAsia="Symbol" w:cs="Symbol" w:ascii="Symbol" w:hAnsi="Symbol"/>
        </w:rPr>
        <w:t></w:t>
      </w:r>
      <w:r>
        <w:rPr/>
        <w:tab/>
        <w:t>Doppler machine, # EN 50 Nicolet LE 100 5 megahertz vascular probe  (</w:t>
      </w:r>
      <w:r>
        <w:rPr>
          <w:b/>
          <w:bCs/>
        </w:rPr>
        <w:t>Nicolet Vascular</w:t>
      </w:r>
      <w:r>
        <w:rPr/>
        <w:t>)</w:t>
      </w:r>
    </w:p>
    <w:p>
      <w:pPr>
        <w:pStyle w:val="Number11bodybullet"/>
        <w:rPr/>
      </w:pPr>
      <w:r>
        <w:rPr/>
        <w:tab/>
      </w:r>
      <w:r>
        <w:rPr>
          <w:rFonts w:eastAsia="Symbol" w:cs="Symbol" w:ascii="Symbol" w:hAnsi="Symbol"/>
        </w:rPr>
        <w:t></w:t>
      </w:r>
      <w:r>
        <w:rPr/>
        <w:tab/>
        <w:t>Wall mounted mercury sphygmomanometer(Baum) (</w:t>
      </w:r>
      <w:r>
        <w:rPr>
          <w:b/>
          <w:bCs/>
        </w:rPr>
        <w:t>Mckesson General Medical</w:t>
      </w:r>
      <w:r>
        <w:rPr/>
        <w:t>)</w:t>
      </w:r>
    </w:p>
    <w:p>
      <w:pPr>
        <w:pStyle w:val="Number11bodybullet"/>
        <w:rPr/>
      </w:pPr>
      <w:r>
        <w:rPr/>
        <w:tab/>
      </w:r>
      <w:r>
        <w:rPr>
          <w:rFonts w:eastAsia="Symbol" w:cs="Symbol" w:ascii="Symbol" w:hAnsi="Symbol"/>
        </w:rPr>
        <w:t></w:t>
      </w:r>
      <w:r>
        <w:rPr/>
        <w:tab/>
        <w:t>Blood pressure cuffs  (pediatric, adult, large, and thigh) (</w:t>
      </w:r>
      <w:r>
        <w:rPr>
          <w:b/>
          <w:bCs/>
        </w:rPr>
        <w:t>Mckesson General Medical</w:t>
      </w:r>
      <w:r>
        <w:rPr/>
        <w:t>)</w:t>
      </w:r>
    </w:p>
    <w:p>
      <w:pPr>
        <w:pStyle w:val="Normal"/>
        <w:widowControl/>
        <w:rPr>
          <w:rFonts w:ascii="Arial;Arial" w:hAnsi="Arial;Arial" w:cs="Arial;Arial"/>
          <w:sz w:val="22"/>
          <w:szCs w:val="22"/>
        </w:rPr>
      </w:pPr>
      <w:r>
        <w:rPr>
          <w:rFonts w:cs="Arial;Arial" w:ascii="Arial;Arial" w:hAnsi="Arial;Arial"/>
          <w:sz w:val="22"/>
          <w:szCs w:val="22"/>
        </w:rPr>
      </w:r>
    </w:p>
    <w:p>
      <w:pPr>
        <w:pStyle w:val="Number11"/>
        <w:rPr/>
      </w:pPr>
      <w:r>
        <w:rPr/>
        <w:tab/>
        <w:t>1.232</w:t>
        <w:tab/>
        <w:t>Laboratory and Phlebotomy Equipment</w:t>
      </w:r>
    </w:p>
    <w:p>
      <w:pPr>
        <w:pStyle w:val="Number11bodybullet"/>
        <w:rPr/>
      </w:pPr>
      <w:r>
        <w:rPr/>
      </w:r>
    </w:p>
    <w:p>
      <w:pPr>
        <w:pStyle w:val="Number11bodybullet"/>
        <w:rPr/>
      </w:pPr>
      <w:r>
        <w:rPr/>
        <w:tab/>
      </w:r>
      <w:r>
        <w:rPr>
          <w:rFonts w:eastAsia="Symbol" w:cs="Symbol" w:ascii="Symbol" w:hAnsi="Symbol"/>
        </w:rPr>
        <w:t></w:t>
      </w:r>
      <w:r>
        <w:rPr/>
        <w:tab/>
        <w:t>Two Centrifuges with temperature control, 2,000 g</w:t>
        <w:noBreakHyphen/>
        <w:t>force minimum, swinging bucket, and test tube holders (adaptors), e.g., IEC Centra CL3R with CL3R swinging bucket rotor (#243) and aerocarrier tube holder for IEC 243; adapters need are #6561E, 6561E, 6562E, 6566E.</w:t>
      </w:r>
    </w:p>
    <w:p>
      <w:pPr>
        <w:pStyle w:val="Number11bodybullet"/>
        <w:rPr/>
      </w:pPr>
      <w:r>
        <w:rPr/>
        <w:tab/>
      </w:r>
      <w:r>
        <w:rPr>
          <w:rFonts w:eastAsia="Symbol" w:cs="Symbol" w:ascii="Symbol" w:hAnsi="Symbol"/>
        </w:rPr>
        <w:t></w:t>
      </w:r>
      <w:r>
        <w:rPr/>
        <w:tab/>
        <w:t xml:space="preserve">Harvard Trip Balance / Pan balance, </w:t>
      </w:r>
      <w:r>
        <w:rPr>
          <w:b/>
          <w:bCs/>
        </w:rPr>
        <w:t>VWR</w:t>
      </w:r>
      <w:r>
        <w:rPr/>
        <w:t xml:space="preserve"> # 12344-051</w:t>
      </w:r>
    </w:p>
    <w:p>
      <w:pPr>
        <w:pStyle w:val="Number11bodybullet"/>
        <w:rPr/>
      </w:pPr>
      <w:r>
        <w:rPr/>
        <w:tab/>
      </w:r>
      <w:r>
        <w:rPr>
          <w:rFonts w:eastAsia="Symbol" w:cs="Symbol" w:ascii="Symbol" w:hAnsi="Symbol"/>
        </w:rPr>
        <w:t></w:t>
      </w:r>
      <w:r>
        <w:rPr/>
        <w:tab/>
        <w:t xml:space="preserve">Water tubes for balancing the centrifuge, </w:t>
      </w:r>
      <w:r>
        <w:rPr>
          <w:b/>
          <w:bCs/>
        </w:rPr>
        <w:t>VWR # 21008-102</w:t>
      </w:r>
      <w:r>
        <w:rPr/>
        <w:t xml:space="preserve"> </w:t>
      </w:r>
    </w:p>
    <w:p>
      <w:pPr>
        <w:pStyle w:val="Number11bodybullet"/>
        <w:rPr/>
      </w:pPr>
      <w:r>
        <w:rPr/>
        <w:tab/>
      </w:r>
      <w:r>
        <w:rPr>
          <w:rFonts w:eastAsia="Symbol" w:cs="Symbol" w:ascii="Symbol" w:hAnsi="Symbol"/>
        </w:rPr>
        <w:t></w:t>
      </w:r>
      <w:r>
        <w:rPr/>
        <w:tab/>
        <w:t>Freezer (</w:t>
        <w:noBreakHyphen/>
        <w:t>70 C or colder)</w:t>
      </w:r>
    </w:p>
    <w:p>
      <w:pPr>
        <w:pStyle w:val="Number11bodybullet"/>
        <w:rPr/>
      </w:pPr>
      <w:r>
        <w:rPr/>
        <w:tab/>
      </w:r>
      <w:r>
        <w:rPr>
          <w:rFonts w:eastAsia="Symbol" w:cs="Symbol" w:ascii="Symbol" w:hAnsi="Symbol"/>
        </w:rPr>
        <w:t></w:t>
      </w:r>
      <w:r>
        <w:rPr/>
        <w:tab/>
        <w:t>Refrigerator for storage of special blood tubes, media, etc (can be a household fridge, should not be used to store food, from Sears or a similar store)</w:t>
      </w:r>
    </w:p>
    <w:p>
      <w:pPr>
        <w:pStyle w:val="Number11bodybullet"/>
        <w:rPr/>
      </w:pPr>
      <w:r>
        <w:rPr/>
        <w:tab/>
      </w:r>
      <w:r>
        <w:rPr>
          <w:rFonts w:eastAsia="Symbol" w:cs="Symbol" w:ascii="Symbol" w:hAnsi="Symbol"/>
        </w:rPr>
        <w:t></w:t>
      </w:r>
      <w:r>
        <w:rPr/>
        <w:tab/>
        <w:t>Test tube racks / cryovial racks (Simport # T315)</w:t>
      </w:r>
    </w:p>
    <w:p>
      <w:pPr>
        <w:pStyle w:val="Number11bodybullet"/>
        <w:rPr/>
      </w:pPr>
      <w:r>
        <w:rPr/>
        <w:tab/>
      </w:r>
      <w:r>
        <w:rPr>
          <w:rFonts w:eastAsia="Symbol" w:cs="Symbol" w:ascii="Symbol" w:hAnsi="Symbol"/>
        </w:rPr>
        <w:t></w:t>
      </w:r>
      <w:r>
        <w:rPr/>
        <w:tab/>
        <w:t>Fixed volume pipettes with tips (MLA) AND Regular adjustable pipettes (Rainin, Finn, etc) with tips.  Volumes needed to pipette: 225 ul, 0.5 ml, 1.0 ml (200 to 1000 ul), 3 to 5 ml, 9 ml, and 14 ml.</w:t>
      </w:r>
    </w:p>
    <w:p>
      <w:pPr>
        <w:pStyle w:val="Number11bodybullet"/>
        <w:rPr/>
      </w:pPr>
      <w:r>
        <w:rPr/>
        <w:tab/>
      </w:r>
      <w:r>
        <w:rPr>
          <w:rFonts w:eastAsia="Symbol" w:cs="Symbol" w:ascii="Symbol" w:hAnsi="Symbol"/>
        </w:rPr>
        <w:t></w:t>
      </w:r>
      <w:r>
        <w:rPr/>
        <w:tab/>
        <w:t xml:space="preserve">Graduated cylinder, </w:t>
      </w:r>
      <w:r>
        <w:rPr>
          <w:b/>
          <w:bCs/>
        </w:rPr>
        <w:t>Lab Safety</w:t>
      </w:r>
      <w:r>
        <w:rPr/>
        <w:t xml:space="preserve">  25 ml Nalgene 9A-22763 </w:t>
      </w:r>
    </w:p>
    <w:p>
      <w:pPr>
        <w:pStyle w:val="Number11bodybullet"/>
        <w:rPr/>
      </w:pPr>
      <w:r>
        <w:rPr/>
        <w:tab/>
      </w:r>
      <w:r>
        <w:rPr>
          <w:rFonts w:eastAsia="Symbol" w:cs="Symbol" w:ascii="Symbol" w:hAnsi="Symbol"/>
        </w:rPr>
        <w:t></w:t>
      </w:r>
      <w:r>
        <w:rPr/>
        <w:tab/>
        <w:t>Blood tube rocker  (Thermolyne Labquake Tube Shakers C400-110)</w:t>
      </w:r>
    </w:p>
    <w:p>
      <w:pPr>
        <w:pStyle w:val="Number11bodybullet"/>
        <w:rPr/>
      </w:pPr>
      <w:r>
        <w:rPr/>
        <w:tab/>
      </w:r>
      <w:r>
        <w:rPr>
          <w:rFonts w:eastAsia="Symbol" w:cs="Symbol" w:ascii="Symbol" w:hAnsi="Symbol"/>
        </w:rPr>
        <w:t></w:t>
      </w:r>
      <w:r>
        <w:rPr/>
        <w:tab/>
        <w:t xml:space="preserve">Blood tube racks, </w:t>
      </w:r>
      <w:r>
        <w:rPr>
          <w:b/>
          <w:bCs/>
        </w:rPr>
        <w:t>Fisher Scientific</w:t>
      </w:r>
      <w:r>
        <w:rPr/>
        <w:t xml:space="preserve"> # 60914764 </w:t>
      </w:r>
    </w:p>
    <w:p>
      <w:pPr>
        <w:pStyle w:val="Number11bodybullet"/>
        <w:rPr/>
      </w:pPr>
      <w:r>
        <w:rPr/>
        <w:tab/>
      </w:r>
      <w:r>
        <w:rPr>
          <w:rFonts w:eastAsia="Symbol" w:cs="Symbol" w:ascii="Symbol" w:hAnsi="Symbol"/>
        </w:rPr>
        <w:t></w:t>
      </w:r>
      <w:r>
        <w:rPr/>
        <w:tab/>
        <w:t xml:space="preserve">Stopwatches or timers, </w:t>
      </w:r>
      <w:r>
        <w:rPr>
          <w:b/>
          <w:bCs/>
        </w:rPr>
        <w:t>VWR</w:t>
      </w:r>
      <w:r>
        <w:rPr/>
        <w:t xml:space="preserve"> # 62344-756</w:t>
      </w:r>
    </w:p>
    <w:p>
      <w:pPr>
        <w:pStyle w:val="Number11bodybullet"/>
        <w:rPr/>
      </w:pPr>
      <w:r>
        <w:rPr/>
      </w:r>
    </w:p>
    <w:p>
      <w:pPr>
        <w:pStyle w:val="Number11"/>
        <w:rPr/>
      </w:pPr>
      <w:r>
        <w:rPr/>
        <w:tab/>
        <w:t>1.233</w:t>
        <w:tab/>
        <w:t>Other Equipment</w:t>
      </w:r>
    </w:p>
    <w:p>
      <w:pPr>
        <w:pStyle w:val="Number11bodybullet"/>
        <w:rPr/>
      </w:pPr>
      <w:r>
        <w:rPr/>
      </w:r>
    </w:p>
    <w:p>
      <w:pPr>
        <w:pStyle w:val="Number11bodybullet"/>
        <w:rPr/>
      </w:pPr>
      <w:r>
        <w:rPr/>
        <w:tab/>
      </w:r>
      <w:r>
        <w:rPr>
          <w:rFonts w:eastAsia="Symbol" w:cs="Symbol" w:ascii="Symbol" w:hAnsi="Symbol"/>
        </w:rPr>
        <w:t></w:t>
      </w:r>
      <w:r>
        <w:rPr/>
        <w:tab/>
        <w:t>Refrigerator for storing food (i.e., a household fridge, should not be used to store blood samples or chemicals, can be ordered from Sears or a similar store)</w:t>
      </w:r>
    </w:p>
    <w:p>
      <w:pPr>
        <w:pStyle w:val="Number11bodybullet"/>
        <w:rPr/>
      </w:pPr>
      <w:r>
        <w:rPr/>
        <w:tab/>
      </w:r>
      <w:r>
        <w:rPr>
          <w:rFonts w:eastAsia="Symbol" w:cs="Symbol" w:ascii="Symbol" w:hAnsi="Symbol"/>
        </w:rPr>
        <w:t></w:t>
      </w:r>
      <w:r>
        <w:rPr/>
        <w:tab/>
        <w:t xml:space="preserve">Ice machine, </w:t>
      </w:r>
      <w:r>
        <w:rPr>
          <w:b/>
          <w:bCs/>
        </w:rPr>
        <w:t>Ice Machine Sales Service</w:t>
      </w:r>
      <w:r>
        <w:rPr/>
        <w:t xml:space="preserve"> # 351-FAV-161</w:t>
      </w:r>
    </w:p>
    <w:p>
      <w:pPr>
        <w:pStyle w:val="Number11bodybullet"/>
        <w:rPr/>
      </w:pPr>
      <w:r>
        <w:rPr/>
        <w:tab/>
      </w:r>
      <w:r>
        <w:rPr>
          <w:rFonts w:eastAsia="Symbol" w:cs="Symbol" w:ascii="Symbol" w:hAnsi="Symbol"/>
        </w:rPr>
        <w:t></w:t>
      </w:r>
      <w:r>
        <w:rPr/>
        <w:tab/>
        <w:t>Sharps containers (wall mounted and table</w:t>
        <w:noBreakHyphen/>
        <w:t xml:space="preserve">top) , sharps disposal </w:t>
      </w:r>
      <w:r>
        <w:rPr>
          <w:b/>
          <w:bCs/>
        </w:rPr>
        <w:t>Lab safety</w:t>
      </w:r>
      <w:r>
        <w:rPr/>
        <w:t xml:space="preserve"> # 9A-25703</w:t>
      </w:r>
    </w:p>
    <w:p>
      <w:pPr>
        <w:pStyle w:val="Number11bodybullet"/>
        <w:rPr/>
      </w:pPr>
      <w:r>
        <w:rPr/>
        <w:tab/>
      </w:r>
      <w:r>
        <w:rPr>
          <w:rFonts w:eastAsia="Symbol" w:cs="Symbol" w:ascii="Symbol" w:hAnsi="Symbol"/>
        </w:rPr>
        <w:t></w:t>
      </w:r>
      <w:r>
        <w:rPr/>
        <w:tab/>
        <w:t xml:space="preserve">Biohazard waste containers – </w:t>
      </w:r>
      <w:r>
        <w:rPr>
          <w:b/>
          <w:bCs/>
        </w:rPr>
        <w:t>Lab Safety Supply</w:t>
      </w:r>
      <w:r>
        <w:rPr/>
        <w:t xml:space="preserve"> # 6 gallon container - # 9A-29190</w:t>
      </w:r>
    </w:p>
    <w:p>
      <w:pPr>
        <w:pStyle w:val="Number11bodybullet"/>
        <w:rPr/>
      </w:pPr>
      <w:r>
        <w:rPr/>
        <w:tab/>
      </w:r>
      <w:r>
        <w:rPr>
          <w:rFonts w:eastAsia="Symbol" w:cs="Symbol" w:ascii="Symbol" w:hAnsi="Symbol"/>
        </w:rPr>
        <w:t></w:t>
      </w:r>
      <w:r>
        <w:rPr/>
        <w:tab/>
        <w:t xml:space="preserve">Emergency eye wash station – </w:t>
      </w:r>
      <w:r>
        <w:rPr>
          <w:b/>
          <w:bCs/>
        </w:rPr>
        <w:t>Lab Safety Supply</w:t>
      </w:r>
      <w:r>
        <w:rPr/>
        <w:t xml:space="preserve"> # 9A-2121S</w:t>
      </w:r>
    </w:p>
    <w:p>
      <w:pPr>
        <w:pStyle w:val="Number11bodybullet"/>
        <w:rPr/>
      </w:pPr>
      <w:r>
        <w:rPr/>
        <w:tab/>
      </w:r>
      <w:r>
        <w:rPr>
          <w:rFonts w:eastAsia="Symbol" w:cs="Symbol" w:ascii="Symbol" w:hAnsi="Symbol"/>
        </w:rPr>
        <w:t></w:t>
      </w:r>
      <w:r>
        <w:rPr/>
        <w:tab/>
        <w:t xml:space="preserve">Personal protective equipment for phlebotomy and processing face shield, </w:t>
      </w:r>
      <w:r>
        <w:rPr>
          <w:b/>
          <w:bCs/>
        </w:rPr>
        <w:t>Lab safety</w:t>
      </w:r>
      <w:r>
        <w:rPr/>
        <w:t xml:space="preserve"> # 9A-1402, splash shields, other Personal Protective Equipment as needed.</w:t>
      </w:r>
    </w:p>
    <w:p>
      <w:pPr>
        <w:pStyle w:val="Number11bodybullet"/>
        <w:rPr>
          <w:rFonts w:ascii="Arial;Arial" w:hAnsi="Arial;Arial" w:cs="Arial;Arial"/>
          <w:sz w:val="22"/>
          <w:szCs w:val="22"/>
        </w:rPr>
      </w:pPr>
      <w:r>
        <w:rPr>
          <w:rFonts w:cs="Arial;Arial" w:ascii="Arial;Arial" w:hAnsi="Arial;Arial"/>
          <w:sz w:val="22"/>
          <w:szCs w:val="22"/>
        </w:rPr>
      </w:r>
    </w:p>
    <w:p>
      <w:pPr>
        <w:pStyle w:val="Number11"/>
        <w:rPr/>
      </w:pPr>
      <w:r>
        <w:rPr/>
        <w:tab/>
        <w:t>1.234</w:t>
        <w:tab/>
        <w:t xml:space="preserve">Examination Supplies </w:t>
      </w:r>
    </w:p>
    <w:p>
      <w:pPr>
        <w:pStyle w:val="Number11"/>
        <w:rPr/>
      </w:pPr>
      <w:r>
        <w:rPr/>
      </w:r>
    </w:p>
    <w:p>
      <w:pPr>
        <w:pStyle w:val="Number11bodybullet"/>
        <w:rPr/>
      </w:pPr>
      <w:r>
        <w:rPr/>
        <w:tab/>
      </w:r>
      <w:r>
        <w:rPr>
          <w:rFonts w:eastAsia="Symbol" w:cs="Symbol" w:ascii="Symbol" w:hAnsi="Symbol"/>
        </w:rPr>
        <w:t></w:t>
      </w:r>
      <w:r>
        <w:rPr/>
        <w:tab/>
        <w:t xml:space="preserve">Disposable ECG electrodes (Unitrace blue heart electrode, </w:t>
      </w:r>
      <w:r>
        <w:rPr>
          <w:b/>
          <w:bCs/>
        </w:rPr>
        <w:t>United Medical Supply Corp</w:t>
      </w:r>
      <w:r>
        <w:rPr/>
        <w:t xml:space="preserve">) </w:t>
      </w:r>
    </w:p>
    <w:p>
      <w:pPr>
        <w:pStyle w:val="Number11bodybullet"/>
        <w:rPr/>
      </w:pPr>
      <w:r>
        <w:rPr/>
        <w:tab/>
      </w:r>
      <w:r>
        <w:rPr>
          <w:rFonts w:eastAsia="Symbol" w:cs="Symbol" w:ascii="Symbol" w:hAnsi="Symbol"/>
        </w:rPr>
        <w:t></w:t>
      </w:r>
      <w:r>
        <w:rPr/>
        <w:tab/>
        <w:t xml:space="preserve">Single use thermometers, </w:t>
      </w:r>
      <w:r>
        <w:rPr>
          <w:b/>
          <w:bCs/>
        </w:rPr>
        <w:t>Mckesson General Medical</w:t>
      </w:r>
      <w:r>
        <w:rPr/>
        <w:t xml:space="preserve"> # 5122</w:t>
      </w:r>
    </w:p>
    <w:p>
      <w:pPr>
        <w:pStyle w:val="Number11bodybullet"/>
        <w:rPr/>
      </w:pPr>
      <w:r>
        <w:rPr/>
        <w:tab/>
      </w:r>
      <w:r>
        <w:rPr>
          <w:rFonts w:eastAsia="Symbol" w:cs="Symbol" w:ascii="Symbol" w:hAnsi="Symbol"/>
        </w:rPr>
        <w:t></w:t>
      </w:r>
      <w:r>
        <w:rPr/>
        <w:tab/>
        <w:t xml:space="preserve">Ultrasound transmission gel, </w:t>
      </w:r>
      <w:r>
        <w:rPr>
          <w:b/>
          <w:bCs/>
        </w:rPr>
        <w:t>DE Hokanson</w:t>
      </w:r>
      <w:r>
        <w:rPr/>
        <w:t xml:space="preserve"> </w:t>
      </w:r>
      <w:r>
        <w:rPr>
          <w:b/>
          <w:bCs/>
        </w:rPr>
        <w:t>Inc</w:t>
      </w:r>
      <w:r>
        <w:rPr/>
        <w:t xml:space="preserve"> (Ultrasonic gel – 5 galon container) </w:t>
      </w:r>
    </w:p>
    <w:p>
      <w:pPr>
        <w:pStyle w:val="Number11bodybullet"/>
        <w:rPr/>
      </w:pPr>
      <w:r>
        <w:rPr/>
        <w:tab/>
      </w:r>
      <w:r>
        <w:rPr>
          <w:rFonts w:eastAsia="Symbol" w:cs="Symbol" w:ascii="Symbol" w:hAnsi="Symbol"/>
        </w:rPr>
        <w:t></w:t>
      </w:r>
      <w:r>
        <w:rPr/>
        <w:tab/>
        <w:t xml:space="preserve">Gloves (latex, vinyl, or others, any vendor, e.g., </w:t>
      </w:r>
      <w:r>
        <w:rPr>
          <w:b/>
          <w:bCs/>
        </w:rPr>
        <w:t>Mckesson General Medical</w:t>
      </w:r>
      <w:r>
        <w:rPr/>
        <w:t>)</w:t>
      </w:r>
    </w:p>
    <w:p>
      <w:pPr>
        <w:pStyle w:val="Number11bodybullet"/>
        <w:rPr/>
      </w:pPr>
      <w:r>
        <w:rPr/>
        <w:tab/>
      </w:r>
      <w:r>
        <w:rPr>
          <w:rFonts w:eastAsia="Symbol" w:cs="Symbol" w:ascii="Symbol" w:hAnsi="Symbol"/>
        </w:rPr>
        <w:t></w:t>
      </w:r>
      <w:r>
        <w:rPr/>
        <w:tab/>
        <w:t>Kim wipes (</w:t>
      </w:r>
      <w:r>
        <w:rPr>
          <w:b/>
          <w:bCs/>
        </w:rPr>
        <w:t>Lab Safety 9A-22394)</w:t>
      </w:r>
    </w:p>
    <w:p>
      <w:pPr>
        <w:pStyle w:val="Number11bodybullet"/>
        <w:rPr/>
      </w:pPr>
      <w:r>
        <w:rPr/>
        <w:tab/>
      </w:r>
      <w:r>
        <w:rPr>
          <w:rFonts w:eastAsia="Symbol" w:cs="Symbol" w:ascii="Symbol" w:hAnsi="Symbol"/>
        </w:rPr>
        <w:t></w:t>
      </w:r>
      <w:r>
        <w:rPr/>
        <w:tab/>
        <w:t xml:space="preserve">Pregnancy test kit , </w:t>
      </w:r>
      <w:r>
        <w:rPr>
          <w:b/>
          <w:bCs/>
        </w:rPr>
        <w:t>Mckesson General Medical</w:t>
      </w:r>
      <w:r>
        <w:rPr/>
        <w:t xml:space="preserve"> # ICON II HCG Beckman Coulter # 4135  </w:t>
      </w:r>
    </w:p>
    <w:p>
      <w:pPr>
        <w:pStyle w:val="Number11bodybullet"/>
        <w:rPr/>
      </w:pPr>
      <w:r>
        <w:rPr/>
        <w:tab/>
      </w:r>
      <w:r>
        <w:rPr>
          <w:rFonts w:eastAsia="Symbol" w:cs="Symbol" w:ascii="Symbol" w:hAnsi="Symbol"/>
        </w:rPr>
        <w:t></w:t>
      </w:r>
      <w:r>
        <w:rPr/>
        <w:tab/>
        <w:t>Peel</w:t>
        <w:noBreakHyphen/>
        <w:t>off china marker (</w:t>
      </w:r>
      <w:r>
        <w:rPr>
          <w:b/>
          <w:bCs/>
        </w:rPr>
        <w:t>local book store</w:t>
      </w:r>
      <w:r>
        <w:rPr/>
        <w:t>)</w:t>
      </w:r>
    </w:p>
    <w:p>
      <w:pPr>
        <w:pStyle w:val="Number11bodybullet"/>
        <w:rPr/>
      </w:pPr>
      <w:r>
        <w:rPr/>
      </w:r>
    </w:p>
    <w:p>
      <w:pPr>
        <w:pStyle w:val="Number11"/>
        <w:rPr/>
      </w:pPr>
      <w:r>
        <w:rPr/>
        <w:tab/>
        <w:t>1.235</w:t>
        <w:tab/>
        <w:t>Phlebotomy and Laboratory Supplies</w:t>
      </w:r>
    </w:p>
    <w:p>
      <w:pPr>
        <w:pStyle w:val="Normal"/>
        <w:widowControl/>
        <w:jc w:val="both"/>
        <w:rPr>
          <w:rFonts w:ascii="Arial;Arial" w:hAnsi="Arial;Arial" w:cs="Arial;Arial"/>
          <w:sz w:val="22"/>
          <w:szCs w:val="22"/>
        </w:rPr>
      </w:pPr>
      <w:r>
        <w:rPr>
          <w:rFonts w:cs="Arial;Arial" w:ascii="Arial;Arial" w:hAnsi="Arial;Arial"/>
          <w:sz w:val="22"/>
          <w:szCs w:val="22"/>
        </w:rPr>
      </w:r>
    </w:p>
    <w:p>
      <w:pPr>
        <w:pStyle w:val="Number11bodybullet"/>
        <w:rPr/>
      </w:pPr>
      <w:r>
        <w:rPr/>
        <w:tab/>
      </w:r>
      <w:r>
        <w:rPr>
          <w:rFonts w:eastAsia="Symbol" w:cs="Symbol" w:ascii="Symbol" w:hAnsi="Symbol"/>
        </w:rPr>
        <w:t></w:t>
      </w:r>
      <w:r>
        <w:rPr/>
        <w:tab/>
        <w:t>Butterfly needles (21 G) with luer adapter  (Beckon-Dickinson # BD7251)</w:t>
      </w:r>
    </w:p>
    <w:p>
      <w:pPr>
        <w:pStyle w:val="Number11bodybullet"/>
        <w:rPr/>
      </w:pPr>
      <w:r>
        <w:rPr/>
        <w:tab/>
      </w:r>
      <w:r>
        <w:rPr>
          <w:rFonts w:eastAsia="Symbol" w:cs="Symbol" w:ascii="Symbol" w:hAnsi="Symbol"/>
        </w:rPr>
        <w:t></w:t>
      </w:r>
      <w:r>
        <w:rPr/>
        <w:tab/>
        <w:t>Vacutainer barrels  (Beckon-Dickinson #364893)</w:t>
      </w:r>
    </w:p>
    <w:p>
      <w:pPr>
        <w:pStyle w:val="Number11bodybullet"/>
        <w:rPr/>
      </w:pPr>
      <w:r>
        <w:rPr/>
        <w:tab/>
      </w:r>
      <w:r>
        <w:rPr>
          <w:rFonts w:eastAsia="Symbol" w:cs="Symbol" w:ascii="Symbol" w:hAnsi="Symbol"/>
        </w:rPr>
        <w:t></w:t>
      </w:r>
      <w:r>
        <w:rPr/>
        <w:tab/>
        <w:t>Tourniquets #CK1126</w:t>
      </w:r>
    </w:p>
    <w:p>
      <w:pPr>
        <w:pStyle w:val="Number11bodybullet"/>
        <w:rPr/>
      </w:pPr>
      <w:r>
        <w:rPr/>
        <w:tab/>
      </w:r>
      <w:r>
        <w:rPr>
          <w:rFonts w:eastAsia="Symbol" w:cs="Symbol" w:ascii="Symbol" w:hAnsi="Symbol"/>
        </w:rPr>
        <w:t></w:t>
      </w:r>
      <w:r>
        <w:rPr/>
        <w:tab/>
        <w:t>Alcohol prep pads # 10-3001</w:t>
      </w:r>
    </w:p>
    <w:p>
      <w:pPr>
        <w:pStyle w:val="Number11bodybullet"/>
        <w:rPr/>
      </w:pPr>
      <w:r>
        <w:rPr/>
        <w:tab/>
      </w:r>
      <w:r>
        <w:rPr>
          <w:rFonts w:eastAsia="Symbol" w:cs="Symbol" w:ascii="Symbol" w:hAnsi="Symbol"/>
        </w:rPr>
        <w:t></w:t>
      </w:r>
      <w:r>
        <w:rPr/>
        <w:tab/>
        <w:t>Gauze (2x2) Kendall # 1806</w:t>
      </w:r>
    </w:p>
    <w:p>
      <w:pPr>
        <w:pStyle w:val="Number11bodybullet"/>
        <w:rPr/>
      </w:pPr>
      <w:r>
        <w:rPr/>
        <w:tab/>
      </w:r>
      <w:r>
        <w:rPr>
          <w:rFonts w:eastAsia="Symbol" w:cs="Symbol" w:ascii="Symbol" w:hAnsi="Symbol"/>
        </w:rPr>
        <w:t></w:t>
      </w:r>
      <w:r>
        <w:rPr/>
        <w:tab/>
        <w:t>Surgical tape - paper tape 3 M durapore</w:t>
      </w:r>
    </w:p>
    <w:p>
      <w:pPr>
        <w:pStyle w:val="Number11bodybullet"/>
        <w:rPr/>
      </w:pPr>
      <w:r>
        <w:rPr/>
        <w:tab/>
      </w:r>
      <w:r>
        <w:rPr>
          <w:rFonts w:eastAsia="Symbol" w:cs="Symbol" w:ascii="Symbol" w:hAnsi="Symbol"/>
        </w:rPr>
        <w:t></w:t>
      </w:r>
      <w:r>
        <w:rPr/>
        <w:tab/>
        <w:t>Band</w:t>
        <w:noBreakHyphen/>
        <w:t>aids (first –aid) # 1290033</w:t>
      </w:r>
    </w:p>
    <w:p>
      <w:pPr>
        <w:pStyle w:val="Number11bodybullet"/>
        <w:rPr/>
      </w:pPr>
      <w:r>
        <w:rPr/>
        <w:tab/>
      </w:r>
      <w:r>
        <w:rPr>
          <w:rFonts w:eastAsia="Symbol" w:cs="Symbol" w:ascii="Symbol" w:hAnsi="Symbol"/>
        </w:rPr>
        <w:t></w:t>
      </w:r>
      <w:r>
        <w:rPr/>
        <w:tab/>
        <w:t>Blood collection tubes :</w:t>
      </w:r>
    </w:p>
    <w:p>
      <w:pPr>
        <w:pStyle w:val="Normal"/>
        <w:widowControl/>
        <w:ind w:left="1710" w:hanging="0"/>
        <w:jc w:val="both"/>
        <w:rPr>
          <w:szCs w:val="22"/>
        </w:rPr>
      </w:pPr>
      <w:r>
        <w:rPr>
          <w:szCs w:val="22"/>
        </w:rPr>
        <w:t>- 10 ml Serum (red-top) tubes (Beckon-Dickinson # 366430)</w:t>
      </w:r>
    </w:p>
    <w:p>
      <w:pPr>
        <w:pStyle w:val="Normal"/>
        <w:widowControl/>
        <w:ind w:left="1710" w:hanging="0"/>
        <w:jc w:val="both"/>
        <w:rPr>
          <w:szCs w:val="22"/>
        </w:rPr>
      </w:pPr>
      <w:r>
        <w:rPr>
          <w:szCs w:val="22"/>
        </w:rPr>
        <w:t>- 10 ml EDTA (purple-top) tubes (Beckon-Dickinson# 366475)</w:t>
      </w:r>
    </w:p>
    <w:p>
      <w:pPr>
        <w:pStyle w:val="Normal"/>
        <w:widowControl/>
        <w:ind w:left="1710" w:hanging="0"/>
        <w:jc w:val="both"/>
        <w:rPr>
          <w:rFonts w:ascii="Arial;Arial" w:hAnsi="Arial;Arial" w:cs="Arial;Arial"/>
          <w:sz w:val="22"/>
          <w:szCs w:val="22"/>
        </w:rPr>
      </w:pPr>
      <w:r>
        <w:rPr>
          <w:szCs w:val="22"/>
        </w:rPr>
        <w:t>- 4.5 ml Citrate (blue-top) tubes (Beckon-Dickinson# 366415)</w:t>
      </w:r>
    </w:p>
    <w:p>
      <w:pPr>
        <w:pStyle w:val="Number11bodybullet"/>
        <w:rPr/>
      </w:pPr>
      <w:r>
        <w:rPr/>
        <w:tab/>
      </w:r>
      <w:r>
        <w:rPr>
          <w:rFonts w:eastAsia="Symbol" w:cs="Symbol" w:ascii="Symbol" w:hAnsi="Symbol"/>
        </w:rPr>
        <w:t></w:t>
      </w:r>
      <w:r>
        <w:rPr/>
        <w:tab/>
        <w:t>Polypropylene (or polystyrene) disposable test tubes (10-15 mL) for pooling samples</w:t>
      </w:r>
    </w:p>
    <w:p>
      <w:pPr>
        <w:pStyle w:val="Number11bodybullet"/>
        <w:rPr/>
      </w:pPr>
      <w:r>
        <w:rPr/>
        <w:tab/>
      </w:r>
      <w:r>
        <w:rPr>
          <w:rFonts w:eastAsia="Symbol" w:cs="Symbol" w:ascii="Symbol" w:hAnsi="Symbol"/>
        </w:rPr>
        <w:t></w:t>
      </w:r>
      <w:r>
        <w:rPr/>
        <w:tab/>
        <w:t xml:space="preserve">Urine specimen collection materials (Sage Commode Specimen &amp; Measuring System #2500 for females, standard urine cup for males), </w:t>
      </w:r>
      <w:r>
        <w:rPr>
          <w:b/>
          <w:bCs/>
        </w:rPr>
        <w:t>Sarstedt</w:t>
      </w:r>
      <w:r>
        <w:rPr/>
        <w:t xml:space="preserve"> # 75-562-105</w:t>
      </w:r>
    </w:p>
    <w:p>
      <w:pPr>
        <w:pStyle w:val="Number11bodybullet"/>
        <w:rPr/>
      </w:pPr>
      <w:r>
        <w:rPr/>
        <w:tab/>
      </w:r>
      <w:r>
        <w:rPr>
          <w:rFonts w:eastAsia="Symbol" w:cs="Symbol" w:ascii="Symbol" w:hAnsi="Symbol"/>
        </w:rPr>
        <w:t></w:t>
      </w:r>
      <w:r>
        <w:rPr/>
        <w:tab/>
        <w:t>Revco Boxes and dividers (10 x 10 and 7 x 7 grids) (Revco box # 5954 with Revco 10x10 grid # 5958, Revco box # 5956 with Revco 7x7 grid# 5959)</w:t>
      </w:r>
    </w:p>
    <w:p>
      <w:pPr>
        <w:pStyle w:val="Number11bodybullet"/>
        <w:rPr/>
      </w:pPr>
      <w:r>
        <w:rPr/>
        <w:tab/>
      </w:r>
      <w:r>
        <w:rPr>
          <w:rFonts w:eastAsia="Symbol" w:cs="Symbol" w:ascii="Symbol" w:hAnsi="Symbol"/>
        </w:rPr>
        <w:t></w:t>
      </w:r>
      <w:r>
        <w:rPr/>
        <w:tab/>
        <w:t xml:space="preserve"> Isopropyl alcohol</w:t>
      </w:r>
    </w:p>
    <w:p>
      <w:pPr>
        <w:pStyle w:val="Number11bodybullet"/>
        <w:rPr/>
      </w:pPr>
      <w:r>
        <w:rPr/>
        <w:tab/>
      </w:r>
      <w:r>
        <w:rPr>
          <w:rFonts w:eastAsia="Symbol" w:cs="Symbol" w:ascii="Symbol" w:hAnsi="Symbol"/>
        </w:rPr>
        <w:t></w:t>
      </w:r>
      <w:r>
        <w:rPr/>
        <w:tab/>
        <w:t>Distilled water (</w:t>
      </w:r>
      <w:r>
        <w:rPr>
          <w:b/>
          <w:bCs/>
        </w:rPr>
        <w:t>local vendor</w:t>
      </w:r>
      <w:r>
        <w:rPr/>
        <w:t>)</w:t>
      </w:r>
    </w:p>
    <w:p>
      <w:pPr>
        <w:pStyle w:val="Number11bodybullet"/>
        <w:rPr/>
      </w:pPr>
      <w:r>
        <w:rPr/>
        <w:tab/>
      </w:r>
      <w:r>
        <w:rPr>
          <w:rFonts w:eastAsia="Symbol" w:cs="Symbol" w:ascii="Symbol" w:hAnsi="Symbol"/>
        </w:rPr>
        <w:t></w:t>
      </w:r>
      <w:r>
        <w:rPr/>
        <w:tab/>
        <w:t>10% bleach solution (or approved biohazard disinfectant)</w:t>
      </w:r>
    </w:p>
    <w:p>
      <w:pPr>
        <w:pStyle w:val="Number11bodybullet"/>
        <w:rPr/>
      </w:pPr>
      <w:r>
        <w:rPr/>
      </w:r>
    </w:p>
    <w:p>
      <w:pPr>
        <w:pStyle w:val="Number11"/>
        <w:rPr/>
      </w:pPr>
      <w:r>
        <w:rPr/>
        <w:tab/>
        <w:t>1.236</w:t>
        <w:tab/>
        <w:t xml:space="preserve">Shipping Supplies </w:t>
      </w:r>
    </w:p>
    <w:p>
      <w:pPr>
        <w:pStyle w:val="Number11"/>
        <w:rPr/>
      </w:pPr>
      <w:r>
        <w:rPr/>
      </w:r>
    </w:p>
    <w:p>
      <w:pPr>
        <w:pStyle w:val="Number11bodybullet"/>
        <w:rPr/>
      </w:pPr>
      <w:r>
        <w:rPr/>
        <w:tab/>
      </w:r>
      <w:r>
        <w:rPr>
          <w:rFonts w:eastAsia="Symbol" w:cs="Symbol" w:ascii="Symbol" w:hAnsi="Symbol"/>
        </w:rPr>
        <w:t></w:t>
      </w:r>
      <w:r>
        <w:rPr/>
        <w:tab/>
        <w:t>Styrofoam/insulated boxes (Polyfoam Packer # 355-CS for frozen shipments, #33- 12KD for refrigerated shipments)</w:t>
      </w:r>
    </w:p>
    <w:p>
      <w:pPr>
        <w:pStyle w:val="Number11bodybullet"/>
        <w:rPr/>
      </w:pPr>
      <w:r>
        <w:rPr/>
        <w:tab/>
      </w:r>
      <w:r>
        <w:rPr>
          <w:rFonts w:eastAsia="Symbol" w:cs="Symbol" w:ascii="Symbol" w:hAnsi="Symbol"/>
        </w:rPr>
        <w:t></w:t>
      </w:r>
      <w:r>
        <w:rPr/>
        <w:tab/>
        <w:t xml:space="preserve">Ziplock bags for freezer boxes, </w:t>
      </w:r>
      <w:r>
        <w:rPr>
          <w:b/>
          <w:bCs/>
        </w:rPr>
        <w:t xml:space="preserve">Health care logistics </w:t>
      </w:r>
    </w:p>
    <w:p>
      <w:pPr>
        <w:pStyle w:val="Number11bodybullet"/>
        <w:rPr/>
      </w:pPr>
      <w:r>
        <w:rPr/>
        <w:tab/>
      </w:r>
      <w:r>
        <w:rPr>
          <w:rFonts w:eastAsia="Symbol" w:cs="Symbol" w:ascii="Symbol" w:hAnsi="Symbol"/>
        </w:rPr>
        <w:t></w:t>
      </w:r>
      <w:r>
        <w:rPr/>
        <w:tab/>
        <w:t xml:space="preserve">Dry ice </w:t>
      </w:r>
    </w:p>
    <w:p>
      <w:pPr>
        <w:pStyle w:val="Number11bodybullet"/>
        <w:rPr/>
      </w:pPr>
      <w:r>
        <w:rPr/>
        <w:tab/>
      </w:r>
      <w:r>
        <w:rPr>
          <w:rFonts w:eastAsia="Symbol" w:cs="Symbol" w:ascii="Symbol" w:hAnsi="Symbol"/>
        </w:rPr>
        <w:t></w:t>
      </w:r>
      <w:r>
        <w:rPr/>
        <w:tab/>
        <w:t>Ice (gel) packs (U-Tek Refrigerant VWR# 15715-105)</w:t>
      </w:r>
    </w:p>
    <w:p>
      <w:pPr>
        <w:pStyle w:val="Number11bodybullet"/>
        <w:rPr/>
      </w:pPr>
      <w:r>
        <w:rPr/>
        <w:tab/>
      </w:r>
      <w:r>
        <w:rPr>
          <w:rFonts w:eastAsia="Symbol" w:cs="Symbol" w:ascii="Symbol" w:hAnsi="Symbol"/>
        </w:rPr>
        <w:t></w:t>
      </w:r>
      <w:r>
        <w:rPr/>
        <w:tab/>
        <w:t>Absorbent material (old newspaper or paper towels) for layering between dry ice</w:t>
      </w:r>
    </w:p>
    <w:p>
      <w:pPr>
        <w:pStyle w:val="Number11bodybullet"/>
        <w:rPr/>
      </w:pPr>
      <w:r>
        <w:rPr/>
        <w:tab/>
      </w:r>
      <w:r>
        <w:rPr>
          <w:rFonts w:eastAsia="Symbol" w:cs="Symbol" w:ascii="Symbol" w:hAnsi="Symbol"/>
        </w:rPr>
        <w:t></w:t>
      </w:r>
      <w:r>
        <w:rPr/>
        <w:tab/>
        <w:t>elastic bands for freezer boxes (</w:t>
      </w:r>
      <w:r>
        <w:rPr>
          <w:b/>
          <w:bCs/>
        </w:rPr>
        <w:t>local vendor</w:t>
      </w:r>
      <w:r>
        <w:rPr/>
        <w:t>)</w:t>
      </w:r>
    </w:p>
    <w:p>
      <w:pPr>
        <w:pStyle w:val="Number11bodybullet"/>
        <w:rPr/>
      </w:pPr>
      <w:r>
        <w:rPr/>
        <w:tab/>
      </w:r>
      <w:r>
        <w:rPr>
          <w:rFonts w:eastAsia="Symbol" w:cs="Symbol" w:ascii="Symbol" w:hAnsi="Symbol"/>
        </w:rPr>
        <w:t></w:t>
      </w:r>
      <w:r>
        <w:rPr/>
        <w:tab/>
        <w:t>Packing tape</w:t>
      </w:r>
    </w:p>
    <w:p>
      <w:pPr>
        <w:pStyle w:val="Normal"/>
        <w:widowControl/>
        <w:jc w:val="both"/>
        <w:rPr>
          <w:rFonts w:ascii="Arial;Arial" w:hAnsi="Arial;Arial" w:cs="Arial;Arial"/>
          <w:sz w:val="22"/>
          <w:szCs w:val="22"/>
        </w:rPr>
      </w:pPr>
      <w:r>
        <w:rPr>
          <w:rFonts w:cs="Arial;Arial" w:ascii="Arial;Arial" w:hAnsi="Arial;Arial"/>
          <w:sz w:val="22"/>
          <w:szCs w:val="22"/>
        </w:rPr>
      </w:r>
    </w:p>
    <w:p>
      <w:pPr>
        <w:pStyle w:val="Number1"/>
        <w:rPr/>
      </w:pPr>
      <w:r>
        <w:rPr/>
        <w:tab/>
        <w:t>1.24</w:t>
        <w:tab/>
      </w:r>
      <w:r>
        <w:rPr>
          <w:u w:val="single"/>
        </w:rPr>
        <w:t>Vendors</w:t>
      </w:r>
    </w:p>
    <w:p>
      <w:pPr>
        <w:pStyle w:val="Number1"/>
        <w:rPr>
          <w:u w:val="single"/>
        </w:rPr>
      </w:pPr>
      <w:r>
        <w:rPr>
          <w:u w:val="single"/>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CRITIKON</w:t>
      </w:r>
      <w:r>
        <w:fldChar w:fldCharType="begin"/>
      </w:r>
      <w:r>
        <w:rPr/>
        <w:instrText xml:space="preserve"> TC "CRITICON" \l 1 </w:instrText>
      </w:r>
      <w:r>
        <w:rPr/>
        <w:fldChar w:fldCharType="separate"/>
      </w:r>
      <w:r>
        <w:rPr/>
      </w:r>
      <w:r>
        <w:rPr/>
        <w:fldChar w:fldCharType="end"/>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t>4502 Woodland Corporate Blvd</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t>Tampa, FL 33614</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rPr>
        <w:t>1-877-274-8456, extension 2235</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u w:val="single"/>
        </w:rPr>
        <w:t>HEALTH CARE LOGISTICS</w:t>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rPr>
      </w:pPr>
      <w:r>
        <w:rPr>
          <w:rFonts w:cs="Times New Roman;Times New Roman"/>
          <w:b/>
          <w:bCs/>
          <w:szCs w:val="22"/>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Circleville, OH 43113-0025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1-800-848-1633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1-800-447-2923 (FAX)</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LAB SAFETY</w:t>
      </w:r>
      <w:r>
        <w:fldChar w:fldCharType="begin"/>
      </w:r>
      <w:r>
        <w:rPr/>
        <w:instrText xml:space="preserve"> TC "LAB SAFETY"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1368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Jamesville , WI 53547-1368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1-800-356-0783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1-608-754-2345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1-800-393-2287 (FAX)</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NICOLET VASCULAR</w:t>
      </w:r>
      <w:r>
        <w:fldChar w:fldCharType="begin"/>
      </w:r>
      <w:r>
        <w:rPr/>
        <w:instrText xml:space="preserve"> TC "NICOLET VASCULAR"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6355 Joyce Dr.</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Golden, CO 80403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1-800-982-6525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1-303-431-9400</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VWR</w:t>
      </w:r>
      <w:r>
        <w:fldChar w:fldCharType="begin"/>
      </w:r>
      <w:r>
        <w:rPr/>
        <w:instrText xml:space="preserve"> TC "VWR" \l 1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ab/>
        <w:tab/>
        <w:tab/>
      </w:r>
      <w:r>
        <w:rPr>
          <w:bCs/>
          <w:szCs w:val="22"/>
          <w:u w:val="single"/>
        </w:rPr>
        <w:t>MAILING:</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3745 Bayshore Blvd</w:t>
        <w:tab/>
        <w:tab/>
        <w:tab/>
        <w:t>P.O. Box 7900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Brisbane, CA 94005</w:t>
        <w:tab/>
        <w:tab/>
        <w:tab/>
        <w:t>San Francisco, CA 94120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1-800-999-4897</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FISCHER</w:t>
      </w:r>
      <w:r>
        <w:fldChar w:fldCharType="begin"/>
      </w:r>
      <w:r>
        <w:rPr/>
        <w:instrText xml:space="preserve"> TC "FISCHER" \l 1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Heading2"/>
        <w:keepLines/>
        <w:tabs>
          <w:tab w:val="clear" w:pos="576"/>
          <w:tab w:val="left" w:pos="2040" w:leader="none"/>
          <w:tab w:val="left" w:pos="2880" w:leader="none"/>
          <w:tab w:val="left" w:pos="3480" w:leader="none"/>
          <w:tab w:val="left" w:pos="3600" w:leader="none"/>
          <w:tab w:val="left" w:pos="4320" w:leader="none"/>
          <w:tab w:val="left" w:pos="4920" w:leader="none"/>
          <w:tab w:val="left" w:pos="5040" w:leader="none"/>
          <w:tab w:val="left" w:pos="5760" w:leader="none"/>
          <w:tab w:val="left" w:pos="6360" w:leader="none"/>
          <w:tab w:val="left" w:pos="6480" w:leader="none"/>
          <w:tab w:val="left" w:pos="7200" w:leader="none"/>
          <w:tab w:val="left" w:pos="7800" w:leader="none"/>
          <w:tab w:val="left" w:pos="7920" w:leader="none"/>
          <w:tab w:val="left" w:pos="8640" w:leader="none"/>
        </w:tabs>
        <w:ind w:left="900" w:hanging="0"/>
        <w:jc w:val="both"/>
        <w:rPr>
          <w:bCs/>
          <w:szCs w:val="22"/>
        </w:rPr>
      </w:pPr>
      <w:r>
        <w:rPr>
          <w:bCs/>
          <w:szCs w:val="22"/>
        </w:rPr>
        <w:t>(Customer Service)</w:t>
        <w:tab/>
        <w:tab/>
        <w:tab/>
        <w:tab/>
        <w:tab/>
      </w:r>
      <w:r>
        <w:rPr>
          <w:bCs/>
          <w:szCs w:val="22"/>
          <w:u w:val="single"/>
        </w:rPr>
        <w:t>MAIN OFFICE</w:t>
      </w:r>
      <w:r>
        <w:rPr>
          <w:bCs/>
          <w:szCs w:val="22"/>
        </w:rPr>
        <w:t xml:space="preserve"> </w:t>
      </w:r>
      <w:r>
        <w:fldChar w:fldCharType="begin"/>
      </w:r>
      <w:r>
        <w:rPr/>
        <w:instrText xml:space="preserve"> TC "(CUSTOMER SERVICE)</w:instrText>
        <w:tab/>
        <w:instrText xml:space="preserve"/>
        <w:tab/>
        <w:instrText xml:space="preserve"/>
        <w:tab/>
        <w:instrText xml:space="preserve">MAIN OFFICE " \l 2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2761 Walnut Ave.</w:t>
        <w:tab/>
        <w:tab/>
        <w:tab/>
        <w:t>2000 Park Lane</w:t>
        <w:tab/>
        <w:tab/>
        <w:tab/>
        <w:tab/>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Tustin, CA 92781</w:t>
        <w:tab/>
        <w:tab/>
        <w:tab/>
        <w:t xml:space="preserve">Pittsburgh, CA 15275 </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1-800-766-7000</w:t>
        <w:tab/>
        <w:tab/>
        <w:tab/>
        <w:t>1-412-490-8300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SARSTEDT</w:t>
      </w:r>
      <w:r>
        <w:fldChar w:fldCharType="begin"/>
      </w:r>
      <w:r>
        <w:rPr/>
        <w:instrText xml:space="preserve"> TC "SARSTEDT"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468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1025 St. James Church Rd</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Newton, NC 28658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1-800-257-5101</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MC KESSON GENERAL</w:t>
      </w:r>
      <w:r>
        <w:fldChar w:fldCharType="begin"/>
      </w:r>
      <w:r>
        <w:rPr/>
        <w:instrText xml:space="preserve"> TC "MC KESSON GENERAL"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8741 Landmark Ave.</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Richmond, VA 23228</w:t>
      </w:r>
    </w:p>
    <w:p>
      <w:pPr>
        <w:sectPr>
          <w:headerReference w:type="even" r:id="rId8"/>
          <w:headerReference w:type="default" r:id="rId9"/>
          <w:footerReference w:type="even" r:id="rId10"/>
          <w:footerReference w:type="default" r:id="rId11"/>
          <w:type w:val="oddPage"/>
          <w:pgSz w:w="12240" w:h="15840"/>
          <w:pgMar w:left="2880" w:right="1080" w:gutter="0" w:header="720" w:top="1440" w:footer="720" w:bottom="1440"/>
          <w:pgNumType w:fmt="decimal"/>
          <w:formProt w:val="false"/>
          <w:textDirection w:val="lrTb"/>
          <w:docGrid w:type="default" w:linePitch="360" w:charSpace="0"/>
        </w:sect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sz w:val="22"/>
        </w:rPr>
      </w:pPr>
      <w:r>
        <w:rPr/>
        <w:t>1-804-264-7500</w:t>
      </w:r>
    </w:p>
    <w:p>
      <w:pPr>
        <w:sectPr>
          <w:headerReference w:type="even" r:id="rId12"/>
          <w:headerReference w:type="default" r:id="rId13"/>
          <w:footerReference w:type="even" r:id="rId14"/>
          <w:footerReference w:type="default" r:id="rId15"/>
          <w:type w:val="oddPage"/>
          <w:pgSz w:w="12240" w:h="15840"/>
          <w:pgMar w:left="2880" w:right="1080" w:gutter="0" w:header="720" w:top="1440" w:footer="720" w:bottom="1440"/>
          <w:pgNumType w:fmt="decimal"/>
          <w:formProt w:val="false"/>
          <w:textDirection w:val="lrTb"/>
          <w:docGrid w:type="default" w:linePitch="360" w:charSpace="0"/>
        </w:sectPr>
        <w:pStyle w:val="Sectionheading"/>
        <w:rPr/>
      </w:pPr>
      <w:bookmarkStart w:id="3" w:name="__RefHeading___Toc503858959"/>
      <w:bookmarkEnd w:id="3"/>
      <w:r>
        <w:rPr/>
        <w:t>Section 2: Recruitment</w:t>
      </w:r>
    </w:p>
    <w:p>
      <w:pPr>
        <w:pStyle w:val="Subsectionheading"/>
        <w:rPr/>
      </w:pPr>
      <w:bookmarkStart w:id="4" w:name="__RefHeading___Toc503858960"/>
      <w:bookmarkEnd w:id="4"/>
      <w:r>
        <w:rPr/>
        <w:t>2.1 Overview of Recruitment</w:t>
      </w:r>
    </w:p>
    <w:p>
      <w:pPr>
        <w:pStyle w:val="Normal"/>
        <w:tabs>
          <w:tab w:val="clear" w:pos="720"/>
          <w:tab w:val="decimal" w:pos="360" w:leader="none"/>
        </w:tabs>
        <w:ind w:left="630" w:hanging="630"/>
        <w:jc w:val="center"/>
        <w:rPr>
          <w:b/>
          <w:b/>
          <w:bCs/>
          <w:sz w:val="28"/>
        </w:rPr>
      </w:pPr>
      <w:r>
        <w:rPr>
          <w:b/>
          <w:bCs/>
          <w:sz w:val="28"/>
        </w:rPr>
      </w:r>
    </w:p>
    <w:p>
      <w:pPr>
        <w:pStyle w:val="Romanbold"/>
        <w:rPr/>
      </w:pPr>
      <w:r>
        <w:rPr/>
        <w:tab/>
        <w:t>I.</w:t>
        <w:tab/>
        <w:t>Introduction</w:t>
      </w:r>
    </w:p>
    <w:p>
      <w:pPr>
        <w:pStyle w:val="Romanbold"/>
        <w:rPr/>
      </w:pPr>
      <w:r>
        <w:rPr/>
      </w:r>
    </w:p>
    <w:p>
      <w:pPr>
        <w:pStyle w:val="Number1"/>
        <w:rPr/>
      </w:pPr>
      <w:r>
        <w:rPr/>
        <w:tab/>
        <w:t>1.</w:t>
        <w:tab/>
      </w:r>
      <w:r>
        <w:rPr>
          <w:u w:val="single"/>
        </w:rPr>
        <w:t>Selection of Samples</w:t>
      </w:r>
    </w:p>
    <w:p>
      <w:pPr>
        <w:pStyle w:val="Normal"/>
        <w:keepNext w:val="true"/>
        <w:keepLines/>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u w:val="single"/>
        </w:rPr>
      </w:pPr>
      <w:r>
        <w:rPr>
          <w:u w:val="single"/>
        </w:rPr>
      </w:r>
    </w:p>
    <w:p>
      <w:pPr>
        <w:pStyle w:val="Number1body"/>
        <w:rPr/>
      </w:pPr>
      <w:r>
        <w:rPr/>
        <w:t>While the MESA cohort will be community-based, the emphasis of MESA recruitment is balanced recruitment across strata defined by gender, ethnicity, and age group. The sampling frame and methods for sampling potential participants vary by Field Center, depending on the nature of the local sampling frame and logistics. In three Field Centers (Wake Forest, Columbia, Northwestern), random samples, stratified by age and gender, will be selected from the sampling frames. In the others (Minnesota, Johns Hopkins, UCLA) the sampling frame does not contain detailed demographic information and recruitment will proceed along geographic boundaries (Minnesota, Johns Hopkins) or by random digit dialing (UCLA) to target areas. The sampling unit will be the household, and all eligible participants who reside in a single household will be recruited for the study. Recruitment progress will be monitored regularly by the Field Centers and Coordinating Center within strata defined by two genders, four age groups, and four ethnic groups (16–32 strata, depending on the Field Center). Field Centers will attempt to maintain a balanced distribution across these strata throughout the recruitment period. These strata are described in the table below.</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rFonts w:ascii="Arial;Arial" w:hAnsi="Arial;Arial" w:cs="Arial;Arial"/>
          <w:sz w:val="20"/>
        </w:rPr>
      </w:pPr>
      <w:r>
        <w:rPr>
          <w:rFonts w:cs="Arial;Arial" w:ascii="Arial;Arial" w:hAnsi="Arial;Arial"/>
          <w:sz w:val="20"/>
        </w:rPr>
      </w:r>
    </w:p>
    <w:p>
      <w:pPr>
        <w:pStyle w:val="Number1body"/>
        <w:ind w:left="1710" w:hanging="810"/>
        <w:rPr>
          <w:rFonts w:ascii="Arial;Arial" w:hAnsi="Arial;Arial" w:cs="Arial;Arial"/>
          <w:b/>
          <w:b/>
          <w:bCs/>
          <w:sz w:val="20"/>
        </w:rPr>
      </w:pPr>
      <w:r>
        <w:rPr>
          <w:rFonts w:cs="Arial;Arial" w:ascii="Arial;Arial" w:hAnsi="Arial;Arial"/>
          <w:b/>
          <w:bCs/>
          <w:sz w:val="20"/>
        </w:rPr>
        <w:t>Table 1.</w:t>
        <w:tab/>
        <w:t>Desired Ethnic Distribution of Study Participants, Overall and by Field Center</w:t>
      </w:r>
    </w:p>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tab/>
        <w:tab/>
      </w:r>
    </w:p>
    <w:tbl>
      <w:tblPr>
        <w:tblW w:w="7200" w:type="dxa"/>
        <w:jc w:val="left"/>
        <w:tblInd w:w="895" w:type="dxa"/>
        <w:tblLayout w:type="fixed"/>
        <w:tblCellMar>
          <w:top w:w="0" w:type="dxa"/>
          <w:left w:w="108" w:type="dxa"/>
          <w:bottom w:w="0" w:type="dxa"/>
          <w:right w:w="108" w:type="dxa"/>
        </w:tblCellMar>
      </w:tblPr>
      <w:tblGrid>
        <w:gridCol w:w="1710"/>
        <w:gridCol w:w="1309"/>
        <w:gridCol w:w="1391"/>
        <w:gridCol w:w="1350"/>
        <w:gridCol w:w="1440"/>
      </w:tblGrid>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rPr>
                <w:rFonts w:ascii="Arial;Arial" w:hAnsi="Arial;Arial" w:cs="Arial;Arial"/>
                <w:sz w:val="20"/>
              </w:rPr>
            </w:pPr>
            <w:r>
              <w:rPr>
                <w:rFonts w:cs="Arial;Arial" w:ascii="Arial;Arial" w:hAnsi="Arial;Arial"/>
                <w:sz w:val="20"/>
              </w:rPr>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jc w:val="center"/>
              <w:rPr>
                <w:rFonts w:ascii="Arial;Arial" w:hAnsi="Arial;Arial" w:cs="Arial;Arial"/>
                <w:b/>
                <w:b/>
                <w:bCs/>
                <w:sz w:val="20"/>
              </w:rPr>
            </w:pPr>
            <w:r>
              <w:rPr>
                <w:rFonts w:cs="Arial;Arial" w:ascii="Arial;Arial" w:hAnsi="Arial;Arial"/>
                <w:b/>
                <w:bCs/>
                <w:sz w:val="20"/>
              </w:rPr>
            </w:r>
          </w:p>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Caucasian</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African American</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jc w:val="center"/>
              <w:rPr>
                <w:rFonts w:ascii="Arial;Arial" w:hAnsi="Arial;Arial" w:cs="Arial;Arial"/>
                <w:b/>
                <w:b/>
                <w:bCs/>
                <w:sz w:val="20"/>
              </w:rPr>
            </w:pPr>
            <w:r>
              <w:rPr>
                <w:rFonts w:cs="Arial;Arial" w:ascii="Arial;Arial" w:hAnsi="Arial;Arial"/>
                <w:b/>
                <w:bCs/>
                <w:sz w:val="20"/>
              </w:rPr>
            </w:r>
          </w:p>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Hispanic</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Asian American</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Wake Forest</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Minnesota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Northwestern</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25%</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25%</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Columbia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35%</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45%</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Johns Hopkins</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UCLA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10%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10%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40%</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40%</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b/>
                <w:bCs/>
                <w:sz w:val="20"/>
              </w:rPr>
              <w:t>TOTALS</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38%</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28%</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23%</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11%</w:t>
            </w:r>
          </w:p>
        </w:tc>
      </w:tr>
    </w:tbl>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r>
    </w:p>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r>
    </w:p>
    <w:p>
      <w:pPr>
        <w:pStyle w:val="Number1body"/>
        <w:ind w:left="1800" w:hanging="900"/>
        <w:rPr>
          <w:rFonts w:ascii="Arial;Arial" w:hAnsi="Arial;Arial" w:cs="Arial;Arial"/>
          <w:b/>
          <w:b/>
          <w:bCs/>
          <w:sz w:val="20"/>
        </w:rPr>
      </w:pPr>
      <w:r>
        <w:rPr>
          <w:rFonts w:cs="Arial;Arial" w:ascii="Arial;Arial" w:hAnsi="Arial;Arial"/>
          <w:b/>
          <w:bCs/>
          <w:sz w:val="20"/>
        </w:rPr>
        <w:t xml:space="preserve">Table 2. </w:t>
        <w:tab/>
        <w:t>Desired Gender and Age Distribution of Study Participants, Overall and by Field Center</w:t>
      </w:r>
    </w:p>
    <w:p>
      <w:pPr>
        <w:pStyle w:val="Number1body"/>
        <w:rPr/>
      </w:pPr>
      <w:r>
        <w:rPr/>
        <w:tab/>
      </w:r>
    </w:p>
    <w:tbl>
      <w:tblPr>
        <w:tblW w:w="5490" w:type="dxa"/>
        <w:jc w:val="left"/>
        <w:tblInd w:w="888" w:type="dxa"/>
        <w:tblLayout w:type="fixed"/>
        <w:tblCellMar>
          <w:top w:w="0" w:type="dxa"/>
          <w:left w:w="115" w:type="dxa"/>
          <w:bottom w:w="0" w:type="dxa"/>
          <w:right w:w="115" w:type="dxa"/>
        </w:tblCellMar>
      </w:tblPr>
      <w:tblGrid>
        <w:gridCol w:w="1620"/>
        <w:gridCol w:w="1980"/>
        <w:gridCol w:w="1890"/>
      </w:tblGrid>
      <w:tr>
        <w:trPr>
          <w:cantSplit w:val="true"/>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ind w:left="0" w:hanging="0"/>
              <w:rPr>
                <w:rFonts w:ascii="Arial;Arial" w:hAnsi="Arial;Arial" w:cs="Arial;Arial"/>
                <w:sz w:val="20"/>
              </w:rPr>
            </w:pPr>
            <w:r>
              <w:rPr>
                <w:rFonts w:cs="Arial;Arial" w:ascii="Arial;Arial" w:hAnsi="Arial;Arial"/>
                <w:b/>
                <w:bCs/>
                <w:sz w:val="20"/>
              </w:rPr>
              <w:t>Gender:</w:t>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Men</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50%</w:t>
            </w:r>
          </w:p>
        </w:tc>
      </w:tr>
      <w:tr>
        <w:trPr>
          <w:cantSplit w:val="true"/>
        </w:trPr>
        <w:tc>
          <w:tcPr>
            <w:tcW w:w="1620" w:type="dxa"/>
            <w:vMerge w:val="continue"/>
            <w:tcBorders>
              <w:top w:val="single" w:sz="4" w:space="0" w:color="000000"/>
              <w:left w:val="single" w:sz="4" w:space="0" w:color="000000"/>
              <w:bottom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Women</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50%</w:t>
            </w:r>
          </w:p>
        </w:tc>
      </w:tr>
      <w:tr>
        <w:trPr>
          <w:cantSplit w:val="true"/>
        </w:trPr>
        <w:tc>
          <w:tcPr>
            <w:tcW w:w="1620" w:type="dxa"/>
            <w:vMerge w:val="restart"/>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ind w:left="0" w:hanging="0"/>
              <w:rPr>
                <w:rFonts w:ascii="Arial;Arial" w:hAnsi="Arial;Arial" w:cs="Arial;Arial"/>
                <w:sz w:val="20"/>
              </w:rPr>
            </w:pPr>
            <w:r>
              <w:rPr>
                <w:rFonts w:cs="Arial;Arial" w:ascii="Arial;Arial" w:hAnsi="Arial;Arial"/>
                <w:b/>
                <w:bCs/>
                <w:sz w:val="20"/>
              </w:rPr>
              <w:t>Age:</w:t>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45-54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55-64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65-74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75-84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16%</w:t>
            </w:r>
          </w:p>
        </w:tc>
      </w:tr>
    </w:tbl>
    <w:p>
      <w:pPr>
        <w:pStyle w:val="Number1body"/>
        <w:tabs>
          <w:tab w:val="clear" w:pos="720"/>
          <w:tab w:val="right" w:pos="1800" w:leader="none"/>
          <w:tab w:val="center" w:pos="2610" w:leader="none"/>
          <w:tab w:val="center" w:pos="3600" w:leader="none"/>
        </w:tabs>
        <w:rPr>
          <w:rFonts w:ascii="Arial;Arial" w:hAnsi="Arial;Arial" w:cs="Arial;Arial"/>
          <w:sz w:val="20"/>
        </w:rPr>
      </w:pPr>
      <w:r>
        <w:rPr>
          <w:rFonts w:cs="Arial;Arial" w:ascii="Arial;Arial" w:hAnsi="Arial;Arial"/>
          <w:sz w:val="20"/>
        </w:rPr>
        <w:tab/>
        <w:tab/>
      </w:r>
    </w:p>
    <w:p>
      <w:pPr>
        <w:pStyle w:val="Number1body"/>
        <w:tabs>
          <w:tab w:val="clear" w:pos="720"/>
          <w:tab w:val="right" w:pos="1800" w:leader="none"/>
          <w:tab w:val="center" w:pos="2610" w:leader="none"/>
          <w:tab w:val="center" w:pos="3600" w:leader="none"/>
        </w:tabs>
        <w:rPr>
          <w:rFonts w:ascii="Arial;Arial" w:hAnsi="Arial;Arial" w:cs="Arial;Arial"/>
          <w:sz w:val="20"/>
        </w:rPr>
      </w:pPr>
      <w:r>
        <w:rPr>
          <w:rFonts w:cs="Arial;Arial" w:ascii="Arial;Arial" w:hAnsi="Arial;Arial"/>
          <w:sz w:val="20"/>
        </w:rPr>
      </w:r>
    </w:p>
    <w:p>
      <w:pPr>
        <w:pStyle w:val="Number1body"/>
        <w:ind w:left="1800" w:hanging="900"/>
        <w:rPr>
          <w:rFonts w:ascii="Arial;Arial" w:hAnsi="Arial;Arial" w:cs="Arial;Arial"/>
          <w:b/>
          <w:b/>
          <w:bCs/>
          <w:sz w:val="20"/>
        </w:rPr>
      </w:pPr>
      <w:r>
        <w:rPr>
          <w:rFonts w:cs="Arial;Arial" w:ascii="Arial;Arial" w:hAnsi="Arial;Arial"/>
          <w:b/>
          <w:bCs/>
          <w:sz w:val="20"/>
        </w:rPr>
        <w:t xml:space="preserve">Table 3. </w:t>
        <w:tab/>
        <w:t>Ideal Recruitment Goals (Counts) by Field Center, Ethnicity, Gender, and Age Group</w:t>
      </w:r>
    </w:p>
    <w:p>
      <w:pPr>
        <w:pStyle w:val="Normal"/>
        <w:tabs>
          <w:tab w:val="clear" w:pos="720"/>
          <w:tab w:val="left" w:pos="-1080" w:leader="none"/>
          <w:tab w:val="left" w:pos="-792" w:leader="none"/>
          <w:tab w:val="left" w:pos="-360" w:leader="none"/>
          <w:tab w:val="left" w:pos="0" w:leader="none"/>
          <w:tab w:val="left" w:pos="360" w:leader="none"/>
          <w:tab w:val="left" w:pos="648" w:leader="none"/>
          <w:tab w:val="left" w:pos="1080" w:leader="none"/>
          <w:tab w:val="left" w:pos="1368" w:leader="none"/>
          <w:tab w:val="left" w:pos="1800" w:leader="none"/>
          <w:tab w:val="left" w:pos="2088" w:leader="none"/>
          <w:tab w:val="left" w:pos="2520" w:leader="none"/>
          <w:tab w:val="left" w:pos="2808" w:leader="none"/>
          <w:tab w:val="left" w:pos="3240" w:leader="none"/>
          <w:tab w:val="left" w:pos="3528" w:leader="none"/>
          <w:tab w:val="left" w:pos="3960" w:leader="none"/>
          <w:tab w:val="left" w:pos="4248" w:leader="none"/>
          <w:tab w:val="left" w:pos="4680" w:leader="none"/>
          <w:tab w:val="left" w:pos="4968" w:leader="none"/>
          <w:tab w:val="left" w:pos="5400" w:leader="none"/>
          <w:tab w:val="left" w:pos="6030" w:leader="none"/>
          <w:tab w:val="left" w:pos="6480" w:leader="none"/>
          <w:tab w:val="left" w:pos="7200" w:leader="none"/>
          <w:tab w:val="left" w:pos="7920" w:leader="none"/>
          <w:tab w:val="left" w:pos="8640" w:leader="none"/>
          <w:tab w:val="right" w:pos="9360" w:leader="none"/>
        </w:tabs>
        <w:jc w:val="center"/>
        <w:rPr>
          <w:rFonts w:ascii="Arial;Arial" w:hAnsi="Arial;Arial" w:cs="Arial;Arial"/>
          <w:b/>
          <w:b/>
          <w:bCs/>
          <w:sz w:val="20"/>
        </w:rPr>
      </w:pPr>
      <w:r>
        <w:rPr>
          <w:rFonts w:cs="Arial;Arial" w:ascii="Arial;Arial" w:hAnsi="Arial;Arial"/>
          <w:b/>
          <w:bCs/>
          <w:sz w:val="20"/>
        </w:rPr>
      </w:r>
    </w:p>
    <w:p>
      <w:pPr>
        <w:pStyle w:val="Normal"/>
        <w:tabs>
          <w:tab w:val="clear" w:pos="720"/>
          <w:tab w:val="left" w:pos="-1080" w:leader="none"/>
          <w:tab w:val="left" w:pos="-792" w:leader="none"/>
          <w:tab w:val="left" w:pos="-360" w:leader="none"/>
          <w:tab w:val="left" w:pos="0" w:leader="none"/>
          <w:tab w:val="center" w:pos="3330" w:leader="none"/>
          <w:tab w:val="center" w:pos="4770" w:leader="none"/>
          <w:tab w:val="center" w:pos="6210" w:leader="none"/>
          <w:tab w:val="center" w:pos="7650" w:leader="none"/>
          <w:tab w:val="right" w:pos="9360" w:leader="none"/>
        </w:tabs>
        <w:jc w:val="both"/>
        <w:rPr>
          <w:rFonts w:ascii="Arial;Arial" w:hAnsi="Arial;Arial" w:cs="Arial;Arial"/>
          <w:b/>
          <w:b/>
          <w:bCs/>
          <w:sz w:val="20"/>
        </w:rPr>
      </w:pPr>
      <w:r>
        <w:rPr>
          <w:rFonts w:cs="Arial;Arial" w:ascii="Arial;Arial" w:hAnsi="Arial;Arial"/>
          <w:b/>
          <w:bCs/>
          <w:sz w:val="20"/>
        </w:rPr>
        <w:tab/>
        <w:tab/>
        <w:t>African</w:t>
        <w:tab/>
        <w:tab/>
        <w:t>Asian</w:t>
      </w:r>
    </w:p>
    <w:p>
      <w:pPr>
        <w:pStyle w:val="Normal"/>
        <w:tabs>
          <w:tab w:val="clear" w:pos="720"/>
          <w:tab w:val="left" w:pos="-1080" w:leader="none"/>
          <w:tab w:val="left" w:pos="-792" w:leader="none"/>
          <w:tab w:val="left" w:pos="-360" w:leader="none"/>
          <w:tab w:val="left" w:pos="0" w:leader="none"/>
          <w:tab w:val="center" w:pos="3330" w:leader="none"/>
          <w:tab w:val="center" w:pos="4770" w:leader="none"/>
          <w:tab w:val="left" w:pos="5760" w:leader="none"/>
          <w:tab w:val="center" w:pos="6210" w:leader="none"/>
          <w:tab w:val="center" w:pos="7650" w:leader="none"/>
          <w:tab w:val="right" w:pos="9360" w:leader="none"/>
        </w:tabs>
        <w:jc w:val="both"/>
        <w:rPr/>
      </w:pPr>
      <w:r>
        <w:rPr>
          <w:rFonts w:cs="Arial;Arial" w:ascii="Arial;Arial" w:hAnsi="Arial;Arial"/>
          <w:b/>
          <w:bCs/>
          <w:sz w:val="20"/>
        </w:rPr>
        <w:tab/>
      </w:r>
      <w:r>
        <w:rPr>
          <w:rFonts w:cs="Arial;Arial" w:ascii="Arial;Arial" w:hAnsi="Arial;Arial"/>
          <w:b/>
          <w:bCs/>
          <w:sz w:val="20"/>
          <w:u w:val="single"/>
        </w:rPr>
        <w:t>Caucasian</w:t>
      </w:r>
      <w:r>
        <w:rPr>
          <w:rFonts w:cs="Arial;Arial" w:ascii="Arial;Arial" w:hAnsi="Arial;Arial"/>
          <w:b/>
          <w:bCs/>
          <w:sz w:val="20"/>
        </w:rPr>
        <w:tab/>
      </w:r>
      <w:r>
        <w:rPr>
          <w:rFonts w:cs="Arial;Arial" w:ascii="Arial;Arial" w:hAnsi="Arial;Arial"/>
          <w:b/>
          <w:bCs/>
          <w:sz w:val="20"/>
          <w:u w:val="single"/>
        </w:rPr>
        <w:t>American</w:t>
      </w:r>
      <w:r>
        <w:rPr>
          <w:rFonts w:cs="Arial;Arial" w:ascii="Arial;Arial" w:hAnsi="Arial;Arial"/>
          <w:b/>
          <w:bCs/>
          <w:sz w:val="20"/>
        </w:rPr>
        <w:tab/>
      </w:r>
      <w:r>
        <w:rPr>
          <w:rFonts w:cs="Arial;Arial" w:ascii="Arial;Arial" w:hAnsi="Arial;Arial"/>
          <w:b/>
          <w:bCs/>
          <w:sz w:val="20"/>
          <w:u w:val="single"/>
        </w:rPr>
        <w:t>Hispanic</w:t>
      </w:r>
      <w:r>
        <w:rPr>
          <w:rFonts w:cs="Arial;Arial" w:ascii="Arial;Arial" w:hAnsi="Arial;Arial"/>
          <w:b/>
          <w:bCs/>
          <w:sz w:val="20"/>
        </w:rPr>
        <w:tab/>
      </w:r>
      <w:r>
        <w:rPr>
          <w:rFonts w:cs="Arial;Arial" w:ascii="Arial;Arial" w:hAnsi="Arial;Arial"/>
          <w:b/>
          <w:bCs/>
          <w:sz w:val="20"/>
          <w:u w:val="single"/>
        </w:rPr>
        <w:t>American</w:t>
      </w:r>
    </w:p>
    <w:p>
      <w:pPr>
        <w:pStyle w:val="Normal"/>
        <w:tabs>
          <w:tab w:val="clear" w:pos="720"/>
          <w:tab w:val="left" w:pos="-1080" w:leader="none"/>
          <w:tab w:val="left" w:pos="-792" w:leader="none"/>
          <w:tab w:val="left" w:pos="-360" w:leader="none"/>
          <w:tab w:val="left" w:pos="0" w:leader="none"/>
          <w:tab w:val="left" w:pos="360" w:leader="none"/>
          <w:tab w:val="left" w:pos="648" w:leader="none"/>
          <w:tab w:val="left" w:pos="1080" w:leader="none"/>
          <w:tab w:val="left" w:pos="1368" w:leader="none"/>
          <w:tab w:val="left" w:pos="1800" w:leader="none"/>
          <w:tab w:val="left" w:pos="2088" w:leader="none"/>
          <w:tab w:val="left" w:pos="2520" w:leader="none"/>
          <w:tab w:val="left" w:pos="2808" w:leader="none"/>
          <w:tab w:val="left" w:pos="3240" w:leader="none"/>
          <w:tab w:val="left" w:pos="3528" w:leader="none"/>
          <w:tab w:val="left" w:pos="3960" w:leader="none"/>
          <w:tab w:val="left" w:pos="4248" w:leader="none"/>
          <w:tab w:val="left" w:pos="4680" w:leader="none"/>
          <w:tab w:val="left" w:pos="4968" w:leader="none"/>
          <w:tab w:val="left" w:pos="5400" w:leader="none"/>
          <w:tab w:val="left" w:pos="5760" w:leader="none"/>
          <w:tab w:val="left" w:pos="6030" w:leader="none"/>
          <w:tab w:val="left" w:pos="6480" w:leader="none"/>
          <w:tab w:val="left" w:pos="7200" w:leader="none"/>
          <w:tab w:val="left" w:pos="7920" w:leader="none"/>
          <w:tab w:val="left" w:pos="8640" w:leader="none"/>
          <w:tab w:val="right" w:pos="9360" w:leader="none"/>
        </w:tabs>
        <w:ind w:firstLine="2808"/>
        <w:jc w:val="both"/>
        <w:rPr>
          <w:rFonts w:ascii="Arial;Arial" w:hAnsi="Arial;Arial" w:cs="Arial;Arial"/>
          <w:b/>
          <w:b/>
          <w:bCs/>
          <w:sz w:val="20"/>
          <w:u w:val="single"/>
        </w:rPr>
      </w:pPr>
      <w:r>
        <w:rPr>
          <w:rFonts w:cs="Arial;Arial" w:ascii="Arial;Arial" w:hAnsi="Arial;Arial"/>
          <w:b/>
          <w:bCs/>
          <w:sz w:val="20"/>
          <w:u w:val="single"/>
        </w:rPr>
      </w:r>
    </w:p>
    <w:p>
      <w:pPr>
        <w:pStyle w:val="Normal"/>
        <w:tabs>
          <w:tab w:val="left" w:pos="-1080" w:leader="none"/>
          <w:tab w:val="left" w:pos="-792" w:leader="none"/>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ind w:firstLine="2880"/>
        <w:jc w:val="both"/>
        <w:rPr>
          <w:rFonts w:ascii="Arial;Arial" w:hAnsi="Arial;Arial" w:cs="Arial;Arial"/>
          <w:sz w:val="20"/>
        </w:rPr>
      </w:pPr>
      <w:r>
        <w:rPr>
          <w:rFonts w:cs="Arial;Arial" w:ascii="Arial;Arial" w:hAnsi="Arial;Arial"/>
          <w:sz w:val="20"/>
        </w:rPr>
        <w:t>M</w:t>
        <w:tab/>
        <w:t>F</w:t>
        <w:tab/>
        <w:t>M</w:t>
        <w:tab/>
        <w:t>F</w:t>
        <w:tab/>
        <w:t>M</w:t>
        <w:tab/>
        <w:t>F</w:t>
        <w:tab/>
        <w:t>M</w:t>
        <w:tab/>
        <w:t>F</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Wake Forest</w:t>
        <w:tab/>
        <w:t>45-54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44</w:t>
        <w:tab/>
        <w:t>44</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Minnesota</w:t>
        <w:tab/>
        <w:t>45-54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w:t>
        <w:tab/>
        <w:t>-</w:t>
        <w:tab/>
        <w:t>44</w:t>
        <w:tab/>
        <w:t>44</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2880"/>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Northwestern</w:t>
        <w:tab/>
        <w:t>45-54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23</w:t>
        <w:tab/>
        <w:t>23</w:t>
        <w:tab/>
        <w:t>-</w:t>
        <w:tab/>
        <w:t>-</w:t>
        <w:tab/>
        <w:t>23</w:t>
        <w:tab/>
        <w:t>23</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Columbia</w:t>
        <w:tab/>
        <w:t>45-54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17</w:t>
        <w:tab/>
        <w:t>17</w:t>
        <w:tab/>
        <w:t>30</w:t>
        <w:tab/>
        <w:t>30</w:t>
        <w:tab/>
        <w:t>41</w:t>
        <w:tab/>
        <w:t>41</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Johns Hopkins</w:t>
        <w:tab/>
        <w:t>45-54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44</w:t>
        <w:tab/>
        <w:t>44</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UCLA</w:t>
        <w:tab/>
        <w:tab/>
        <w:t>45-54</w:t>
        <w:tab/>
        <w:t>15</w:t>
        <w:tab/>
        <w:t>15</w:t>
        <w:tab/>
        <w:t>15</w:t>
        <w:tab/>
        <w:t>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15</w:t>
        <w:tab/>
        <w:t>15</w:t>
        <w:tab/>
        <w:t>15</w:t>
        <w:tab/>
        <w:t>15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15</w:t>
        <w:tab/>
        <w:t>15</w:t>
        <w:tab/>
        <w:t>15</w:t>
        <w:tab/>
        <w:t>15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10</w:t>
        <w:tab/>
        <w:t>10</w:t>
        <w:tab/>
        <w:t>10</w:t>
        <w:tab/>
        <w:t>10</w:t>
        <w:tab/>
        <w:t>34</w:t>
        <w:tab/>
        <w:t>34</w:t>
        <w:tab/>
        <w:t>34</w:t>
        <w:tab/>
        <w:t>34</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pPr>
      <w:r>
        <w:rPr>
          <w:rFonts w:cs="Arial;Arial" w:ascii="Arial;Arial" w:hAnsi="Arial;Arial"/>
          <w:b/>
          <w:caps/>
          <w:sz w:val="20"/>
        </w:rPr>
        <w:t>Totals</w:t>
      </w:r>
      <w:r>
        <w:rPr>
          <w:rFonts w:cs="Arial;Arial" w:ascii="Arial;Arial" w:hAnsi="Arial;Arial"/>
          <w:sz w:val="20"/>
        </w:rPr>
        <w:tab/>
        <w:t>45-54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rPr>
          <w:rFonts w:ascii="Arial;Arial" w:hAnsi="Arial;Arial" w:cs="Arial;Arial"/>
          <w:sz w:val="20"/>
        </w:rPr>
      </w:pPr>
      <w:r>
        <w:rPr>
          <w:rFonts w:cs="Arial;Arial" w:ascii="Arial;Arial" w:hAnsi="Arial;Arial"/>
          <w:sz w:val="20"/>
        </w:rPr>
        <w:tab/>
        <w:tab/>
        <w:t>75-84</w:t>
        <w:tab/>
        <w:t>203</w:t>
        <w:tab/>
        <w:t>203</w:t>
        <w:tab/>
        <w:t>151</w:t>
        <w:tab/>
        <w:t>151</w:t>
        <w:tab/>
        <w:t>119</w:t>
        <w:tab/>
        <w:t>119</w:t>
        <w:tab/>
        <w:t>57</w:t>
        <w:tab/>
        <w:t>57</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pPr>
      <w:r>
        <w:rPr/>
      </w:r>
    </w:p>
    <w:p>
      <w:pPr>
        <w:pStyle w:val="Number1body"/>
        <w:rPr/>
      </w:pPr>
      <w:r>
        <w:rPr/>
        <w:t>Samples for attempted contact will be selected periodically at each Field Center. To recruit 1,100 participants over a two-year period, each Field Center will need to examine an average of 10–11 participants per week.  Therefore, the number of sampled households will need to be adjusted periodically, according to the yield of previous recruitment efforts. For example, if a monthly sample of 500 randomly generated phone numbers (or a monthly sample of 100 street addresses) resulted in successful recruitment of only 20 participants, subsequent monthly samples should be larger.  Another crucial consideration for adjustment of the sample size (or its demographic composition) is the cumulative count of participants in strata defined by age, gender, and ethnicity.</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pPr>
      <w:r>
        <w:rPr/>
      </w:r>
    </w:p>
    <w:p>
      <w:pPr>
        <w:pStyle w:val="Number1"/>
        <w:rPr/>
      </w:pPr>
      <w:r>
        <w:rPr/>
        <w:tab/>
        <w:t>2.</w:t>
        <w:tab/>
      </w:r>
      <w:r>
        <w:rPr>
          <w:u w:val="single"/>
        </w:rPr>
        <w:t>Recruitment Letters and Brochures</w:t>
      </w:r>
    </w:p>
    <w:p>
      <w:pPr>
        <w:pStyle w:val="Normal"/>
        <w:rPr>
          <w:color w:val="000000"/>
        </w:rPr>
      </w:pPr>
      <w:r>
        <w:rPr>
          <w:color w:val="000000"/>
        </w:rPr>
      </w:r>
    </w:p>
    <w:p>
      <w:pPr>
        <w:pStyle w:val="Number1body"/>
        <w:rPr/>
      </w:pPr>
      <w:r>
        <w:rPr/>
        <w:t>With the exception of UCLA, which will do random digit dialing, the first contact with selected households will be made by mail. Each household will be sent an introductory letter along with a brochure that describes the main features of MESA. In some cases, the letter will be personalized, directed to age-eligible persons in the household. In other cases, the names or number of age-eligible persons will not be known, so the letter will be generic (addressed to "Dear Friend" or "Dear Resident"). Letters will be printed locally at each Field Center. The study brochure will be produced centrally by the Coordinating Center (Field Centers will affix labels, with their clinic address and phone number, to the brochures).</w:t>
      </w:r>
    </w:p>
    <w:p>
      <w:pPr>
        <w:pStyle w:val="Normal"/>
        <w:rPr>
          <w:color w:val="000000"/>
        </w:rPr>
      </w:pPr>
      <w:r>
        <w:rPr>
          <w:color w:val="000000"/>
        </w:rPr>
      </w:r>
    </w:p>
    <w:p>
      <w:pPr>
        <w:pStyle w:val="Number11"/>
        <w:rPr/>
      </w:pPr>
      <w:r>
        <w:rPr/>
        <w:tab/>
        <w:t>2.1</w:t>
        <w:tab/>
        <w:t>Initial Contact</w:t>
      </w:r>
    </w:p>
    <w:p>
      <w:pPr>
        <w:pStyle w:val="Normal"/>
        <w:rPr>
          <w:color w:val="000000"/>
        </w:rPr>
      </w:pPr>
      <w:r>
        <w:rPr>
          <w:color w:val="000000"/>
        </w:rPr>
      </w:r>
    </w:p>
    <w:p>
      <w:pPr>
        <w:pStyle w:val="Number11body"/>
        <w:rPr/>
      </w:pPr>
      <w:r>
        <w:rPr/>
        <w:t xml:space="preserve">The initial personal contact will usually be made by telephone. In some cases (unlisted phone, not reached by phone) the interviewer will visit the home, to try to screen and recruit in-person. The goal of the initial contact is to complete the screener and household enumeration forms.  Once it has been established that an age-eligible person who speaks a language available at that Field Center (English, Chinese, and/or Spanish) resides in the household, the interviewer will enumerate all age-eligible persons in the household (typically two, but occasionally more), using the Household Enumeration Form. It is important for the interviewers to recognize the multi-purpose nature of the first contact: </w:t>
      </w:r>
    </w:p>
    <w:p>
      <w:pPr>
        <w:pStyle w:val="Number11body"/>
        <w:rPr/>
      </w:pPr>
      <w:r>
        <w:rPr/>
      </w:r>
    </w:p>
    <w:p>
      <w:pPr>
        <w:pStyle w:val="Number11bodybullet"/>
        <w:rPr/>
      </w:pPr>
      <w:r>
        <w:rPr/>
        <w:tab/>
      </w:r>
      <w:r>
        <w:rPr>
          <w:rFonts w:eastAsia="Symbol" w:cs="Symbol" w:ascii="Symbol" w:hAnsi="Symbol"/>
        </w:rPr>
        <w:t></w:t>
      </w:r>
      <w:r>
        <w:rPr/>
        <w:tab/>
        <w:t>To introduce or re-introduce MESA and raise the respondent's level of interest in the study</w:t>
      </w:r>
    </w:p>
    <w:p>
      <w:pPr>
        <w:pStyle w:val="Number11bodybullet"/>
        <w:rPr/>
      </w:pPr>
      <w:r>
        <w:rPr/>
        <w:tab/>
      </w:r>
      <w:r>
        <w:rPr>
          <w:rFonts w:eastAsia="Symbol" w:cs="Symbol" w:ascii="Symbol" w:hAnsi="Symbol"/>
        </w:rPr>
        <w:t></w:t>
      </w:r>
      <w:r>
        <w:rPr/>
        <w:tab/>
        <w:t>To enumerate age-eligible persons in the household</w:t>
      </w:r>
    </w:p>
    <w:p>
      <w:pPr>
        <w:pStyle w:val="Number11bodybullet"/>
        <w:rPr/>
      </w:pPr>
      <w:r>
        <w:rPr/>
        <w:tab/>
      </w:r>
      <w:r>
        <w:rPr>
          <w:rFonts w:eastAsia="Symbol" w:cs="Symbol" w:ascii="Symbol" w:hAnsi="Symbol"/>
        </w:rPr>
        <w:t></w:t>
      </w:r>
      <w:r>
        <w:rPr/>
        <w:tab/>
        <w:t>To determine the MESA eligibility status of each age-eligible household member</w:t>
      </w:r>
    </w:p>
    <w:p>
      <w:pPr>
        <w:pStyle w:val="Number11bodybullet"/>
        <w:rPr/>
      </w:pPr>
      <w:r>
        <w:rPr/>
        <w:tab/>
      </w:r>
      <w:r>
        <w:rPr>
          <w:rFonts w:eastAsia="Symbol" w:cs="Symbol" w:ascii="Symbol" w:hAnsi="Symbol"/>
        </w:rPr>
        <w:t></w:t>
      </w:r>
      <w:r>
        <w:rPr/>
        <w:tab/>
        <w:t>To recruit eligible respondents</w:t>
      </w:r>
    </w:p>
    <w:p>
      <w:pPr>
        <w:pStyle w:val="Number11bodybullet"/>
        <w:rPr/>
      </w:pPr>
      <w:r>
        <w:rPr/>
        <w:tab/>
      </w:r>
      <w:r>
        <w:rPr>
          <w:rFonts w:eastAsia="Symbol" w:cs="Symbol" w:ascii="Symbol" w:hAnsi="Symbol"/>
        </w:rPr>
        <w:t></w:t>
      </w:r>
      <w:r>
        <w:rPr/>
        <w:tab/>
        <w:t xml:space="preserve">To obtain some information about non-respondents. </w:t>
      </w:r>
    </w:p>
    <w:p>
      <w:pPr>
        <w:pStyle w:val="Number11bodybullet"/>
        <w:rPr/>
      </w:pPr>
      <w:r>
        <w:rPr/>
      </w:r>
    </w:p>
    <w:p>
      <w:pPr>
        <w:pStyle w:val="Number11"/>
        <w:rPr>
          <w:color w:val="FF0000"/>
        </w:rPr>
      </w:pPr>
      <w:r>
        <w:rPr/>
        <w:tab/>
        <w:t>2.2</w:t>
        <w:tab/>
        <w:t>In this era of aggressive telemarketing, some attempted calls will never be answered, because of screening technology, such as “caller ID.” It might be helpful, if possible, to ensure that the clinic phone is identified as a university phone number (rather than “unknown caller”).</w:t>
      </w:r>
      <w:r>
        <w:rPr>
          <w:b/>
          <w:bCs/>
        </w:rPr>
        <w:t xml:space="preserve"> </w:t>
      </w:r>
      <w:r>
        <w:rPr/>
        <w:t xml:space="preserve">A minimum of five phone calls should be attempted at different times of the day before declaring a household unreachable by phone. </w:t>
      </w:r>
    </w:p>
    <w:p>
      <w:pPr>
        <w:pStyle w:val="Normal"/>
        <w:rPr>
          <w:color w:val="FF0000"/>
        </w:rPr>
      </w:pPr>
      <w:r>
        <w:rPr>
          <w:color w:val="FF0000"/>
        </w:rPr>
      </w:r>
    </w:p>
    <w:p>
      <w:pPr>
        <w:pStyle w:val="Romanbold"/>
        <w:rPr/>
      </w:pPr>
      <w:r>
        <w:rPr/>
        <w:tab/>
        <w:t>II.</w:t>
        <w:tab/>
        <w:t>Specific Instructions</w:t>
      </w:r>
    </w:p>
    <w:p>
      <w:pPr>
        <w:pStyle w:val="Romanbody"/>
        <w:rPr/>
      </w:pPr>
      <w:r>
        <w:rPr/>
      </w:r>
    </w:p>
    <w:p>
      <w:pPr>
        <w:pStyle w:val="Romanbody"/>
        <w:rPr/>
      </w:pPr>
      <w:r>
        <w:rPr/>
        <w:t xml:space="preserve">Several steps take place between sampling a household for recruitment into MESA and enrolling an individual as an official participant. Each of these steps must be tracked so that no one “falls through the cracks” and so that each site can keep track of recruitment progress. </w:t>
      </w:r>
      <w:r>
        <w:rPr>
          <w:rFonts w:cs="Arial;Arial"/>
        </w:rPr>
        <w:t>To keep track of all these steps, you will enter sampling and recruitment information into t</w:t>
      </w:r>
      <w:r>
        <w:rPr/>
        <w:t xml:space="preserve">he </w:t>
      </w:r>
      <w:r>
        <w:rPr>
          <w:szCs w:val="18"/>
        </w:rPr>
        <w:t xml:space="preserve"> MESA Sampling Data and MESA Clinic Data databases. This section explains how to complete each step.</w:t>
      </w:r>
    </w:p>
    <w:p>
      <w:pPr>
        <w:pStyle w:val="Romanbody"/>
        <w:rPr>
          <w:szCs w:val="18"/>
        </w:rPr>
      </w:pPr>
      <w:r>
        <w:rPr>
          <w:szCs w:val="18"/>
        </w:rPr>
      </w:r>
    </w:p>
    <w:p>
      <w:pPr>
        <w:pStyle w:val="Number1"/>
        <w:rPr/>
      </w:pPr>
      <w:r>
        <w:rPr/>
        <w:tab/>
        <w:t>1.</w:t>
        <w:tab/>
      </w:r>
      <w:r>
        <w:rPr>
          <w:u w:val="single"/>
        </w:rPr>
        <w:t>Selecting a Sample</w:t>
      </w:r>
    </w:p>
    <w:p>
      <w:pPr>
        <w:pStyle w:val="Normal"/>
        <w:rPr/>
      </w:pPr>
      <w:r>
        <w:rPr/>
      </w:r>
    </w:p>
    <w:p>
      <w:pPr>
        <w:pStyle w:val="Number11"/>
        <w:rPr/>
      </w:pPr>
      <w:r>
        <w:rPr/>
        <w:tab/>
        <w:t>1.1</w:t>
        <w:tab/>
        <w:t xml:space="preserve">Click on the mesa </w:t>
      </w:r>
      <w:r>
        <w:rPr>
          <w:rFonts w:cs="Arial;Arial" w:ascii="Arial;Arial" w:hAnsi="Arial;Arial"/>
          <w:b/>
          <w:bCs/>
          <w:smallCaps/>
          <w:sz w:val="20"/>
        </w:rPr>
        <w:t>sample icon</w:t>
      </w:r>
      <w:r>
        <w:rPr/>
        <w:t xml:space="preserve"> on the computer desktop to open the Sampling Database. Click on </w:t>
      </w:r>
      <w:r>
        <w:rPr>
          <w:rFonts w:cs="Arial;Arial" w:ascii="Arial;Arial" w:hAnsi="Arial;Arial"/>
          <w:b/>
          <w:bCs/>
          <w:smallCaps/>
          <w:sz w:val="20"/>
        </w:rPr>
        <w:t>select a sample</w:t>
      </w:r>
      <w:r>
        <w:rPr/>
        <w:t>. The database will prompt you to enter the number of people you want to include in the sample. It will then ask you whether you want a completely random sample or you want to specify certain percentages by age, gender, and race, if available on the sampling frame.</w:t>
      </w:r>
    </w:p>
    <w:p>
      <w:pPr>
        <w:pStyle w:val="Number11"/>
        <w:rPr/>
      </w:pPr>
      <w:r>
        <w:rPr/>
      </w:r>
    </w:p>
    <w:p>
      <w:pPr>
        <w:pStyle w:val="Number11"/>
        <w:rPr/>
      </w:pPr>
      <w:r>
        <w:rPr/>
        <w:tab/>
        <w:t>1.2</w:t>
        <w:tab/>
        <w:t xml:space="preserve">Click on </w:t>
      </w:r>
      <w:r>
        <w:rPr>
          <w:rFonts w:cs="Arial;Arial" w:ascii="Arial;Arial" w:hAnsi="Arial;Arial"/>
          <w:b/>
          <w:bCs/>
          <w:smallCaps/>
          <w:sz w:val="20"/>
        </w:rPr>
        <w:t>print the list</w:t>
      </w:r>
      <w:r>
        <w:rPr/>
        <w:t xml:space="preserve"> to print the contact list. You will note that at the top of the list is a “Cycle Number.” Each sample that you select is assigned a cycle number that is just a sequential number. (The first sample you select is “Cycle 1,” the second “Cycle 2,” etc.) When you enter status data for these samples later, you will enter batches according to this Cycle Number.</w:t>
      </w:r>
    </w:p>
    <w:p>
      <w:pPr>
        <w:pStyle w:val="Number11"/>
        <w:rPr/>
      </w:pPr>
      <w:r>
        <w:rPr/>
      </w:r>
    </w:p>
    <w:p>
      <w:pPr>
        <w:pStyle w:val="Number11"/>
        <w:rPr/>
      </w:pPr>
      <w:r>
        <w:rPr/>
        <w:tab/>
        <w:t>1.3</w:t>
        <w:tab/>
        <w:t>The first contact with potential participants is the introductory letter and brochure. The introductory letter is a Word document called introletter.doc. This file is located in the Participant Letters folder on your “MESA2” computer. To send this letter out, you will do a mail merge to put the participant name (if available) and address on each letter. You can also use this program to print address labels. If the participant’s name is not available, the site will just include “Dear Friend (or Neighbor or Resident)” in the file that contains the text of the letter.</w:t>
      </w:r>
    </w:p>
    <w:p>
      <w:pPr>
        <w:pStyle w:val="Normal"/>
        <w:rPr/>
      </w:pPr>
      <w:r>
        <w:rPr/>
      </w:r>
    </w:p>
    <w:p>
      <w:pPr>
        <w:pStyle w:val="Number1"/>
        <w:rPr/>
      </w:pPr>
      <w:r>
        <w:rPr/>
        <w:tab/>
        <w:t>2.</w:t>
        <w:tab/>
      </w:r>
      <w:r>
        <w:rPr>
          <w:u w:val="single"/>
        </w:rPr>
        <w:t>Entering Initial Contact Status</w:t>
      </w:r>
    </w:p>
    <w:p>
      <w:pPr>
        <w:pStyle w:val="Number11"/>
        <w:rPr/>
      </w:pPr>
      <w:r>
        <w:rPr/>
      </w:r>
    </w:p>
    <w:p>
      <w:pPr>
        <w:pStyle w:val="Number11"/>
        <w:rPr/>
      </w:pPr>
      <w:r>
        <w:rPr/>
        <w:tab/>
        <w:t>2.1</w:t>
        <w:tab/>
        <w:t>Follow your site-specific instructions for contacting the people on the Contact List.  Section 2.5.3.1, Screening Questionnaire, gives specific instructions for completing the Screening Questionnaire.</w:t>
      </w:r>
    </w:p>
    <w:p>
      <w:pPr>
        <w:pStyle w:val="Number11"/>
        <w:rPr/>
      </w:pPr>
      <w:r>
        <w:rPr/>
      </w:r>
    </w:p>
    <w:p>
      <w:pPr>
        <w:pStyle w:val="Number11"/>
        <w:rPr/>
      </w:pPr>
      <w:r>
        <w:rPr/>
        <w:tab/>
        <w:t>2.2</w:t>
        <w:tab/>
        <w:t>For each household listed on the Contact List, you will need to enter the contact type and a status code:</w:t>
      </w:r>
    </w:p>
    <w:p>
      <w:pPr>
        <w:pStyle w:val="Number11"/>
        <w:rPr/>
      </w:pPr>
      <w:r>
        <w:rPr/>
      </w:r>
    </w:p>
    <w:p>
      <w:pPr>
        <w:pStyle w:val="Number111"/>
        <w:rPr/>
      </w:pPr>
      <w:r>
        <w:rPr/>
        <w:tab/>
        <w:t>2.21</w:t>
        <w:tab/>
      </w:r>
      <w:r>
        <w:rPr>
          <w:u w:val="single"/>
        </w:rPr>
        <w:t>Initial contact types are</w:t>
      </w:r>
      <w:r>
        <w:rPr/>
        <w:t>:</w:t>
      </w:r>
    </w:p>
    <w:p>
      <w:pPr>
        <w:pStyle w:val="Number111"/>
        <w:rPr/>
      </w:pPr>
      <w:r>
        <w:rPr/>
      </w:r>
    </w:p>
    <w:p>
      <w:pPr>
        <w:pStyle w:val="Number111bodybullet"/>
        <w:rPr/>
      </w:pPr>
      <w:r>
        <w:rPr/>
        <w:tab/>
      </w:r>
      <w:r>
        <w:rPr>
          <w:rFonts w:eastAsia="Symbol" w:cs="Symbol" w:ascii="Symbol" w:hAnsi="Symbol"/>
        </w:rPr>
        <w:t></w:t>
      </w:r>
      <w:r>
        <w:rPr/>
        <w:tab/>
        <w:t>00 = None (you do not need to enter this code; it is the default code already in the computer)</w:t>
      </w:r>
    </w:p>
    <w:p>
      <w:pPr>
        <w:pStyle w:val="Number111bodybullet"/>
        <w:rPr/>
      </w:pPr>
      <w:r>
        <w:rPr/>
        <w:tab/>
      </w:r>
      <w:r>
        <w:rPr>
          <w:rFonts w:eastAsia="Symbol" w:cs="Symbol" w:ascii="Symbol" w:hAnsi="Symbol"/>
        </w:rPr>
        <w:t></w:t>
      </w:r>
      <w:r>
        <w:rPr/>
        <w:tab/>
        <w:t>01 = Telephone</w:t>
      </w:r>
    </w:p>
    <w:p>
      <w:pPr>
        <w:pStyle w:val="Number111bodybullet"/>
        <w:rPr/>
      </w:pPr>
      <w:r>
        <w:rPr/>
        <w:tab/>
      </w:r>
      <w:r>
        <w:rPr>
          <w:rFonts w:eastAsia="Symbol" w:cs="Symbol" w:ascii="Symbol" w:hAnsi="Symbol"/>
        </w:rPr>
        <w:t></w:t>
      </w:r>
      <w:r>
        <w:rPr/>
        <w:tab/>
        <w:t>02 = Home visit</w:t>
      </w:r>
    </w:p>
    <w:p>
      <w:pPr>
        <w:pStyle w:val="Number111"/>
        <w:tabs>
          <w:tab w:val="right" w:pos="1800" w:leader="none"/>
          <w:tab w:val="right" w:pos="1980" w:leader="none"/>
        </w:tabs>
        <w:ind w:left="2160" w:hanging="2160"/>
        <w:rPr/>
      </w:pPr>
      <w:r>
        <w:rPr/>
      </w:r>
    </w:p>
    <w:p>
      <w:pPr>
        <w:pStyle w:val="Number111"/>
        <w:rPr/>
      </w:pPr>
      <w:r>
        <w:rPr/>
        <w:tab/>
        <w:t>2.22</w:t>
        <w:tab/>
        <w:t>Record the type for the first successful contact, i.e., the first contact during which you spoke to an adult member of the household. Even if you contact an adult by phone and he/she asks you to come to his/her home to complete the Screener Form, the contact type is still “telephone.”</w:t>
      </w:r>
    </w:p>
    <w:p>
      <w:pPr>
        <w:pStyle w:val="Number111"/>
        <w:rPr/>
      </w:pPr>
      <w:r>
        <w:rPr/>
      </w:r>
    </w:p>
    <w:p>
      <w:pPr>
        <w:pStyle w:val="Number111"/>
        <w:rPr/>
      </w:pPr>
      <w:r>
        <w:rPr/>
        <w:tab/>
        <w:t>2.23</w:t>
        <w:tab/>
      </w:r>
      <w:r>
        <w:rPr>
          <w:u w:val="single"/>
        </w:rPr>
        <w:t>Initial contact status codes are</w:t>
      </w:r>
      <w:r>
        <w:rPr/>
        <w:t>:</w:t>
      </w:r>
    </w:p>
    <w:p>
      <w:pPr>
        <w:pStyle w:val="Normal"/>
        <w:rPr/>
      </w:pPr>
      <w:r>
        <w:rPr/>
      </w:r>
    </w:p>
    <w:p>
      <w:pPr>
        <w:pStyle w:val="Number111bodybullet"/>
        <w:rPr/>
      </w:pPr>
      <w:r>
        <w:rPr/>
        <w:tab/>
      </w:r>
      <w:r>
        <w:rPr>
          <w:rFonts w:eastAsia="Symbol" w:cs="Symbol" w:ascii="Symbol" w:hAnsi="Symbol"/>
        </w:rPr>
        <w:t></w:t>
      </w:r>
      <w:r>
        <w:rPr/>
        <w:tab/>
        <w:t>00 = contact not yet initiated (default code already in the computer)</w:t>
      </w:r>
    </w:p>
    <w:p>
      <w:pPr>
        <w:pStyle w:val="Number111bodybullet"/>
        <w:rPr/>
      </w:pPr>
      <w:r>
        <w:rPr/>
      </w:r>
    </w:p>
    <w:p>
      <w:pPr>
        <w:pStyle w:val="Number111bodybullet"/>
        <w:rPr/>
      </w:pPr>
      <w:r>
        <w:rPr/>
        <w:tab/>
      </w:r>
      <w:r>
        <w:rPr>
          <w:rFonts w:eastAsia="Symbol" w:cs="Symbol" w:ascii="Symbol" w:hAnsi="Symbol"/>
        </w:rPr>
        <w:t></w:t>
      </w:r>
      <w:r>
        <w:rPr/>
        <w:tab/>
        <w:t>01 = unlisted phone number</w:t>
      </w:r>
    </w:p>
    <w:p>
      <w:pPr>
        <w:pStyle w:val="Number111bodybullet"/>
        <w:rPr/>
      </w:pPr>
      <w:r>
        <w:rPr/>
        <w:tab/>
      </w:r>
      <w:r>
        <w:rPr>
          <w:rFonts w:eastAsia="Symbol" w:cs="Symbol" w:ascii="Symbol" w:hAnsi="Symbol"/>
        </w:rPr>
        <w:t></w:t>
      </w:r>
      <w:r>
        <w:rPr/>
        <w:tab/>
        <w:t>02 = phone disconnected or out of service</w:t>
      </w:r>
    </w:p>
    <w:p>
      <w:pPr>
        <w:pStyle w:val="Number111bodybullet"/>
        <w:rPr/>
      </w:pPr>
      <w:r>
        <w:rPr/>
        <w:tab/>
      </w:r>
      <w:r>
        <w:rPr>
          <w:rFonts w:eastAsia="Symbol" w:cs="Symbol" w:ascii="Symbol" w:hAnsi="Symbol"/>
        </w:rPr>
        <w:t></w:t>
      </w:r>
      <w:r>
        <w:rPr/>
        <w:tab/>
        <w:t>03 = busy signal/no answer</w:t>
      </w:r>
    </w:p>
    <w:p>
      <w:pPr>
        <w:pStyle w:val="Number111bodybullet"/>
        <w:rPr/>
      </w:pPr>
      <w:r>
        <w:rPr/>
        <w:tab/>
      </w:r>
      <w:r>
        <w:rPr>
          <w:rFonts w:eastAsia="Symbol" w:cs="Symbol" w:ascii="Symbol" w:hAnsi="Symbol"/>
        </w:rPr>
        <w:t></w:t>
      </w:r>
      <w:r>
        <w:rPr/>
        <w:tab/>
        <w:t>04 = left message on answering machine</w:t>
      </w:r>
    </w:p>
    <w:p>
      <w:pPr>
        <w:pStyle w:val="Number111bodybullet"/>
        <w:rPr/>
      </w:pPr>
      <w:r>
        <w:rPr/>
        <w:tab/>
      </w:r>
      <w:r>
        <w:rPr>
          <w:rFonts w:eastAsia="Symbol" w:cs="Symbol" w:ascii="Symbol" w:hAnsi="Symbol"/>
        </w:rPr>
        <w:t></w:t>
      </w:r>
      <w:r>
        <w:rPr/>
        <w:tab/>
        <w:t xml:space="preserve">05 = person busy, call back on </w:t>
      </w:r>
      <w:r>
        <w:rPr>
          <w:i/>
          <w:iCs/>
        </w:rPr>
        <w:t>(give date)</w:t>
      </w:r>
      <w:r>
        <w:rPr>
          <w:u w:val="single"/>
        </w:rPr>
        <w:t xml:space="preserve">       </w:t>
      </w:r>
    </w:p>
    <w:p>
      <w:pPr>
        <w:pStyle w:val="Number111bodybullet"/>
        <w:rPr/>
      </w:pPr>
      <w:r>
        <w:rPr/>
        <w:tab/>
      </w:r>
      <w:r>
        <w:rPr>
          <w:rFonts w:eastAsia="Symbol" w:cs="Symbol" w:ascii="Symbol" w:hAnsi="Symbol"/>
        </w:rPr>
        <w:t></w:t>
      </w:r>
      <w:r>
        <w:rPr/>
        <w:tab/>
        <w:t>06 = home visit scheduled</w:t>
      </w:r>
    </w:p>
    <w:p>
      <w:pPr>
        <w:pStyle w:val="Number111bodybullet"/>
        <w:rPr/>
      </w:pPr>
      <w:r>
        <w:rPr/>
        <w:tab/>
      </w:r>
      <w:r>
        <w:rPr>
          <w:rFonts w:eastAsia="Symbol" w:cs="Symbol" w:ascii="Symbol" w:hAnsi="Symbol"/>
        </w:rPr>
        <w:t></w:t>
      </w:r>
      <w:r>
        <w:rPr/>
        <w:tab/>
        <w:t>07 = home visit cold call, not home</w:t>
      </w:r>
    </w:p>
    <w:p>
      <w:pPr>
        <w:pStyle w:val="Number111bodybullet"/>
        <w:rPr/>
      </w:pPr>
      <w:r>
        <w:rPr/>
      </w:r>
    </w:p>
    <w:p>
      <w:pPr>
        <w:pStyle w:val="Number111bodybullet"/>
        <w:rPr/>
      </w:pPr>
      <w:r>
        <w:rPr/>
        <w:tab/>
      </w:r>
      <w:r>
        <w:rPr>
          <w:rFonts w:eastAsia="Symbol" w:cs="Symbol" w:ascii="Symbol" w:hAnsi="Symbol"/>
        </w:rPr>
        <w:t></w:t>
      </w:r>
      <w:r>
        <w:rPr/>
        <w:tab/>
        <w:t>20 = Household enumerated</w:t>
      </w:r>
    </w:p>
    <w:p>
      <w:pPr>
        <w:pStyle w:val="Number111bodybullet"/>
        <w:rPr/>
      </w:pPr>
      <w:r>
        <w:rPr/>
        <w:tab/>
      </w:r>
      <w:r>
        <w:rPr>
          <w:rFonts w:eastAsia="Symbol" w:cs="Symbol" w:ascii="Symbol" w:hAnsi="Symbol"/>
        </w:rPr>
        <w:t></w:t>
      </w:r>
      <w:r>
        <w:rPr/>
        <w:tab/>
        <w:t>21 = Unable to locate</w:t>
      </w:r>
    </w:p>
    <w:p>
      <w:pPr>
        <w:pStyle w:val="Number111bodybullet"/>
        <w:rPr/>
      </w:pPr>
      <w:r>
        <w:rPr/>
        <w:tab/>
      </w:r>
      <w:r>
        <w:rPr>
          <w:rFonts w:eastAsia="Symbol" w:cs="Symbol" w:ascii="Symbol" w:hAnsi="Symbol"/>
        </w:rPr>
        <w:t></w:t>
      </w:r>
      <w:r>
        <w:rPr/>
        <w:tab/>
        <w:t>22 = Non-residential phone or address</w:t>
      </w:r>
    </w:p>
    <w:p>
      <w:pPr>
        <w:pStyle w:val="Number111bodybullet"/>
        <w:rPr/>
      </w:pPr>
      <w:r>
        <w:rPr/>
        <w:tab/>
      </w:r>
      <w:r>
        <w:rPr>
          <w:rFonts w:eastAsia="Symbol" w:cs="Symbol" w:ascii="Symbol" w:hAnsi="Symbol"/>
        </w:rPr>
        <w:t></w:t>
      </w:r>
      <w:r>
        <w:rPr/>
        <w:tab/>
        <w:t>23 = Refused enumeration</w:t>
      </w:r>
    </w:p>
    <w:p>
      <w:pPr>
        <w:pStyle w:val="Number111bodybullet"/>
        <w:rPr/>
      </w:pPr>
      <w:r>
        <w:rPr/>
        <w:tab/>
      </w:r>
      <w:r>
        <w:rPr>
          <w:rFonts w:eastAsia="Symbol" w:cs="Symbol" w:ascii="Symbol" w:hAnsi="Symbol"/>
        </w:rPr>
        <w:t></w:t>
      </w:r>
      <w:r>
        <w:rPr/>
        <w:tab/>
        <w:t>24 = Household ineligible (language)</w:t>
      </w:r>
    </w:p>
    <w:p>
      <w:pPr>
        <w:pStyle w:val="Number111bodybullet"/>
        <w:rPr/>
      </w:pPr>
      <w:r>
        <w:rPr/>
        <w:tab/>
      </w:r>
      <w:r>
        <w:rPr>
          <w:rFonts w:eastAsia="Symbol" w:cs="Symbol" w:ascii="Symbol" w:hAnsi="Symbol"/>
        </w:rPr>
        <w:t></w:t>
      </w:r>
      <w:r>
        <w:rPr/>
        <w:tab/>
        <w:t>25 = Household ineligible (age)</w:t>
      </w:r>
    </w:p>
    <w:p>
      <w:pPr>
        <w:pStyle w:val="Normal"/>
        <w:rPr/>
      </w:pPr>
      <w:r>
        <w:rPr/>
      </w:r>
    </w:p>
    <w:p>
      <w:pPr>
        <w:pStyle w:val="Number111"/>
        <w:rPr/>
      </w:pPr>
      <w:r>
        <w:rPr/>
        <w:tab/>
        <w:t>2.24</w:t>
        <w:tab/>
        <w:t>For instructions on data entry, please refer to Section 6.</w:t>
      </w:r>
    </w:p>
    <w:p>
      <w:pPr>
        <w:pStyle w:val="Number111"/>
        <w:rPr/>
      </w:pPr>
      <w:r>
        <w:rPr/>
      </w:r>
    </w:p>
    <w:p>
      <w:pPr>
        <w:pStyle w:val="Number111"/>
        <w:rPr/>
      </w:pPr>
      <w:r>
        <w:rPr/>
        <w:tab/>
        <w:t>2.25</w:t>
        <w:tab/>
        <w:t>Codes 0 through 7, above, are “pending” codes, and indicate that you are working on, but have not yet made, the initial contact. If you enter these into the computer, you will be able to run reports to determine the contact status of all sampled households. Codes 20–25 are “final” codes for the initial contact. A final code must be entered eventually for each sampled household.</w:t>
      </w:r>
    </w:p>
    <w:p>
      <w:pPr>
        <w:pStyle w:val="Number111"/>
        <w:rPr/>
      </w:pPr>
      <w:r>
        <w:rPr/>
      </w:r>
    </w:p>
    <w:p>
      <w:pPr>
        <w:pStyle w:val="Number111"/>
        <w:rPr/>
      </w:pPr>
      <w:r>
        <w:rPr/>
        <w:tab/>
        <w:t>2.26</w:t>
        <w:tab/>
        <w:t>If one person in the household completes the Screening Form to at least household enumeration, code the contact as 20 (household enumerated), even if the person then refuses to answer any more questions.</w:t>
      </w:r>
    </w:p>
    <w:p>
      <w:pPr>
        <w:pStyle w:val="Normal"/>
        <w:rPr/>
      </w:pPr>
      <w:r>
        <w:rPr/>
      </w:r>
    </w:p>
    <w:p>
      <w:pPr>
        <w:pStyle w:val="Number111"/>
        <w:rPr/>
      </w:pPr>
      <w:r>
        <w:rPr/>
        <w:tab/>
        <w:t>2.27</w:t>
        <w:tab/>
        <w:t>Use code 23 (refused enumeration) if the person refused to answer any questions before the household was enumerated (for example, if he/she hung up immediately).</w:t>
      </w:r>
    </w:p>
    <w:p>
      <w:pPr>
        <w:pStyle w:val="Number111"/>
        <w:rPr/>
      </w:pPr>
      <w:r>
        <w:rPr/>
      </w:r>
    </w:p>
    <w:p>
      <w:pPr>
        <w:pStyle w:val="Number111"/>
        <w:rPr/>
      </w:pPr>
      <w:r>
        <w:rPr/>
        <w:tab/>
        <w:t>2.28</w:t>
        <w:tab/>
        <w:t xml:space="preserve">Codes 24 and 25 apply to households for which no Screening Form was completed (all members ineligible due to age or language). </w:t>
      </w:r>
    </w:p>
    <w:p>
      <w:pPr>
        <w:pStyle w:val="Normal"/>
        <w:rPr/>
      </w:pPr>
      <w:r>
        <w:rPr/>
      </w:r>
    </w:p>
    <w:p>
      <w:pPr>
        <w:pStyle w:val="Number11"/>
        <w:rPr/>
      </w:pPr>
      <w:r>
        <w:rPr/>
        <w:tab/>
        <w:t>2.3</w:t>
        <w:tab/>
        <w:t>The Sampling database is organized by households. That is, each line (record) in the database (and each line on the contact list) refers to the household that lives at that address or telephone number. The household may include one or more eligible individuals. However, only households, not individuals are tracked in the Sampling database.</w:t>
      </w:r>
    </w:p>
    <w:p>
      <w:pPr>
        <w:pStyle w:val="Normal"/>
        <w:rPr/>
      </w:pPr>
      <w:r>
        <w:rPr/>
      </w:r>
    </w:p>
    <w:p>
      <w:pPr>
        <w:pStyle w:val="Number1"/>
        <w:rPr/>
      </w:pPr>
      <w:r>
        <w:rPr/>
        <w:tab/>
        <w:t>3.</w:t>
        <w:tab/>
      </w:r>
      <w:r>
        <w:rPr>
          <w:u w:val="single"/>
        </w:rPr>
        <w:t>Assigning a Household ID</w:t>
      </w:r>
    </w:p>
    <w:p>
      <w:pPr>
        <w:pStyle w:val="Number1"/>
        <w:rPr/>
      </w:pPr>
      <w:r>
        <w:rPr/>
      </w:r>
    </w:p>
    <w:p>
      <w:pPr>
        <w:pStyle w:val="Number1"/>
        <w:rPr/>
      </w:pPr>
      <w:r>
        <w:rPr/>
        <w:tab/>
        <w:tab/>
        <w:t>When a person from the sampled household agrees to complete the Household Enumeration Form, a Household ID, which is preprinted on the form, is assigned to that sampled household. It will look something like this: H40035. You will enter the ID number into the Sampling database for each household that completes an Enumeration Form. Household IDs are composed of the following elements:</w:t>
      </w:r>
    </w:p>
    <w:p>
      <w:pPr>
        <w:pStyle w:val="Number1"/>
        <w:rPr/>
      </w:pPr>
      <w:r>
        <w:rPr/>
      </w:r>
    </w:p>
    <w:p>
      <w:pPr>
        <w:pStyle w:val="Number1bodybullet"/>
        <w:rPr/>
      </w:pPr>
      <w:r>
        <w:rPr>
          <w:rFonts w:eastAsia="Symbol" w:cs="Symbol" w:ascii="Symbol" w:hAnsi="Symbol"/>
        </w:rPr>
        <w:t></w:t>
      </w:r>
      <w:r>
        <w:rPr/>
        <w:tab/>
        <w:t>Starts with the letter “H” (“household”)</w:t>
      </w:r>
    </w:p>
    <w:p>
      <w:pPr>
        <w:pStyle w:val="Number1bodybullet"/>
        <w:rPr/>
      </w:pPr>
      <w:r>
        <w:rPr>
          <w:rFonts w:eastAsia="Symbol" w:cs="Symbol" w:ascii="Symbol" w:hAnsi="Symbol"/>
        </w:rPr>
        <w:t></w:t>
      </w:r>
      <w:r>
        <w:rPr/>
        <w:tab/>
        <w:t>Followed by the Field Center ID number</w:t>
      </w:r>
    </w:p>
    <w:p>
      <w:pPr>
        <w:pStyle w:val="Number11bodybullet"/>
        <w:rPr/>
      </w:pPr>
      <w:r>
        <w:rPr/>
        <w:tab/>
        <w:t>-</w:t>
        <w:tab/>
        <w:t>3 = Wake Forest</w:t>
      </w:r>
    </w:p>
    <w:p>
      <w:pPr>
        <w:pStyle w:val="Number11bodybullet"/>
        <w:rPr/>
      </w:pPr>
      <w:r>
        <w:rPr/>
        <w:tab/>
        <w:t>-</w:t>
        <w:tab/>
        <w:t>4 = Columbia</w:t>
      </w:r>
    </w:p>
    <w:p>
      <w:pPr>
        <w:pStyle w:val="Number11bodybullet"/>
        <w:rPr/>
      </w:pPr>
      <w:r>
        <w:rPr/>
        <w:tab/>
        <w:t>-</w:t>
        <w:tab/>
        <w:t>5 = Johns Hopkins</w:t>
      </w:r>
    </w:p>
    <w:p>
      <w:pPr>
        <w:pStyle w:val="Number11bodybullet"/>
        <w:rPr/>
      </w:pPr>
      <w:r>
        <w:rPr/>
        <w:tab/>
        <w:t>-</w:t>
        <w:tab/>
        <w:t>6 = Minnesota</w:t>
      </w:r>
    </w:p>
    <w:p>
      <w:pPr>
        <w:pStyle w:val="Number11bodybullet"/>
        <w:rPr/>
      </w:pPr>
      <w:r>
        <w:rPr/>
        <w:tab/>
        <w:t>-</w:t>
        <w:tab/>
        <w:t>7 = Northwestern/Loyola</w:t>
      </w:r>
    </w:p>
    <w:p>
      <w:pPr>
        <w:pStyle w:val="Number11bodybullet"/>
        <w:rPr/>
      </w:pPr>
      <w:r>
        <w:rPr/>
        <w:tab/>
        <w:t>-</w:t>
        <w:tab/>
        <w:t>8 =UCLA</w:t>
      </w:r>
    </w:p>
    <w:p>
      <w:pPr>
        <w:pStyle w:val="Number1bodybullet"/>
        <w:rPr/>
      </w:pPr>
      <w:r>
        <w:rPr>
          <w:rFonts w:eastAsia="Symbol" w:cs="Symbol" w:ascii="Symbol" w:hAnsi="Symbol"/>
        </w:rPr>
        <w:t></w:t>
      </w:r>
      <w:r>
        <w:rPr/>
        <w:tab/>
        <w:t>Followed by a sequential number (beginning with 0001)</w:t>
      </w:r>
    </w:p>
    <w:p>
      <w:pPr>
        <w:pStyle w:val="Number1bodybullet"/>
        <w:rPr/>
      </w:pPr>
      <w:r>
        <w:rPr/>
      </w:r>
    </w:p>
    <w:p>
      <w:pPr>
        <w:pStyle w:val="Number1"/>
        <w:rPr/>
      </w:pPr>
      <w:r>
        <w:rPr/>
        <w:tab/>
        <w:t>4.</w:t>
        <w:tab/>
      </w:r>
      <w:r>
        <w:rPr>
          <w:u w:val="single"/>
        </w:rPr>
        <w:t>Assigning a Recruitment ID</w:t>
      </w:r>
    </w:p>
    <w:p>
      <w:pPr>
        <w:pStyle w:val="Number1"/>
        <w:rPr/>
      </w:pPr>
      <w:r>
        <w:rPr/>
      </w:r>
    </w:p>
    <w:p>
      <w:pPr>
        <w:pStyle w:val="Number1"/>
        <w:rPr/>
      </w:pPr>
      <w:r>
        <w:rPr/>
        <w:tab/>
        <w:tab/>
        <w:t>Each individual within a household is identified by his/her Household ID number, followed by a letter (A, B, C, etc.) assigned as the members are screened. (These letters are printed at the beginning of each name line on the Household Enumeration Form.) The Recruitment ID looks something like this: H30346C</w:t>
      </w:r>
    </w:p>
    <w:p>
      <w:pPr>
        <w:pStyle w:val="Number1"/>
        <w:rPr/>
      </w:pPr>
      <w:r>
        <w:rPr/>
      </w:r>
    </w:p>
    <w:p>
      <w:pPr>
        <w:pStyle w:val="Number1"/>
        <w:rPr/>
      </w:pPr>
      <w:r>
        <w:rPr/>
        <w:tab/>
        <w:t>5.</w:t>
        <w:tab/>
      </w:r>
      <w:r>
        <w:rPr>
          <w:u w:val="single"/>
        </w:rPr>
        <w:t>Screening Status Codes</w:t>
      </w:r>
    </w:p>
    <w:p>
      <w:pPr>
        <w:pStyle w:val="Number1"/>
        <w:rPr/>
      </w:pPr>
      <w:r>
        <w:rPr/>
      </w:r>
    </w:p>
    <w:p>
      <w:pPr>
        <w:pStyle w:val="Number1body"/>
        <w:rPr/>
      </w:pPr>
      <w:r>
        <w:rPr/>
        <w:t xml:space="preserve">Because the Sampling Database is organized by Households, information about the status of individuals cannot be entered there. Once a household has been contacted and enumerated, you will attempt to complete a Screening Questionnaire on each individual. The status of each individual must be entered into a database. To enter this information, click on the MESA </w:t>
      </w:r>
      <w:r>
        <w:rPr>
          <w:rFonts w:cs="Arial;Arial" w:ascii="Arial;Arial" w:hAnsi="Arial;Arial"/>
          <w:b/>
          <w:bCs/>
          <w:smallCaps/>
          <w:sz w:val="20"/>
        </w:rPr>
        <w:t>data management icon</w:t>
      </w:r>
      <w:r>
        <w:rPr/>
        <w:t xml:space="preserve">. On the Main Menu, select </w:t>
      </w:r>
      <w:r>
        <w:rPr>
          <w:rFonts w:cs="Arial;Arial" w:ascii="Arial;Arial" w:hAnsi="Arial;Arial"/>
          <w:b/>
          <w:bCs/>
          <w:smallCaps/>
          <w:sz w:val="20"/>
        </w:rPr>
        <w:t>recruitment</w:t>
      </w:r>
      <w:r>
        <w:rPr/>
        <w:t xml:space="preserve">, and then select </w:t>
      </w:r>
      <w:r>
        <w:rPr>
          <w:rFonts w:cs="Arial;Arial" w:ascii="Arial;Arial" w:hAnsi="Arial;Arial"/>
          <w:b/>
          <w:bCs/>
          <w:smallCaps/>
          <w:sz w:val="20"/>
        </w:rPr>
        <w:t>household members</w:t>
      </w:r>
      <w:r>
        <w:rPr/>
        <w:t xml:space="preserve"> and chose the appropriate status code</w:t>
      </w:r>
    </w:p>
    <w:p>
      <w:pPr>
        <w:pStyle w:val="Number1body"/>
        <w:rPr/>
      </w:pPr>
      <w:r>
        <w:rPr/>
      </w:r>
    </w:p>
    <w:p>
      <w:pPr>
        <w:pStyle w:val="Number11"/>
        <w:rPr/>
      </w:pPr>
      <w:r>
        <w:rPr/>
        <w:tab/>
        <w:t>5.1</w:t>
        <w:tab/>
        <w:t>Status Codes:</w:t>
      </w:r>
    </w:p>
    <w:p>
      <w:pPr>
        <w:pStyle w:val="Normal"/>
        <w:rPr/>
      </w:pPr>
      <w:r>
        <w:rPr/>
      </w:r>
    </w:p>
    <w:p>
      <w:pPr>
        <w:pStyle w:val="Number11bodybullet"/>
        <w:rPr/>
      </w:pPr>
      <w:r>
        <w:rPr/>
        <w:tab/>
      </w:r>
      <w:r>
        <w:rPr>
          <w:rFonts w:eastAsia="Symbol" w:cs="Symbol" w:ascii="Symbol" w:hAnsi="Symbol"/>
        </w:rPr>
        <w:t></w:t>
      </w:r>
      <w:r>
        <w:rPr/>
        <w:tab/>
        <w:t>00 = screening not attempted (default code already in the computer)</w:t>
      </w:r>
    </w:p>
    <w:p>
      <w:pPr>
        <w:pStyle w:val="Number11bodybullet"/>
        <w:rPr/>
      </w:pPr>
      <w:r>
        <w:rPr/>
      </w:r>
    </w:p>
    <w:p>
      <w:pPr>
        <w:pStyle w:val="Number11bodybullet"/>
        <w:rPr/>
      </w:pPr>
      <w:r>
        <w:rPr/>
        <w:tab/>
      </w:r>
      <w:r>
        <w:rPr>
          <w:rFonts w:eastAsia="Symbol" w:cs="Symbol" w:ascii="Symbol" w:hAnsi="Symbol"/>
        </w:rPr>
        <w:t></w:t>
      </w:r>
      <w:r>
        <w:rPr/>
        <w:tab/>
        <w:t xml:space="preserve">01 = call back on… </w:t>
      </w:r>
      <w:r>
        <w:rPr>
          <w:i/>
          <w:iCs/>
        </w:rPr>
        <w:t>(enter date)</w:t>
      </w:r>
    </w:p>
    <w:p>
      <w:pPr>
        <w:pStyle w:val="Number11bodybullet"/>
        <w:rPr/>
      </w:pPr>
      <w:r>
        <w:rPr/>
        <w:tab/>
      </w:r>
      <w:r>
        <w:rPr>
          <w:rFonts w:eastAsia="Symbol" w:cs="Symbol" w:ascii="Symbol" w:hAnsi="Symbol"/>
        </w:rPr>
        <w:t></w:t>
      </w:r>
      <w:r>
        <w:rPr/>
        <w:tab/>
        <w:t xml:space="preserve">02 = screening partially completed, call back on … </w:t>
      </w:r>
      <w:r>
        <w:rPr>
          <w:i/>
          <w:iCs/>
        </w:rPr>
        <w:t>(enter date)</w:t>
      </w:r>
      <w:r>
        <w:rPr/>
        <w:t xml:space="preserve"> to complete interview</w:t>
      </w:r>
    </w:p>
    <w:p>
      <w:pPr>
        <w:pStyle w:val="Number11bodybullet"/>
        <w:rPr/>
      </w:pPr>
      <w:r>
        <w:rPr/>
        <w:tab/>
      </w:r>
      <w:r>
        <w:rPr>
          <w:rFonts w:eastAsia="Symbol" w:cs="Symbol" w:ascii="Symbol" w:hAnsi="Symbol"/>
        </w:rPr>
        <w:t></w:t>
      </w:r>
      <w:r>
        <w:rPr/>
        <w:tab/>
        <w:t>03 = busy signal/no answer</w:t>
      </w:r>
    </w:p>
    <w:p>
      <w:pPr>
        <w:pStyle w:val="Number11bodybullet"/>
        <w:rPr/>
      </w:pPr>
      <w:r>
        <w:rPr/>
        <w:tab/>
      </w:r>
      <w:r>
        <w:rPr>
          <w:rFonts w:eastAsia="Symbol" w:cs="Symbol" w:ascii="Symbol" w:hAnsi="Symbol"/>
        </w:rPr>
        <w:t></w:t>
      </w:r>
      <w:r>
        <w:rPr/>
        <w:tab/>
        <w:t>04 = left message on answering machine</w:t>
      </w:r>
    </w:p>
    <w:p>
      <w:pPr>
        <w:pStyle w:val="Number11bodybullet"/>
        <w:rPr/>
      </w:pPr>
      <w:r>
        <w:rPr/>
        <w:tab/>
      </w:r>
      <w:r>
        <w:rPr>
          <w:rFonts w:eastAsia="Symbol" w:cs="Symbol" w:ascii="Symbol" w:hAnsi="Symbol"/>
        </w:rPr>
        <w:t></w:t>
      </w:r>
      <w:r>
        <w:rPr/>
        <w:tab/>
        <w:t xml:space="preserve">05 = person busy, call back on… </w:t>
      </w:r>
      <w:r>
        <w:rPr>
          <w:i/>
          <w:iCs/>
        </w:rPr>
        <w:t>(enter date)</w:t>
      </w:r>
      <w:r>
        <w:rPr>
          <w:u w:val="single"/>
        </w:rPr>
        <w:t xml:space="preserve">      </w:t>
      </w:r>
    </w:p>
    <w:p>
      <w:pPr>
        <w:pStyle w:val="Number11bodybullet"/>
        <w:rPr/>
      </w:pPr>
      <w:r>
        <w:rPr/>
        <w:tab/>
      </w:r>
      <w:r>
        <w:rPr>
          <w:rFonts w:eastAsia="Symbol" w:cs="Symbol" w:ascii="Symbol" w:hAnsi="Symbol"/>
        </w:rPr>
        <w:t></w:t>
      </w:r>
      <w:r>
        <w:rPr/>
        <w:tab/>
        <w:t xml:space="preserve">06 = home visit scheduled </w:t>
      </w:r>
      <w:r>
        <w:rPr>
          <w:i/>
          <w:iCs/>
        </w:rPr>
        <w:t>(enter date)</w:t>
      </w:r>
    </w:p>
    <w:p>
      <w:pPr>
        <w:pStyle w:val="Number11bodybullet"/>
        <w:rPr>
          <w:i/>
          <w:i/>
          <w:iCs/>
        </w:rPr>
      </w:pPr>
      <w:r>
        <w:rPr>
          <w:i/>
          <w:iCs/>
        </w:rPr>
      </w:r>
    </w:p>
    <w:p>
      <w:pPr>
        <w:pStyle w:val="Number11bodybullet"/>
        <w:rPr/>
      </w:pPr>
      <w:r>
        <w:rPr/>
        <w:tab/>
      </w:r>
      <w:r>
        <w:rPr>
          <w:rFonts w:eastAsia="Symbol" w:cs="Symbol" w:ascii="Symbol" w:hAnsi="Symbol"/>
        </w:rPr>
        <w:t></w:t>
      </w:r>
      <w:r>
        <w:rPr/>
        <w:tab/>
        <w:t>20 = screening complete</w:t>
      </w:r>
    </w:p>
    <w:p>
      <w:pPr>
        <w:pStyle w:val="Number11bodybullet"/>
        <w:rPr/>
      </w:pPr>
      <w:r>
        <w:rPr/>
        <w:tab/>
      </w:r>
      <w:r>
        <w:rPr>
          <w:rFonts w:eastAsia="Symbol" w:cs="Symbol" w:ascii="Symbol" w:hAnsi="Symbol"/>
        </w:rPr>
        <w:t></w:t>
      </w:r>
      <w:r>
        <w:rPr/>
        <w:tab/>
        <w:t>21 = screening refused</w:t>
      </w:r>
    </w:p>
    <w:p>
      <w:pPr>
        <w:pStyle w:val="Number11bodybullet"/>
        <w:rPr/>
      </w:pPr>
      <w:r>
        <w:rPr/>
        <w:tab/>
      </w:r>
      <w:r>
        <w:rPr>
          <w:rFonts w:eastAsia="Symbol" w:cs="Symbol" w:ascii="Symbol" w:hAnsi="Symbol"/>
        </w:rPr>
        <w:t></w:t>
      </w:r>
      <w:r>
        <w:rPr/>
        <w:tab/>
        <w:t>22 = unable to contact individual after a minimum of three attempts</w:t>
      </w:r>
    </w:p>
    <w:p>
      <w:pPr>
        <w:pStyle w:val="Number11bodybullet"/>
        <w:rPr/>
      </w:pPr>
      <w:r>
        <w:rPr/>
        <w:tab/>
      </w:r>
      <w:r>
        <w:rPr>
          <w:rFonts w:eastAsia="Symbol" w:cs="Symbol" w:ascii="Symbol" w:hAnsi="Symbol"/>
        </w:rPr>
        <w:t></w:t>
      </w:r>
      <w:r>
        <w:rPr/>
        <w:tab/>
        <w:t>23 = screening partially completed, but person refused to finish</w:t>
      </w:r>
    </w:p>
    <w:p>
      <w:pPr>
        <w:pStyle w:val="Normal"/>
        <w:rPr/>
      </w:pPr>
      <w:r>
        <w:rPr/>
      </w:r>
    </w:p>
    <w:p>
      <w:pPr>
        <w:pStyle w:val="Number111"/>
        <w:rPr/>
      </w:pPr>
      <w:r>
        <w:rPr/>
        <w:tab/>
        <w:t>5.12</w:t>
        <w:tab/>
        <w:t>00–06 are “pending” codes, entered in order to allow the computer to track individuals whose screening status is not finalized. 20–23 are “final” codes and are used only when a person’s screening process is completed, for whatever reason (see comments, below, for explanation of completed screening).</w:t>
      </w:r>
    </w:p>
    <w:p>
      <w:pPr>
        <w:pStyle w:val="Number11"/>
        <w:rPr/>
      </w:pPr>
      <w:r>
        <w:rPr/>
      </w:r>
    </w:p>
    <w:p>
      <w:pPr>
        <w:pStyle w:val="Number111"/>
        <w:rPr/>
      </w:pPr>
      <w:r>
        <w:rPr/>
        <w:tab/>
        <w:t>5.13</w:t>
        <w:tab/>
        <w:t>Use code 20 for a fully completed Screening Form, regardless of whether the person will participate in MESA. Use code 21 (screening refused) only if the person refused to talk to the interviewer at all. Use code 22 (unable to contact individual after at least three attempts) if the person cannot be contacted and does not return your calls. Use code 23 if the person partially completes the screening form but then refuses to finish it.</w:t>
      </w:r>
    </w:p>
    <w:p>
      <w:pPr>
        <w:pStyle w:val="Number11"/>
        <w:rPr/>
      </w:pPr>
      <w:r>
        <w:rPr/>
      </w:r>
    </w:p>
    <w:p>
      <w:pPr>
        <w:pStyle w:val="Number1"/>
        <w:rPr/>
      </w:pPr>
      <w:r>
        <w:rPr/>
        <w:tab/>
        <w:t>6.</w:t>
        <w:tab/>
      </w:r>
      <w:r>
        <w:rPr>
          <w:u w:val="single"/>
        </w:rPr>
        <w:t>Clinic Visit Codes</w:t>
      </w:r>
    </w:p>
    <w:p>
      <w:pPr>
        <w:pStyle w:val="Normal"/>
        <w:rPr/>
      </w:pPr>
      <w:r>
        <w:rPr/>
      </w:r>
    </w:p>
    <w:p>
      <w:pPr>
        <w:pStyle w:val="Number1body"/>
        <w:rPr/>
      </w:pPr>
      <w:r>
        <w:rPr/>
        <w:t>Once an individual has completed a Screening Form, is deemed eligible for MESA, and has agreed to participate, the next step is the clinic visit, which must also be tracked using Status Codes.</w:t>
      </w:r>
    </w:p>
    <w:p>
      <w:pPr>
        <w:pStyle w:val="Number1body"/>
        <w:rPr/>
      </w:pPr>
      <w:r>
        <w:rPr/>
      </w:r>
    </w:p>
    <w:p>
      <w:pPr>
        <w:pStyle w:val="Number11"/>
        <w:rPr/>
      </w:pPr>
      <w:r>
        <w:rPr/>
        <w:tab/>
        <w:t>6.1</w:t>
        <w:tab/>
        <w:t>Status codes:</w:t>
      </w:r>
    </w:p>
    <w:p>
      <w:pPr>
        <w:pStyle w:val="Number11bodybullet"/>
        <w:rPr>
          <w:rFonts w:ascii="Arial;Arial" w:hAnsi="Arial;Arial" w:cs="Arial;Arial"/>
        </w:rPr>
      </w:pPr>
      <w:r>
        <w:rPr>
          <w:rFonts w:cs="Arial;Arial" w:ascii="Arial;Arial" w:hAnsi="Arial;Arial"/>
        </w:rPr>
      </w:r>
    </w:p>
    <w:p>
      <w:pPr>
        <w:pStyle w:val="Number11bodybullet"/>
        <w:rPr/>
      </w:pPr>
      <w:r>
        <w:rPr>
          <w:rFonts w:cs="Arial;Arial" w:ascii="Arial;Arial" w:hAnsi="Arial;Arial"/>
        </w:rPr>
        <w:tab/>
      </w:r>
      <w:r>
        <w:rPr>
          <w:rFonts w:eastAsia="Symbol" w:cs="Symbol" w:ascii="Symbol" w:hAnsi="Symbol"/>
        </w:rPr>
        <w:t></w:t>
      </w:r>
      <w:r>
        <w:rPr/>
        <w:tab/>
        <w:t>01 =  clinic visit not yet scheduled; call back on…</w:t>
      </w:r>
      <w:r>
        <w:rPr>
          <w:i/>
          <w:iCs/>
        </w:rPr>
        <w:t xml:space="preserve"> (enter date)</w:t>
      </w:r>
    </w:p>
    <w:p>
      <w:pPr>
        <w:pStyle w:val="Number11bodybullet"/>
        <w:rPr/>
      </w:pPr>
      <w:r>
        <w:rPr/>
        <w:tab/>
      </w:r>
      <w:r>
        <w:rPr>
          <w:rFonts w:eastAsia="Symbol" w:cs="Symbol" w:ascii="Symbol" w:hAnsi="Symbol"/>
        </w:rPr>
        <w:t></w:t>
      </w:r>
      <w:r>
        <w:rPr/>
        <w:tab/>
        <w:t>02 = no show</w:t>
      </w:r>
    </w:p>
    <w:p>
      <w:pPr>
        <w:pStyle w:val="Number11bodybullet"/>
        <w:rPr/>
      </w:pPr>
      <w:r>
        <w:rPr/>
        <w:tab/>
      </w:r>
      <w:r>
        <w:rPr>
          <w:rFonts w:eastAsia="Symbol" w:cs="Symbol" w:ascii="Symbol" w:hAnsi="Symbol"/>
        </w:rPr>
        <w:t></w:t>
      </w:r>
      <w:r>
        <w:rPr/>
        <w:tab/>
        <w:t>03 = visit cancelled</w:t>
      </w:r>
    </w:p>
    <w:p>
      <w:pPr>
        <w:pStyle w:val="Number11bodybullet"/>
        <w:rPr/>
      </w:pPr>
      <w:r>
        <w:rPr/>
        <w:tab/>
      </w:r>
      <w:r>
        <w:rPr>
          <w:rFonts w:eastAsia="Symbol" w:cs="Symbol" w:ascii="Symbol" w:hAnsi="Symbol"/>
        </w:rPr>
        <w:t></w:t>
      </w:r>
      <w:r>
        <w:rPr/>
        <w:tab/>
        <w:t>04 = partial clinic visit, will return on…</w:t>
      </w:r>
      <w:r>
        <w:rPr>
          <w:i/>
          <w:iCs/>
        </w:rPr>
        <w:t xml:space="preserve"> (enter date)</w:t>
      </w:r>
    </w:p>
    <w:p>
      <w:pPr>
        <w:pStyle w:val="Number11bodybullet"/>
        <w:rPr/>
      </w:pPr>
      <w:r>
        <w:rPr/>
      </w:r>
    </w:p>
    <w:p>
      <w:pPr>
        <w:pStyle w:val="Number11bodybullet"/>
        <w:rPr/>
      </w:pPr>
      <w:r>
        <w:rPr/>
        <w:tab/>
      </w:r>
      <w:r>
        <w:rPr>
          <w:rFonts w:eastAsia="Symbol" w:cs="Symbol" w:ascii="Symbol" w:hAnsi="Symbol"/>
        </w:rPr>
        <w:t></w:t>
      </w:r>
      <w:r>
        <w:rPr/>
        <w:tab/>
        <w:t>20 = clinic visit complete</w:t>
      </w:r>
    </w:p>
    <w:p>
      <w:pPr>
        <w:pStyle w:val="Number11bodybullet"/>
        <w:rPr/>
      </w:pPr>
      <w:r>
        <w:rPr/>
        <w:tab/>
      </w:r>
      <w:r>
        <w:rPr>
          <w:rFonts w:eastAsia="Symbol" w:cs="Symbol" w:ascii="Symbol" w:hAnsi="Symbol"/>
        </w:rPr>
        <w:t></w:t>
      </w:r>
      <w:r>
        <w:rPr/>
        <w:tab/>
        <w:t>21 = final no show</w:t>
      </w:r>
    </w:p>
    <w:p>
      <w:pPr>
        <w:pStyle w:val="Number11bodybullet"/>
        <w:rPr/>
      </w:pPr>
      <w:r>
        <w:rPr/>
        <w:tab/>
      </w:r>
      <w:r>
        <w:rPr>
          <w:rFonts w:eastAsia="Symbol" w:cs="Symbol" w:ascii="Symbol" w:hAnsi="Symbol"/>
        </w:rPr>
        <w:t></w:t>
      </w:r>
      <w:r>
        <w:rPr/>
        <w:tab/>
        <w:t>22 = completed clinic visit, but refused/unable/or no show for CT</w:t>
      </w:r>
    </w:p>
    <w:p>
      <w:pPr>
        <w:pStyle w:val="Number11bodybullet"/>
        <w:rPr/>
      </w:pPr>
      <w:r>
        <w:rPr/>
        <w:tab/>
      </w:r>
      <w:r>
        <w:rPr>
          <w:rFonts w:eastAsia="Symbol" w:cs="Symbol" w:ascii="Symbol" w:hAnsi="Symbol"/>
        </w:rPr>
        <w:t></w:t>
      </w:r>
      <w:r>
        <w:rPr/>
        <w:tab/>
        <w:t>23 = refused Informed Consent</w:t>
      </w:r>
    </w:p>
    <w:p>
      <w:pPr>
        <w:pStyle w:val="Number11bodybullet"/>
        <w:rPr/>
      </w:pPr>
      <w:r>
        <w:rPr/>
        <w:tab/>
      </w:r>
      <w:r>
        <w:rPr>
          <w:rFonts w:eastAsia="Symbol" w:cs="Symbol" w:ascii="Symbol" w:hAnsi="Symbol"/>
        </w:rPr>
        <w:t></w:t>
      </w:r>
      <w:r>
        <w:rPr/>
        <w:tab/>
        <w:t>24 = ineligible at clinic visit</w:t>
      </w:r>
    </w:p>
    <w:p>
      <w:pPr>
        <w:pStyle w:val="Number11bodybullet"/>
        <w:rPr/>
      </w:pPr>
      <w:r>
        <w:rPr/>
        <w:tab/>
      </w:r>
      <w:r>
        <w:rPr>
          <w:rFonts w:eastAsia="Symbol" w:cs="Symbol" w:ascii="Symbol" w:hAnsi="Symbol"/>
        </w:rPr>
        <w:t></w:t>
      </w:r>
      <w:r>
        <w:rPr/>
        <w:tab/>
        <w:t>25 = partial clinic visit never completed (incomplete clinic visit)</w:t>
      </w:r>
    </w:p>
    <w:p>
      <w:pPr>
        <w:pStyle w:val="Number1body"/>
        <w:rPr/>
      </w:pPr>
      <w:r>
        <w:rPr/>
      </w:r>
    </w:p>
    <w:p>
      <w:pPr>
        <w:pStyle w:val="Number11"/>
        <w:rPr/>
      </w:pPr>
      <w:r>
        <w:rPr/>
        <w:tab/>
        <w:t>6.2</w:t>
        <w:tab/>
        <w:t xml:space="preserve">Each afternoon, the data manager will print out the calendar for the next day’s scheduled visits, which will look something like this: </w:t>
      </w:r>
    </w:p>
    <w:p>
      <w:pPr>
        <w:pStyle w:val="Number1body"/>
        <w:rPr/>
      </w:pPr>
      <w:r>
        <w:rPr/>
      </w:r>
    </w:p>
    <w:p>
      <w:pPr>
        <w:pStyle w:val="Number1body"/>
        <w:rPr>
          <w:rFonts w:ascii="Arial;Arial" w:hAnsi="Arial;Arial" w:cs="Arial;Arial"/>
        </w:rPr>
      </w:pPr>
      <w:r>
        <w:rPr>
          <w:rFonts w:cs="Arial;Arial" w:ascii="Arial;Arial" w:hAnsi="Arial;Arial"/>
          <w:b/>
          <w:bCs/>
          <w:sz w:val="20"/>
        </w:rPr>
        <w:t>MESA Clinic Calendar for July 14, 2000</w:t>
      </w:r>
    </w:p>
    <w:p>
      <w:pPr>
        <w:pStyle w:val="Normal"/>
        <w:rPr>
          <w:rFonts w:ascii="Arial;Arial" w:hAnsi="Arial;Arial" w:cs="Arial;Arial"/>
          <w:b/>
          <w:b/>
          <w:u w:val="single"/>
        </w:rPr>
      </w:pPr>
      <w:r>
        <w:rPr>
          <w:rFonts w:cs="Arial;Arial" w:ascii="Arial;Arial" w:hAnsi="Arial;Arial"/>
          <w:b/>
          <w:u w:val="single"/>
        </w:rPr>
      </w:r>
    </w:p>
    <w:tbl>
      <w:tblPr>
        <w:tblW w:w="6210" w:type="dxa"/>
        <w:jc w:val="left"/>
        <w:tblInd w:w="895" w:type="dxa"/>
        <w:tblLayout w:type="fixed"/>
        <w:tblCellMar>
          <w:top w:w="0" w:type="dxa"/>
          <w:left w:w="108" w:type="dxa"/>
          <w:bottom w:w="0" w:type="dxa"/>
          <w:right w:w="108" w:type="dxa"/>
        </w:tblCellMar>
      </w:tblPr>
      <w:tblGrid>
        <w:gridCol w:w="630"/>
        <w:gridCol w:w="1440"/>
        <w:gridCol w:w="1170"/>
        <w:gridCol w:w="1080"/>
        <w:gridCol w:w="1080"/>
        <w:gridCol w:w="810"/>
      </w:tblGrid>
      <w:tr>
        <w:trPr/>
        <w:tc>
          <w:tcPr>
            <w:tcW w:w="63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Time</w:t>
            </w:r>
          </w:p>
        </w:tc>
        <w:tc>
          <w:tcPr>
            <w:tcW w:w="144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Name</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Acrostic</w:t>
            </w:r>
          </w:p>
        </w:tc>
        <w:tc>
          <w:tcPr>
            <w:tcW w:w="108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Recruit. ID</w:t>
            </w:r>
          </w:p>
        </w:tc>
        <w:tc>
          <w:tcPr>
            <w:tcW w:w="108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Language</w:t>
            </w:r>
          </w:p>
        </w:tc>
        <w:tc>
          <w:tcPr>
            <w:tcW w:w="81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b/>
                <w:b/>
                <w:bCs/>
                <w:sz w:val="18"/>
              </w:rPr>
            </w:pPr>
            <w:r>
              <w:rPr>
                <w:rFonts w:cs="Arial;Arial" w:ascii="Arial;Arial" w:hAnsi="Arial;Arial"/>
                <w:b/>
                <w:bCs/>
                <w:sz w:val="18"/>
              </w:rPr>
              <w:t>Status</w:t>
            </w:r>
          </w:p>
        </w:tc>
      </w:tr>
      <w:tr>
        <w:trPr/>
        <w:tc>
          <w:tcPr>
            <w:tcW w:w="63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w:t>
            </w:r>
          </w:p>
        </w:tc>
        <w:tc>
          <w:tcPr>
            <w:tcW w:w="144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John Williams</w:t>
            </w:r>
          </w:p>
        </w:tc>
        <w:tc>
          <w:tcPr>
            <w:tcW w:w="117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WILLJOM</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H30129A</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8:30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Mary Smith</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SMITMAF</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H31002A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8:45</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Danyu Lin</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LINXDAM</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H30002B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Mandarin</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9:00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Maria Gomez</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GOMEMAF</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H32851D</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Spanish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bl>
    <w:p>
      <w:pPr>
        <w:pStyle w:val="Normal"/>
        <w:rPr>
          <w:rFonts w:ascii="Arial;Arial" w:hAnsi="Arial;Arial" w:cs="Arial;Arial"/>
          <w:b/>
          <w:b/>
          <w:sz w:val="22"/>
          <w:u w:val="single"/>
        </w:rPr>
      </w:pPr>
      <w:r>
        <w:rPr>
          <w:rFonts w:cs="Arial;Arial" w:ascii="Arial;Arial" w:hAnsi="Arial;Arial"/>
          <w:b/>
          <w:sz w:val="22"/>
          <w:u w:val="single"/>
        </w:rPr>
      </w:r>
    </w:p>
    <w:p>
      <w:pPr>
        <w:pStyle w:val="Number11"/>
        <w:rPr/>
      </w:pPr>
      <w:r>
        <w:rPr/>
        <w:tab/>
        <w:t>6.3</w:t>
        <w:tab/>
        <w:t>The calendar should be used to make sure sets of language-appropriate forms are printed and ready for use the next day. During the clinic day, record the status of each person’s clinic visit on the calendar, using the status codes listed above. At the end of the day the calendar should then be given to the Data Manager, who will enter the Status Codes for each person into the Tracking Database.</w:t>
      </w:r>
    </w:p>
    <w:p>
      <w:pPr>
        <w:pStyle w:val="Normal"/>
        <w:rPr/>
      </w:pPr>
      <w:r>
        <w:rPr/>
      </w:r>
    </w:p>
    <w:p>
      <w:pPr>
        <w:pStyle w:val="Number11"/>
        <w:rPr/>
      </w:pPr>
      <w:r>
        <w:rPr/>
        <w:tab/>
        <w:t>6.4</w:t>
        <w:tab/>
        <w:t>01–04 are “pending” codes, entered in order to allow the computer to track individuals whose clinic visit status is not finalized. 20–25 are “final” codes, entered when a person’s clinic visit is completed, for whatever reason (see comments, below, for explanation of completed clinic visits).</w:t>
      </w:r>
    </w:p>
    <w:p>
      <w:pPr>
        <w:pStyle w:val="Number11"/>
        <w:rPr/>
      </w:pPr>
      <w:r>
        <w:rPr/>
      </w:r>
    </w:p>
    <w:p>
      <w:pPr>
        <w:pStyle w:val="Number11"/>
        <w:rPr/>
      </w:pPr>
      <w:r>
        <w:rPr/>
        <w:tab/>
        <w:t>6.5</w:t>
        <w:tab/>
        <w:t>Use code 01(call back) if the person doesn’t want to schedule the clinic visit during the Screening interview but wants the interviewer to call back another day to schedule.</w:t>
      </w:r>
    </w:p>
    <w:p>
      <w:pPr>
        <w:pStyle w:val="Number11"/>
        <w:rPr/>
      </w:pPr>
      <w:r>
        <w:rPr/>
      </w:r>
    </w:p>
    <w:p>
      <w:pPr>
        <w:pStyle w:val="Number11"/>
        <w:rPr/>
      </w:pPr>
      <w:r>
        <w:rPr/>
        <w:tab/>
        <w:t>6.6</w:t>
        <w:tab/>
        <w:t xml:space="preserve">Use code 02 (no show) if the person does not show up for his/her scheduled clinic appointment. This is not a final code, however, and you should attempt to reschedule, if possible. Give each person at least three chances (two rescheduled visits) to show up for an appointment. Whether or not you continue to reschedule after that is up to clinic personnel (A report will be available listing all “no-shows” and indicating how many times each has rescheduled an appointment and then failed to show up.) </w:t>
      </w:r>
    </w:p>
    <w:p>
      <w:pPr>
        <w:pStyle w:val="Number11"/>
        <w:rPr/>
      </w:pPr>
      <w:r>
        <w:rPr/>
      </w:r>
    </w:p>
    <w:p>
      <w:pPr>
        <w:pStyle w:val="Number11"/>
        <w:rPr/>
      </w:pPr>
      <w:r>
        <w:rPr/>
        <w:tab/>
        <w:t>6.7</w:t>
        <w:tab/>
        <w:t>Use code 03 (visit cancelled) if a person cancels a scheduled appointment. Attempt to reschedule when he/she calls to cancel. It will be up to individual sites to decide how many times to reschedule someone who cancels. (A report will be available listing the number of times a person has cancelled an appointment.)</w:t>
      </w:r>
    </w:p>
    <w:p>
      <w:pPr>
        <w:pStyle w:val="Number11"/>
        <w:rPr/>
      </w:pPr>
      <w:r>
        <w:rPr/>
      </w:r>
    </w:p>
    <w:p>
      <w:pPr>
        <w:pStyle w:val="Number11"/>
        <w:rPr/>
      </w:pPr>
      <w:r>
        <w:rPr/>
        <w:tab/>
        <w:t>6.8</w:t>
        <w:tab/>
        <w:t xml:space="preserve">Use code 04 (partial clinic visit) if the person does not complete all of the clinic procedures in one day. This refers only to procedures done in the </w:t>
      </w:r>
      <w:r>
        <w:rPr>
          <w:i/>
          <w:iCs/>
        </w:rPr>
        <w:t>clinic</w:t>
      </w:r>
      <w:r>
        <w:rPr/>
        <w:t xml:space="preserve">; it does </w:t>
      </w:r>
      <w:r>
        <w:rPr>
          <w:i/>
          <w:iCs/>
        </w:rPr>
        <w:t>not</w:t>
      </w:r>
      <w:r>
        <w:rPr/>
        <w:t xml:space="preserve"> include the CT and MRI. At the end of the partial clinic visit, schedule the person for a return appointment. If the person never returns to complete the clinic visit, </w:t>
      </w:r>
      <w:r>
        <w:rPr>
          <w:i/>
          <w:iCs/>
        </w:rPr>
        <w:t>recode</w:t>
      </w:r>
      <w:r>
        <w:rPr/>
        <w:t xml:space="preserve"> as 25 (see 6.94, below)</w:t>
      </w:r>
    </w:p>
    <w:p>
      <w:pPr>
        <w:pStyle w:val="Number11"/>
        <w:rPr/>
      </w:pPr>
      <w:r>
        <w:rPr/>
      </w:r>
    </w:p>
    <w:p>
      <w:pPr>
        <w:pStyle w:val="Number11"/>
        <w:rPr/>
      </w:pPr>
      <w:r>
        <w:rPr/>
        <w:tab/>
        <w:t>6.9</w:t>
        <w:tab/>
        <w:t xml:space="preserve">Codes 22–25 apply to people who showed up for their clinic visit but were not enrolled as participants.  </w:t>
      </w:r>
    </w:p>
    <w:p>
      <w:pPr>
        <w:pStyle w:val="Normal"/>
        <w:rPr/>
      </w:pPr>
      <w:r>
        <w:rPr/>
      </w:r>
    </w:p>
    <w:p>
      <w:pPr>
        <w:pStyle w:val="Number111"/>
        <w:rPr/>
      </w:pPr>
      <w:r>
        <w:rPr/>
        <w:tab/>
        <w:t>6.91</w:t>
        <w:tab/>
        <w:t xml:space="preserve">Use code 22 if the clinic visit was completed but the CT was not.   Because the clinic visit occurs before the CT, you will not know if the person will end up refusing the CT. When he/she finishes the clinic visit, code as 20; later, if the CT was not completed, </w:t>
      </w:r>
      <w:r>
        <w:rPr>
          <w:i/>
          <w:iCs/>
        </w:rPr>
        <w:t xml:space="preserve">recode </w:t>
      </w:r>
      <w:r>
        <w:rPr/>
        <w:t>as 22.</w:t>
      </w:r>
    </w:p>
    <w:p>
      <w:pPr>
        <w:pStyle w:val="Number111"/>
        <w:rPr/>
      </w:pPr>
      <w:r>
        <w:rPr/>
        <w:t xml:space="preserve"> </w:t>
      </w:r>
    </w:p>
    <w:p>
      <w:pPr>
        <w:pStyle w:val="Number111"/>
        <w:rPr/>
      </w:pPr>
      <w:r>
        <w:rPr/>
        <w:tab/>
        <w:t>6.92</w:t>
        <w:tab/>
        <w:t xml:space="preserve">Use code 23 if the person came to the clinic but refused to sign the informed consent. </w:t>
      </w:r>
    </w:p>
    <w:p>
      <w:pPr>
        <w:pStyle w:val="Number111"/>
        <w:rPr/>
      </w:pPr>
      <w:r>
        <w:rPr/>
      </w:r>
    </w:p>
    <w:p>
      <w:pPr>
        <w:pStyle w:val="Number111"/>
        <w:rPr/>
      </w:pPr>
      <w:r>
        <w:rPr/>
        <w:tab/>
        <w:t>6.93</w:t>
        <w:tab/>
        <w:t xml:space="preserve">Use code 24 (ineligible at clinic visit) if, after review of the eligibility criteria during clinic reception, you determine that the person is actually </w:t>
      </w:r>
      <w:r>
        <w:rPr>
          <w:i/>
          <w:iCs/>
        </w:rPr>
        <w:t>ineligible</w:t>
      </w:r>
      <w:r>
        <w:rPr/>
        <w:t xml:space="preserve"> for the study. At the discretion of clinic personnel, you may want to do some of the procedures as a way of thanking the person for his/her willingness to come in and participate. However, </w:t>
      </w:r>
      <w:r>
        <w:rPr>
          <w:i/>
          <w:iCs/>
        </w:rPr>
        <w:t>do not</w:t>
      </w:r>
      <w:r>
        <w:rPr/>
        <w:t xml:space="preserve"> draw blood; and </w:t>
      </w:r>
      <w:r>
        <w:rPr>
          <w:i/>
          <w:iCs/>
        </w:rPr>
        <w:t xml:space="preserve">do not send </w:t>
      </w:r>
      <w:r>
        <w:rPr/>
        <w:t xml:space="preserve">any procedure results to any reading center. </w:t>
      </w:r>
    </w:p>
    <w:p>
      <w:pPr>
        <w:pStyle w:val="Number111"/>
        <w:rPr/>
      </w:pPr>
      <w:r>
        <w:rPr/>
      </w:r>
    </w:p>
    <w:p>
      <w:pPr>
        <w:pStyle w:val="Number111"/>
        <w:rPr/>
      </w:pPr>
      <w:r>
        <w:rPr/>
        <w:tab/>
        <w:t>6.94</w:t>
        <w:tab/>
        <w:t>Use code 25 (partial visit never completed) if the person completes part of the exam but never returns to complete it. Use this code regardless of the reason for the incomplete exam.</w:t>
      </w:r>
    </w:p>
    <w:p>
      <w:pPr>
        <w:pStyle w:val="Number111"/>
        <w:rPr/>
      </w:pPr>
      <w:r>
        <w:rPr/>
      </w:r>
    </w:p>
    <w:p>
      <w:pPr>
        <w:pStyle w:val="Number1"/>
        <w:rPr/>
      </w:pPr>
      <w:r>
        <w:rPr/>
        <w:tab/>
        <w:t>7.</w:t>
        <w:tab/>
      </w:r>
      <w:r>
        <w:rPr>
          <w:u w:val="single"/>
        </w:rPr>
        <w:t>Definition of a MESA Participant</w:t>
      </w:r>
    </w:p>
    <w:p>
      <w:pPr>
        <w:pStyle w:val="Normal"/>
        <w:rPr/>
      </w:pPr>
      <w:r>
        <w:rPr/>
      </w:r>
    </w:p>
    <w:p>
      <w:pPr>
        <w:pStyle w:val="Number1body"/>
        <w:rPr/>
      </w:pPr>
      <w:r>
        <w:rPr/>
        <w:t>An official MESA participant is a person who is deemed eligible for the study and completes all of the following procedures:</w:t>
      </w:r>
    </w:p>
    <w:p>
      <w:pPr>
        <w:pStyle w:val="Number1bodybullet"/>
        <w:rPr/>
      </w:pPr>
      <w:r>
        <w:rPr/>
      </w:r>
    </w:p>
    <w:p>
      <w:pPr>
        <w:pStyle w:val="Number1bodybullet"/>
        <w:rPr/>
      </w:pPr>
      <w:r>
        <w:rPr>
          <w:rFonts w:eastAsia="Symbol" w:cs="Symbol" w:ascii="Symbol" w:hAnsi="Symbol"/>
        </w:rPr>
        <w:t></w:t>
      </w:r>
      <w:r>
        <w:rPr/>
        <w:tab/>
        <w:t>Informed Consent</w:t>
      </w:r>
    </w:p>
    <w:p>
      <w:pPr>
        <w:pStyle w:val="Number1bodybullet"/>
        <w:rPr/>
      </w:pPr>
      <w:r>
        <w:rPr>
          <w:rFonts w:eastAsia="Symbol" w:cs="Symbol" w:ascii="Symbol" w:hAnsi="Symbol"/>
        </w:rPr>
        <w:t></w:t>
      </w:r>
      <w:r>
        <w:rPr/>
        <w:tab/>
        <w:t>Clinic blood draw</w:t>
      </w:r>
    </w:p>
    <w:p>
      <w:pPr>
        <w:pStyle w:val="Number1bodybullet"/>
        <w:rPr/>
      </w:pPr>
      <w:r>
        <w:rPr>
          <w:rFonts w:eastAsia="Symbol" w:cs="Symbol" w:ascii="Symbol" w:hAnsi="Symbol"/>
        </w:rPr>
        <w:t></w:t>
      </w:r>
      <w:r>
        <w:rPr/>
        <w:tab/>
        <w:t>Clinic physical exam (blood pressures and anthropometry)</w:t>
      </w:r>
    </w:p>
    <w:p>
      <w:pPr>
        <w:pStyle w:val="Number1bodybullet"/>
        <w:rPr/>
      </w:pPr>
      <w:r>
        <w:rPr>
          <w:rFonts w:eastAsia="Symbol" w:cs="Symbol" w:ascii="Symbol" w:hAnsi="Symbol"/>
        </w:rPr>
        <w:t></w:t>
      </w:r>
      <w:r>
        <w:rPr/>
        <w:tab/>
        <w:t>Clinic interviews</w:t>
      </w:r>
    </w:p>
    <w:p>
      <w:pPr>
        <w:pStyle w:val="Number1bodybullet"/>
        <w:rPr/>
      </w:pPr>
      <w:r>
        <w:rPr>
          <w:rFonts w:eastAsia="Symbol" w:cs="Symbol" w:ascii="Symbol" w:hAnsi="Symbol"/>
        </w:rPr>
        <w:t></w:t>
      </w:r>
      <w:r>
        <w:rPr/>
        <w:tab/>
        <w:t>CT scan</w:t>
      </w:r>
    </w:p>
    <w:p>
      <w:pPr>
        <w:pStyle w:val="Number1bodybullet"/>
        <w:rPr/>
      </w:pPr>
      <w:r>
        <w:rPr/>
      </w:r>
    </w:p>
    <w:p>
      <w:pPr>
        <w:pStyle w:val="Number1body"/>
        <w:rPr/>
      </w:pPr>
      <w:r>
        <w:rPr/>
        <w:t>It is extremely important that we get complete data on all participants. Please encourage participants to complete all procedures, including those not required for participation in the study (e.g., ECG, ultrasound, MRI).</w:t>
      </w:r>
    </w:p>
    <w:p>
      <w:pPr>
        <w:pStyle w:val="Contents1"/>
        <w:rPr/>
      </w:pPr>
      <w:r>
        <w:rPr/>
      </w:r>
    </w:p>
    <w:p>
      <w:pPr>
        <w:pStyle w:val="Number1"/>
        <w:rPr/>
      </w:pPr>
      <w:r>
        <w:rPr/>
        <w:tab/>
        <w:t>8.</w:t>
        <w:tab/>
      </w:r>
      <w:r>
        <w:rPr>
          <w:u w:val="single"/>
        </w:rPr>
        <w:t>CT and MRI Status Codes</w:t>
      </w:r>
    </w:p>
    <w:p>
      <w:pPr>
        <w:pStyle w:val="Number1"/>
        <w:rPr/>
      </w:pPr>
      <w:r>
        <w:rPr/>
      </w:r>
    </w:p>
    <w:p>
      <w:pPr>
        <w:pStyle w:val="Number1"/>
        <w:rPr/>
      </w:pPr>
      <w:r>
        <w:rPr/>
        <w:tab/>
        <w:tab/>
        <w:t xml:space="preserve">Once an individual has completed the clinic visit, the next step is the CT visit, which must also be tracked using Status Codes. The MRI, which is encouraged but </w:t>
      </w:r>
      <w:r>
        <w:rPr>
          <w:i/>
          <w:iCs/>
        </w:rPr>
        <w:t>not required</w:t>
      </w:r>
      <w:r>
        <w:rPr/>
        <w:t xml:space="preserve"> for participation in MESA, uses the same codes.</w:t>
      </w:r>
    </w:p>
    <w:p>
      <w:pPr>
        <w:pStyle w:val="Number1"/>
        <w:rPr/>
      </w:pPr>
      <w:r>
        <w:rPr/>
      </w:r>
    </w:p>
    <w:p>
      <w:pPr>
        <w:pStyle w:val="Number11"/>
        <w:rPr/>
      </w:pPr>
      <w:r>
        <w:rPr/>
        <w:tab/>
        <w:t>8.1</w:t>
        <w:tab/>
        <w:t>Status codes for CT visit or MRI visit:</w:t>
      </w:r>
    </w:p>
    <w:p>
      <w:pPr>
        <w:pStyle w:val="Number11"/>
        <w:rPr/>
      </w:pPr>
      <w:r>
        <w:rPr/>
      </w:r>
    </w:p>
    <w:p>
      <w:pPr>
        <w:pStyle w:val="Number11bodybullet"/>
        <w:rPr/>
      </w:pPr>
      <w:r>
        <w:rPr/>
        <w:tab/>
      </w:r>
      <w:r>
        <w:rPr>
          <w:rFonts w:eastAsia="Symbol" w:cs="Symbol" w:ascii="Symbol" w:hAnsi="Symbol"/>
        </w:rPr>
        <w:t></w:t>
      </w:r>
      <w:r>
        <w:rPr/>
        <w:tab/>
        <w:t>02 = no show</w:t>
      </w:r>
    </w:p>
    <w:p>
      <w:pPr>
        <w:pStyle w:val="Number11bodybullet"/>
        <w:rPr/>
      </w:pPr>
      <w:r>
        <w:rPr/>
        <w:tab/>
      </w:r>
      <w:r>
        <w:rPr>
          <w:rFonts w:eastAsia="Symbol" w:cs="Symbol" w:ascii="Symbol" w:hAnsi="Symbol"/>
        </w:rPr>
        <w:t></w:t>
      </w:r>
      <w:r>
        <w:rPr/>
        <w:tab/>
        <w:t>03 = appointment cancelled; rescheduled on…</w:t>
      </w:r>
      <w:r>
        <w:rPr>
          <w:i/>
          <w:iCs/>
        </w:rPr>
        <w:t xml:space="preserve"> (enter date)</w:t>
      </w:r>
    </w:p>
    <w:p>
      <w:pPr>
        <w:pStyle w:val="Number11bodybullet"/>
        <w:rPr/>
      </w:pPr>
      <w:r>
        <w:rPr/>
        <w:tab/>
      </w:r>
      <w:r>
        <w:rPr>
          <w:rFonts w:eastAsia="Symbol" w:cs="Symbol" w:ascii="Symbol" w:hAnsi="Symbol"/>
        </w:rPr>
        <w:t></w:t>
      </w:r>
      <w:r>
        <w:rPr/>
        <w:tab/>
        <w:t>04 = scan not completed due to technical problem</w:t>
      </w:r>
    </w:p>
    <w:p>
      <w:pPr>
        <w:pStyle w:val="Number11bodybullet"/>
        <w:rPr/>
      </w:pPr>
      <w:r>
        <w:rPr/>
        <w:tab/>
        <w:tab/>
        <w:tab/>
      </w:r>
    </w:p>
    <w:p>
      <w:pPr>
        <w:pStyle w:val="Number11bodybullet"/>
        <w:rPr/>
      </w:pPr>
      <w:r>
        <w:rPr/>
        <w:tab/>
      </w:r>
      <w:r>
        <w:rPr>
          <w:rFonts w:eastAsia="Symbol" w:cs="Symbol" w:ascii="Symbol" w:hAnsi="Symbol"/>
        </w:rPr>
        <w:t></w:t>
      </w:r>
      <w:r>
        <w:rPr/>
        <w:tab/>
        <w:t>20 = Scan completed or partially completed</w:t>
      </w:r>
    </w:p>
    <w:p>
      <w:pPr>
        <w:pStyle w:val="Number11bodybullet"/>
        <w:rPr/>
      </w:pPr>
      <w:r>
        <w:rPr/>
        <w:tab/>
      </w:r>
      <w:r>
        <w:rPr>
          <w:rFonts w:eastAsia="Symbol" w:cs="Symbol" w:ascii="Symbol" w:hAnsi="Symbol"/>
        </w:rPr>
        <w:t></w:t>
      </w:r>
      <w:r>
        <w:rPr/>
        <w:tab/>
        <w:t>21 = Refused</w:t>
      </w:r>
    </w:p>
    <w:p>
      <w:pPr>
        <w:pStyle w:val="Number11bodybullet"/>
        <w:rPr/>
      </w:pPr>
      <w:r>
        <w:rPr/>
        <w:tab/>
      </w:r>
      <w:r>
        <w:rPr>
          <w:rFonts w:eastAsia="Symbol" w:cs="Symbol" w:ascii="Symbol" w:hAnsi="Symbol"/>
        </w:rPr>
        <w:t></w:t>
      </w:r>
      <w:r>
        <w:rPr/>
        <w:tab/>
        <w:t>22 = Final no show</w:t>
      </w:r>
    </w:p>
    <w:p>
      <w:pPr>
        <w:pStyle w:val="Number11bodybullet"/>
        <w:rPr/>
      </w:pPr>
      <w:r>
        <w:rPr/>
        <w:tab/>
      </w:r>
      <w:r>
        <w:rPr>
          <w:rFonts w:eastAsia="Symbol" w:cs="Symbol" w:ascii="Symbol" w:hAnsi="Symbol"/>
        </w:rPr>
        <w:t></w:t>
      </w:r>
      <w:r>
        <w:rPr/>
        <w:tab/>
        <w:t>23 = Ineligible for scan</w:t>
      </w:r>
    </w:p>
    <w:p>
      <w:pPr>
        <w:pStyle w:val="Number11bodybullet"/>
        <w:rPr/>
      </w:pPr>
      <w:r>
        <w:rPr/>
        <w:tab/>
      </w:r>
      <w:r>
        <w:rPr>
          <w:rFonts w:eastAsia="Symbol" w:cs="Symbol" w:ascii="Symbol" w:hAnsi="Symbol"/>
        </w:rPr>
        <w:t></w:t>
      </w:r>
      <w:r>
        <w:rPr/>
        <w:tab/>
        <w:t>24 = Participant unable (due to claustrophobia, inability to hold breath, etc.)</w:t>
      </w:r>
    </w:p>
    <w:p>
      <w:pPr>
        <w:pStyle w:val="Number11bodybullet"/>
        <w:rPr/>
      </w:pPr>
      <w:r>
        <w:rPr/>
      </w:r>
    </w:p>
    <w:p>
      <w:pPr>
        <w:pStyle w:val="Number11"/>
        <w:rPr/>
      </w:pPr>
      <w:r>
        <w:rPr/>
        <w:tab/>
        <w:t>8.2</w:t>
        <w:tab/>
        <w:t xml:space="preserve">Each afternoon, the data manager will print out the calendars for the next day’s scheduled MRI and CT scans, both of which will look something like this: </w:t>
      </w:r>
    </w:p>
    <w:p>
      <w:pPr>
        <w:pStyle w:val="Number11"/>
        <w:rPr>
          <w:rFonts w:ascii="Arial;Arial" w:hAnsi="Arial;Arial" w:cs="Arial;Arial"/>
          <w:b/>
          <w:b/>
          <w:sz w:val="22"/>
          <w:u w:val="single"/>
        </w:rPr>
      </w:pPr>
      <w:r>
        <w:rPr>
          <w:rFonts w:cs="Arial;Arial" w:ascii="Arial;Arial" w:hAnsi="Arial;Arial"/>
          <w:b/>
          <w:sz w:val="22"/>
          <w:u w:val="single"/>
        </w:rPr>
      </w:r>
    </w:p>
    <w:p>
      <w:pPr>
        <w:pStyle w:val="Number1body"/>
        <w:rPr>
          <w:rFonts w:ascii="Arial;Arial" w:hAnsi="Arial;Arial" w:cs="Arial;Arial"/>
          <w:b/>
          <w:b/>
          <w:bCs/>
          <w:sz w:val="20"/>
        </w:rPr>
      </w:pPr>
      <w:r>
        <w:rPr>
          <w:rFonts w:cs="Arial;Arial" w:ascii="Arial;Arial" w:hAnsi="Arial;Arial"/>
          <w:b/>
          <w:bCs/>
          <w:sz w:val="20"/>
        </w:rPr>
        <w:t>MESA CT Calendar for July 14, 2000</w:t>
      </w:r>
    </w:p>
    <w:p>
      <w:pPr>
        <w:pStyle w:val="Normal"/>
        <w:rPr>
          <w:rFonts w:ascii="Arial;Arial" w:hAnsi="Arial;Arial" w:cs="Arial;Arial"/>
          <w:b/>
          <w:b/>
          <w:bCs/>
          <w:sz w:val="20"/>
        </w:rPr>
      </w:pPr>
      <w:r>
        <w:rPr>
          <w:rFonts w:cs="Arial;Arial" w:ascii="Arial;Arial" w:hAnsi="Arial;Arial"/>
          <w:b/>
          <w:bCs/>
          <w:sz w:val="20"/>
        </w:rPr>
      </w:r>
    </w:p>
    <w:tbl>
      <w:tblPr>
        <w:tblW w:w="7380" w:type="dxa"/>
        <w:jc w:val="left"/>
        <w:tblInd w:w="895" w:type="dxa"/>
        <w:tblLayout w:type="fixed"/>
        <w:tblCellMar>
          <w:top w:w="0" w:type="dxa"/>
          <w:left w:w="108" w:type="dxa"/>
          <w:bottom w:w="0" w:type="dxa"/>
          <w:right w:w="108" w:type="dxa"/>
        </w:tblCellMar>
      </w:tblPr>
      <w:tblGrid>
        <w:gridCol w:w="720"/>
        <w:gridCol w:w="1440"/>
        <w:gridCol w:w="1170"/>
        <w:gridCol w:w="990"/>
        <w:gridCol w:w="1080"/>
        <w:gridCol w:w="810"/>
        <w:gridCol w:w="1170"/>
      </w:tblGrid>
      <w:tr>
        <w:trPr/>
        <w:tc>
          <w:tcPr>
            <w:tcW w:w="72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Time</w:t>
            </w:r>
          </w:p>
        </w:tc>
        <w:tc>
          <w:tcPr>
            <w:tcW w:w="144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Name</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Acrostic</w:t>
            </w:r>
          </w:p>
        </w:tc>
        <w:tc>
          <w:tcPr>
            <w:tcW w:w="99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Ppt ID</w:t>
            </w:r>
          </w:p>
        </w:tc>
        <w:tc>
          <w:tcPr>
            <w:tcW w:w="108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Language</w:t>
            </w:r>
          </w:p>
        </w:tc>
        <w:tc>
          <w:tcPr>
            <w:tcW w:w="81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b/>
                <w:b/>
                <w:bCs/>
                <w:sz w:val="18"/>
              </w:rPr>
            </w:pPr>
            <w:r>
              <w:rPr>
                <w:rFonts w:cs="Arial;Arial" w:ascii="Arial;Arial" w:hAnsi="Arial;Arial"/>
                <w:b/>
                <w:bCs/>
                <w:sz w:val="18"/>
              </w:rPr>
              <w:t>Status</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 xml:space="preserve">Comments </w:t>
            </w:r>
          </w:p>
        </w:tc>
      </w:tr>
      <w:tr>
        <w:trPr/>
        <w:tc>
          <w:tcPr>
            <w:tcW w:w="72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w:t>
            </w:r>
          </w:p>
        </w:tc>
        <w:tc>
          <w:tcPr>
            <w:tcW w:w="144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Lupe Gonzalez</w:t>
            </w:r>
          </w:p>
        </w:tc>
        <w:tc>
          <w:tcPr>
            <w:tcW w:w="117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GONZLUF</w:t>
            </w:r>
          </w:p>
        </w:tc>
        <w:tc>
          <w:tcPr>
            <w:tcW w:w="99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8001435</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Spanish</w:t>
            </w:r>
          </w:p>
        </w:tc>
        <w:tc>
          <w:tcPr>
            <w:tcW w:w="81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9:30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Jack Johnson</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JOHNJAM</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8000300</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12:45</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Velma Wong</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WONGVEF</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8045876</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2:00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Robert Bates</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BATEROM</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8061590</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bl>
    <w:p>
      <w:pPr>
        <w:pStyle w:val="Number11"/>
        <w:rPr/>
      </w:pPr>
      <w:r>
        <w:rPr/>
        <w:tab/>
      </w:r>
    </w:p>
    <w:p>
      <w:pPr>
        <w:pStyle w:val="Number11"/>
        <w:rPr/>
      </w:pPr>
      <w:r>
        <w:rPr/>
        <w:tab/>
        <w:t>8.3</w:t>
        <w:tab/>
        <w:t xml:space="preserve">During the CT or MRI visit day, record the status of each person’s visit on the calendar, using the status codes listed above. At the end of the day the calendar should then be given to the data manager, who will enter the status codes for each person into the Tracking Database. (A successful CT is </w:t>
      </w:r>
      <w:r>
        <w:rPr>
          <w:i/>
          <w:iCs/>
        </w:rPr>
        <w:t>required</w:t>
      </w:r>
      <w:r>
        <w:rPr/>
        <w:t xml:space="preserve"> for a person to be enrolled as an official MESA participant. We also encourage you to obtain MRIs on </w:t>
      </w:r>
      <w:r>
        <w:rPr>
          <w:i/>
          <w:iCs/>
        </w:rPr>
        <w:t>all</w:t>
      </w:r>
      <w:r>
        <w:rPr/>
        <w:t xml:space="preserve"> participants, but if someone refuses or is unable to complete the MRI, he/she may still be an official participant.)</w:t>
      </w:r>
    </w:p>
    <w:p>
      <w:pPr>
        <w:pStyle w:val="Number11"/>
        <w:rPr/>
      </w:pPr>
      <w:r>
        <w:rPr/>
      </w:r>
    </w:p>
    <w:p>
      <w:pPr>
        <w:pStyle w:val="Number11"/>
        <w:rPr/>
      </w:pPr>
      <w:r>
        <w:rPr/>
        <w:tab/>
        <w:t xml:space="preserve">8.4 </w:t>
        <w:tab/>
        <w:t xml:space="preserve">02–04 are “pending” codes, entered in order to allow the computer to track individuals whose CT or MRI visit status is not finalized. 20–24 are “final” codes, entered when a person’s CT or MRI visit is completed, for whatever reason (see comment, below, for explanation of completed visits). </w:t>
      </w:r>
    </w:p>
    <w:p>
      <w:pPr>
        <w:pStyle w:val="Number11"/>
        <w:rPr/>
      </w:pPr>
      <w:r>
        <w:rPr/>
      </w:r>
    </w:p>
    <w:p>
      <w:pPr>
        <w:pStyle w:val="Number11"/>
        <w:rPr/>
      </w:pPr>
      <w:r>
        <w:rPr/>
        <w:tab/>
        <w:t>8.5</w:t>
        <w:tab/>
        <w:t>Use code 02 (no show) if a person does not show up for a scheduled appointment. This is not a final code, however, and you should attempt to reschedule, if possible. Give each person at least three chances to show up for an appointment. (A report will be available listing all “no-shows” and indicating how many times each has rescheduled an appointment and then failed to show up.)</w:t>
      </w:r>
    </w:p>
    <w:p>
      <w:pPr>
        <w:pStyle w:val="Number11"/>
        <w:rPr/>
      </w:pPr>
      <w:r>
        <w:rPr/>
      </w:r>
    </w:p>
    <w:p>
      <w:pPr>
        <w:pStyle w:val="Number11"/>
        <w:rPr/>
      </w:pPr>
      <w:r>
        <w:rPr/>
        <w:tab/>
        <w:t>8.6</w:t>
        <w:tab/>
        <w:t>Use code 03 (cancelled appointment) if a person cancels a scheduled appointment. Attempt to reschedule when he/she calls to cancel. It will be up to individual sites to decide how many times to reschedule someone who cancels. (A report will be available listing the number of times a person has cancelled an appointment.)</w:t>
      </w:r>
    </w:p>
    <w:p>
      <w:pPr>
        <w:pStyle w:val="Number11"/>
        <w:rPr/>
      </w:pPr>
      <w:r>
        <w:rPr/>
      </w:r>
    </w:p>
    <w:p>
      <w:pPr>
        <w:pStyle w:val="Number11"/>
        <w:rPr/>
      </w:pPr>
      <w:r>
        <w:rPr/>
        <w:tab/>
        <w:t>8.7</w:t>
        <w:tab/>
        <w:t>Use code 04 (scan not completed due to technical problem) if the scan could not be completed due to a problem related to the scanning equipment or the scanning technician or to another problem unrelated to the participant.</w:t>
      </w:r>
    </w:p>
    <w:p>
      <w:pPr>
        <w:pStyle w:val="Number11"/>
        <w:rPr/>
      </w:pPr>
      <w:r>
        <w:rPr/>
      </w:r>
    </w:p>
    <w:p>
      <w:pPr>
        <w:pStyle w:val="Number11"/>
        <w:rPr/>
      </w:pPr>
      <w:r>
        <w:rPr/>
        <w:tab/>
        <w:t>8.8</w:t>
        <w:tab/>
        <w:t xml:space="preserve">Use code 20 (scan completed) if the participant shows up for the exam and the scan is done. Also use code 20 if the scan is only partially completed, </w:t>
      </w:r>
    </w:p>
    <w:p>
      <w:pPr>
        <w:pStyle w:val="Normal"/>
        <w:rPr/>
      </w:pPr>
      <w:r>
        <w:rPr/>
      </w:r>
    </w:p>
    <w:p>
      <w:pPr>
        <w:pStyle w:val="Number11"/>
        <w:rPr/>
      </w:pPr>
      <w:r>
        <w:rPr/>
        <w:tab/>
        <w:t>8.9</w:t>
        <w:tab/>
        <w:t xml:space="preserve">Use codes 21–24 if the scan is not completed, for a reason </w:t>
      </w:r>
      <w:r>
        <w:rPr>
          <w:i/>
          <w:iCs/>
        </w:rPr>
        <w:t>other than</w:t>
      </w:r>
      <w:r>
        <w:rPr/>
        <w:t xml:space="preserve"> those covered by code 04 (see 8.7, above).</w:t>
      </w:r>
    </w:p>
    <w:p>
      <w:pPr>
        <w:pStyle w:val="Number11"/>
        <w:rPr/>
      </w:pPr>
      <w:r>
        <w:rPr/>
      </w:r>
    </w:p>
    <w:p>
      <w:pPr>
        <w:pStyle w:val="Number111"/>
        <w:rPr/>
      </w:pPr>
      <w:r>
        <w:rPr/>
        <w:tab/>
        <w:t>8.91</w:t>
        <w:tab/>
        <w:t>Use code 21 if the person refuses to undergo the scan.</w:t>
      </w:r>
    </w:p>
    <w:p>
      <w:pPr>
        <w:pStyle w:val="Number111"/>
        <w:rPr/>
      </w:pPr>
      <w:r>
        <w:rPr/>
      </w:r>
    </w:p>
    <w:p>
      <w:pPr>
        <w:pStyle w:val="Number111"/>
        <w:rPr/>
      </w:pPr>
      <w:r>
        <w:rPr/>
        <w:tab/>
        <w:t>8.92</w:t>
        <w:tab/>
        <w:t>Use code 22 if the person fails to show up for three appointments.</w:t>
      </w:r>
    </w:p>
    <w:p>
      <w:pPr>
        <w:pStyle w:val="Number111"/>
        <w:rPr/>
      </w:pPr>
      <w:r>
        <w:rPr/>
      </w:r>
    </w:p>
    <w:p>
      <w:pPr>
        <w:pStyle w:val="Number111"/>
        <w:rPr/>
      </w:pPr>
      <w:r>
        <w:rPr/>
        <w:tab/>
        <w:t>8.93</w:t>
        <w:tab/>
        <w:t>Use code 23 if you discover at the time of the scan that the person is ineligible (e.g., because of metal fragments in the body) for the scan.</w:t>
      </w:r>
    </w:p>
    <w:p>
      <w:pPr>
        <w:pStyle w:val="Number111"/>
        <w:rPr/>
      </w:pPr>
      <w:r>
        <w:rPr/>
      </w:r>
    </w:p>
    <w:p>
      <w:pPr>
        <w:sectPr>
          <w:headerReference w:type="even" r:id="rId16"/>
          <w:headerReference w:type="default" r:id="rId17"/>
          <w:footerReference w:type="even" r:id="rId18"/>
          <w:footerReference w:type="default" r:id="rId19"/>
          <w:type w:val="oddPage"/>
          <w:pgSz w:w="12240" w:h="15840"/>
          <w:pgMar w:left="2880" w:right="1080" w:gutter="0" w:header="720" w:top="1440" w:footer="720" w:bottom="1440"/>
          <w:pgNumType w:fmt="decimal"/>
          <w:formProt w:val="false"/>
          <w:textDirection w:val="lrTb"/>
          <w:docGrid w:type="default" w:linePitch="360" w:charSpace="0"/>
        </w:sectPr>
        <w:pStyle w:val="Number111"/>
        <w:rPr>
          <w:b/>
          <w:b/>
          <w:bCs/>
          <w:sz w:val="32"/>
        </w:rPr>
      </w:pPr>
      <w:r>
        <w:rPr/>
        <w:tab/>
        <w:t>8.94</w:t>
        <w:tab/>
        <w:t xml:space="preserve">Use code 24 (unable to complete procedure) is used when the person attempts the scan but is unable to complete it due to claustrophobia, inability to lie flat, or other similar problem. </w:t>
      </w:r>
    </w:p>
    <w:p>
      <w:pPr>
        <w:pStyle w:val="Subsub"/>
        <w:rPr/>
      </w:pPr>
      <w:bookmarkStart w:id="5" w:name="__RefHeading___Toc503858961"/>
      <w:bookmarkEnd w:id="5"/>
      <w:r>
        <w:rPr/>
        <w:t>2.1.1  Recruitment Questionnaires</w:t>
      </w:r>
    </w:p>
    <w:p>
      <w:pPr>
        <w:sectPr>
          <w:headerReference w:type="even" r:id="rId20"/>
          <w:headerReference w:type="default" r:id="rId21"/>
          <w:footerReference w:type="even" r:id="rId22"/>
          <w:footerReference w:type="default" r:id="rId23"/>
          <w:type w:val="oddPage"/>
          <w:pgSz w:w="12240" w:h="15840"/>
          <w:pgMar w:left="2880" w:right="1080" w:gutter="0" w:header="720" w:top="1440" w:footer="720" w:bottom="1440"/>
          <w:pgNumType w:fmt="decimal"/>
          <w:formProt w:val="false"/>
          <w:textDirection w:val="lrTb"/>
          <w:docGrid w:type="default" w:linePitch="360" w:charSpace="0"/>
        </w:sectPr>
        <w:pStyle w:val="Subsub"/>
        <w:rPr/>
      </w:pPr>
      <w:r>
        <w:rPr/>
      </w:r>
    </w:p>
    <w:p>
      <w:pPr>
        <w:pStyle w:val="Subsubsub"/>
        <w:rPr/>
      </w:pPr>
      <w:bookmarkStart w:id="6" w:name="__RefHeading___Toc503858962"/>
      <w:bookmarkEnd w:id="6"/>
      <w:r>
        <w:rPr/>
        <w:t>2.1.1.1  Screening/Recruitment Questionnaire</w:t>
      </w:r>
    </w:p>
    <w:p>
      <w:pPr>
        <w:pStyle w:val="Normal"/>
        <w:tabs>
          <w:tab w:val="clear" w:pos="720"/>
          <w:tab w:val="decimal" w:pos="360" w:leader="none"/>
        </w:tabs>
        <w:ind w:left="630" w:hanging="630"/>
        <w:jc w:val="center"/>
        <w:rPr>
          <w:b/>
          <w:b/>
          <w:bCs/>
          <w:sz w:val="32"/>
        </w:rPr>
      </w:pPr>
      <w:r>
        <w:rPr>
          <w:b/>
          <w:bCs/>
          <w:sz w:val="32"/>
        </w:rPr>
      </w:r>
    </w:p>
    <w:p>
      <w:pPr>
        <w:pStyle w:val="Romanbold"/>
        <w:rPr>
          <w:b w:val="false"/>
          <w:b w:val="false"/>
          <w:bCs w:val="false"/>
          <w:sz w:val="32"/>
        </w:rPr>
      </w:pPr>
      <w:r>
        <w:rPr>
          <w:b w:val="false"/>
          <w:bCs w:val="false"/>
          <w:sz w:val="32"/>
        </w:rPr>
      </w:r>
    </w:p>
    <w:p>
      <w:pPr>
        <w:pStyle w:val="Romanbold"/>
        <w:rPr/>
      </w:pPr>
      <w:r>
        <w:rPr/>
        <w:tab/>
        <w:t>I.</w:t>
        <w:tab/>
        <w:t>Purpose</w:t>
      </w:r>
    </w:p>
    <w:p>
      <w:pPr>
        <w:pStyle w:val="Normal"/>
        <w:rPr/>
      </w:pPr>
      <w:r>
        <w:rPr/>
      </w:r>
    </w:p>
    <w:p>
      <w:pPr>
        <w:pStyle w:val="Romanbody"/>
        <w:rPr/>
      </w:pPr>
      <w:r>
        <w:rPr/>
        <w:t>This form is administered to</w:t>
      </w:r>
      <w:r>
        <w:rPr>
          <w:b/>
          <w:bCs/>
        </w:rPr>
        <w:t xml:space="preserve"> </w:t>
      </w:r>
      <w:r>
        <w:rPr/>
        <w:t xml:space="preserve">potential MESA participants. In most cases the form will be administered over the phone, but in some cases it will be administered in person, at the subject's home. Fill out a separate form for each age-eligible household member, regardless of who answered your call. Please note that the respondent might not have any prior knowledge of the study or, in some cases, might be familiar with the main features of MESA. The purpose of the Screening/Recruitment Questionnaire is to determine eligibility for MESA, but please remember that at the same time you will be introducing the study and trying to raise the respondent's interest. </w:t>
      </w:r>
    </w:p>
    <w:p>
      <w:pPr>
        <w:pStyle w:val="Normal"/>
        <w:rPr/>
      </w:pPr>
      <w:r>
        <w:rPr/>
      </w:r>
    </w:p>
    <w:p>
      <w:pPr>
        <w:pStyle w:val="Romanbold"/>
        <w:rPr/>
      </w:pPr>
      <w:r>
        <w:rPr/>
        <w:tab/>
        <w:t>II.</w:t>
        <w:tab/>
        <w:t>Materials/Equipment</w:t>
      </w:r>
    </w:p>
    <w:p>
      <w:pPr>
        <w:pStyle w:val="Normal"/>
        <w:numPr>
          <w:ilvl w:val="0"/>
          <w:numId w:val="0"/>
        </w:numPr>
        <w:ind w:left="0" w:hanging="0"/>
        <w:rPr/>
      </w:pPr>
      <w:r>
        <w:rPr/>
      </w:r>
    </w:p>
    <w:p>
      <w:pPr>
        <w:pStyle w:val="Romanbody"/>
        <w:rPr/>
      </w:pPr>
      <w:r>
        <w:rPr/>
        <w:t>No special equipment/materials needed.</w:t>
      </w:r>
    </w:p>
    <w:p>
      <w:pPr>
        <w:pStyle w:val="Romanbold"/>
        <w:rPr>
          <w:b w:val="false"/>
          <w:b w:val="false"/>
          <w:bCs w:val="false"/>
        </w:rPr>
      </w:pPr>
      <w:r>
        <w:rPr>
          <w:b w:val="false"/>
          <w:bCs w:val="false"/>
        </w:rPr>
      </w:r>
    </w:p>
    <w:p>
      <w:pPr>
        <w:pStyle w:val="Romanbold"/>
        <w:rPr/>
      </w:pPr>
      <w:r>
        <w:rPr/>
        <w:tab/>
        <w:t>III.</w:t>
        <w:tab/>
        <w:t>Definitions</w:t>
      </w:r>
    </w:p>
    <w:p>
      <w:pPr>
        <w:pStyle w:val="Normal"/>
        <w:numPr>
          <w:ilvl w:val="0"/>
          <w:numId w:val="0"/>
        </w:numPr>
        <w:ind w:left="0" w:hanging="0"/>
        <w:rPr/>
      </w:pPr>
      <w:r>
        <w:rPr/>
      </w:r>
    </w:p>
    <w:p>
      <w:pPr>
        <w:pStyle w:val="Romanbodybullet"/>
        <w:rPr/>
      </w:pPr>
      <w:r>
        <w:rPr>
          <w:rFonts w:eastAsia="Symbol" w:cs="Symbol" w:ascii="Symbol" w:hAnsi="Symbol"/>
        </w:rPr>
        <w:t></w:t>
      </w:r>
      <w:r>
        <w:rPr/>
        <w:tab/>
        <w:t xml:space="preserve">An </w:t>
      </w:r>
      <w:r>
        <w:rPr>
          <w:u w:val="single"/>
        </w:rPr>
        <w:t>age-eligible</w:t>
      </w:r>
      <w:r>
        <w:rPr/>
        <w:t xml:space="preserve"> person is between 45 and 84 years of age. (If a respondent is 44, recruit, if not part of an over-sampled group, when he/she turns 45.)</w:t>
      </w:r>
    </w:p>
    <w:p>
      <w:pPr>
        <w:pStyle w:val="Romanbodybullet"/>
        <w:rPr/>
      </w:pPr>
      <w:r>
        <w:rPr>
          <w:rFonts w:eastAsia="Symbol" w:cs="Symbol" w:ascii="Symbol" w:hAnsi="Symbol"/>
        </w:rPr>
        <w:t></w:t>
      </w:r>
      <w:r>
        <w:rPr/>
        <w:tab/>
        <w:t xml:space="preserve">A </w:t>
      </w:r>
      <w:r>
        <w:rPr>
          <w:u w:val="single"/>
        </w:rPr>
        <w:t>household member</w:t>
      </w:r>
      <w:r>
        <w:rPr/>
        <w:t xml:space="preserve"> is an age-eligible person who resides in the selected household, regardless of the nature of his/her relationship with other household members.</w:t>
      </w:r>
    </w:p>
    <w:p>
      <w:pPr>
        <w:pStyle w:val="Normal"/>
        <w:numPr>
          <w:ilvl w:val="0"/>
          <w:numId w:val="0"/>
        </w:numPr>
        <w:ind w:left="360" w:hanging="0"/>
        <w:rPr/>
      </w:pPr>
      <w:r>
        <w:rPr/>
      </w:r>
    </w:p>
    <w:p>
      <w:pPr>
        <w:pStyle w:val="Romanbold"/>
        <w:rPr/>
      </w:pPr>
      <w:r>
        <w:rPr/>
        <w:tab/>
        <w:t>IV.</w:t>
        <w:tab/>
        <w:t>Methods</w:t>
      </w:r>
    </w:p>
    <w:p>
      <w:pPr>
        <w:pStyle w:val="Normal"/>
        <w:rPr/>
      </w:pPr>
      <w:r>
        <w:rPr/>
      </w:r>
    </w:p>
    <w:p>
      <w:pPr>
        <w:pStyle w:val="Number1"/>
        <w:rPr/>
      </w:pPr>
      <w:r>
        <w:rPr/>
        <w:tab/>
        <w:t>1.</w:t>
        <w:tab/>
        <w:t>General Instructions</w:t>
      </w:r>
    </w:p>
    <w:p>
      <w:pPr>
        <w:pStyle w:val="Normal"/>
        <w:numPr>
          <w:ilvl w:val="0"/>
          <w:numId w:val="0"/>
        </w:numPr>
        <w:ind w:left="0" w:hanging="0"/>
        <w:rPr/>
      </w:pPr>
      <w:r>
        <w:rPr/>
      </w:r>
    </w:p>
    <w:p>
      <w:pPr>
        <w:pStyle w:val="Number11"/>
        <w:rPr/>
      </w:pPr>
      <w:r>
        <w:rPr/>
        <w:tab/>
        <w:t>1.1</w:t>
        <w:tab/>
        <w:t xml:space="preserve">The Screening/Recruitment Questionnaire is printed in English, Spanish, and Chinese (Mandarin or Cantonese). (Language forms will differ from center to center. Note that instuctions in this manual for Section I question 2 may differ from those printed on your center’s forms. If they do, follow the instructions on the forms used by your center.) </w:t>
      </w:r>
    </w:p>
    <w:p>
      <w:pPr>
        <w:pStyle w:val="Number11"/>
        <w:rPr/>
      </w:pPr>
      <w:r>
        <w:rPr/>
      </w:r>
    </w:p>
    <w:p>
      <w:pPr>
        <w:pStyle w:val="Number11"/>
        <w:rPr/>
      </w:pPr>
      <w:r>
        <w:rPr/>
        <w:tab/>
        <w:t>1.2</w:t>
        <w:tab/>
        <w:t xml:space="preserve">Complete form using a black ink pen. In order to facilitate scanning, please write legibly and make sure that all circles are completely filled in.  </w:t>
      </w:r>
    </w:p>
    <w:p>
      <w:pPr>
        <w:pStyle w:val="Number11"/>
        <w:rPr/>
      </w:pPr>
      <w:r>
        <w:rPr/>
      </w:r>
    </w:p>
    <w:p>
      <w:pPr>
        <w:pStyle w:val="Number11"/>
        <w:rPr/>
      </w:pPr>
      <w:r>
        <w:rPr/>
        <w:tab/>
        <w:t>1.3</w:t>
        <w:tab/>
        <w:t>Try to adhere to the scripts included on the questionnaire, but feel free to use common sense. (For example, don't repeat information that the participant obviously already knows.) If the participant asks questions or requests a clarification, try to answer to the best of your ability. If you don't know the answer, tell the person that you don't know the answer and that you will check with your supervisor and get back to him/her. Remember: you are the first MESA representative to interact with a potential participant. The person's decision about whether or not to join MESA is dependent, in part, on his/her interaction with you.</w:t>
      </w:r>
    </w:p>
    <w:p>
      <w:pPr>
        <w:pStyle w:val="Number11"/>
        <w:rPr/>
      </w:pPr>
      <w:r>
        <w:rPr/>
      </w:r>
    </w:p>
    <w:p>
      <w:pPr>
        <w:pStyle w:val="Number11"/>
        <w:rPr/>
      </w:pPr>
      <w:r>
        <w:rPr/>
        <w:tab/>
        <w:t>1.4</w:t>
        <w:tab/>
        <w:t>Unless instructions on the form specifically direct you to end the interview or to skip a question, complete the entire form for each participant.</w:t>
      </w:r>
    </w:p>
    <w:p>
      <w:pPr>
        <w:pStyle w:val="Number1"/>
        <w:rPr/>
      </w:pPr>
      <w:r>
        <w:rPr/>
      </w:r>
    </w:p>
    <w:p>
      <w:pPr>
        <w:pStyle w:val="Number1"/>
        <w:rPr/>
      </w:pPr>
      <w:r>
        <w:rPr/>
        <w:tab/>
        <w:t>2.</w:t>
        <w:tab/>
      </w:r>
      <w:r>
        <w:rPr>
          <w:u w:val="single"/>
        </w:rPr>
        <w:t>Specific Instructions</w:t>
      </w:r>
    </w:p>
    <w:p>
      <w:pPr>
        <w:pStyle w:val="Normal"/>
        <w:rPr/>
      </w:pPr>
      <w:r>
        <w:rPr/>
      </w:r>
    </w:p>
    <w:p>
      <w:pPr>
        <w:pStyle w:val="Number1body"/>
        <w:rPr>
          <w:b/>
          <w:b/>
          <w:bCs/>
        </w:rPr>
      </w:pPr>
      <w:r>
        <w:rPr>
          <w:b/>
          <w:bCs/>
        </w:rPr>
        <w:t>Header Information.</w:t>
      </w:r>
    </w:p>
    <w:p>
      <w:pPr>
        <w:pStyle w:val="Normal"/>
        <w:ind w:left="720" w:hanging="0"/>
        <w:rPr>
          <w:b/>
          <w:b/>
          <w:bCs/>
        </w:rPr>
      </w:pPr>
      <w:r>
        <w:rPr>
          <w:b/>
          <w:bCs/>
        </w:rPr>
      </w:r>
    </w:p>
    <w:p>
      <w:pPr>
        <w:pStyle w:val="Number1bodybullet"/>
        <w:rPr/>
      </w:pPr>
      <w:r>
        <w:rPr>
          <w:rFonts w:eastAsia="Symbol" w:cs="Symbol" w:ascii="Symbol" w:hAnsi="Symbol"/>
        </w:rPr>
        <w:t></w:t>
      </w:r>
      <w:r>
        <w:rPr/>
        <w:tab/>
        <w:t xml:space="preserve">For </w:t>
      </w:r>
      <w:r>
        <w:rPr>
          <w:b/>
          <w:bCs/>
          <w:i/>
          <w:iCs/>
        </w:rPr>
        <w:t>date</w:t>
      </w:r>
      <w:r>
        <w:rPr/>
        <w:t xml:space="preserve"> enter date of the call. For example, July 7, 2000 would be entered 07/07/2000.</w:t>
      </w:r>
    </w:p>
    <w:p>
      <w:pPr>
        <w:pStyle w:val="Number1bodybullet"/>
        <w:rPr/>
      </w:pPr>
      <w:r>
        <w:rPr>
          <w:rFonts w:eastAsia="Symbol" w:cs="Symbol" w:ascii="Symbol" w:hAnsi="Symbol"/>
        </w:rPr>
        <w:t></w:t>
      </w:r>
      <w:r>
        <w:rPr/>
        <w:tab/>
        <w:t xml:space="preserve">For </w:t>
      </w:r>
      <w:r>
        <w:rPr>
          <w:b/>
          <w:bCs/>
          <w:i/>
          <w:iCs/>
        </w:rPr>
        <w:t>phone number called</w:t>
      </w:r>
      <w:r>
        <w:rPr/>
        <w:t xml:space="preserve"> enter the three-digit area code followed by the seven-digit phone number.</w:t>
      </w:r>
    </w:p>
    <w:p>
      <w:pPr>
        <w:pStyle w:val="Number1bodybullet"/>
        <w:rPr/>
      </w:pPr>
      <w:r>
        <w:rPr>
          <w:rFonts w:eastAsia="Symbol" w:cs="Symbol" w:ascii="Symbol" w:hAnsi="Symbol"/>
        </w:rPr>
        <w:t></w:t>
      </w:r>
      <w:r>
        <w:rPr/>
        <w:tab/>
        <w:t>Record the Recruitment ID number in the box provided.</w:t>
      </w:r>
    </w:p>
    <w:p>
      <w:pPr>
        <w:pStyle w:val="Normal"/>
        <w:rPr/>
      </w:pPr>
      <w:r>
        <w:rPr/>
      </w:r>
    </w:p>
    <w:p>
      <w:pPr>
        <w:pStyle w:val="Number1body"/>
        <w:rPr/>
      </w:pPr>
      <w:r>
        <w:rPr/>
        <w:t xml:space="preserve">Record the date(s) and time(s) of attempted phone calls on a phone call log.  Follow your Field Center rules for the maximal number of unsuccessful phone calls. </w:t>
      </w:r>
    </w:p>
    <w:p>
      <w:pPr>
        <w:pStyle w:val="Number1"/>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46">
                <wp:simplePos x="0" y="0"/>
                <wp:positionH relativeFrom="page">
                  <wp:posOffset>1304290</wp:posOffset>
                </wp:positionH>
                <wp:positionV relativeFrom="page">
                  <wp:posOffset>1028700</wp:posOffset>
                </wp:positionV>
                <wp:extent cx="4872355" cy="4123690"/>
                <wp:effectExtent l="0" t="0" r="0" b="0"/>
                <wp:wrapTopAndBottom/>
                <wp:docPr id="1" name="Frame1"/>
                <a:graphic xmlns:a="http://schemas.openxmlformats.org/drawingml/2006/main">
                  <a:graphicData uri="http://schemas.microsoft.com/office/word/2010/wordprocessingShape">
                    <wps:wsp>
                      <wps:cNvSpPr txBox="1"/>
                      <wps:spPr>
                        <a:xfrm>
                          <a:off x="0" y="0"/>
                          <a:ext cx="4872355" cy="4123690"/>
                        </a:xfrm>
                        <a:prstGeom prst="rect"/>
                        <a:solidFill>
                          <a:srgbClr val="FFFFFF"/>
                        </a:solidFill>
                        <a:ln w="9525">
                          <a:solidFill>
                            <a:srgbClr val="000000"/>
                          </a:solidFill>
                        </a:ln>
                      </wps:spPr>
                      <wps:txbx>
                        <w:txbxContent>
                          <w:p>
                            <w:pPr>
                              <w:pStyle w:val="Normal"/>
                              <w:rPr/>
                            </w:pPr>
                            <w:r>
                              <w:rPr/>
                              <w:t>Questions people might ask about why you are calling,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don’t want to buy anything!</w:t>
                            </w:r>
                          </w:p>
                          <w:p>
                            <w:pPr>
                              <w:pStyle w:val="Normal"/>
                              <w:tabs>
                                <w:tab w:val="clear" w:pos="720"/>
                                <w:tab w:val="right" w:pos="360" w:leader="none"/>
                              </w:tabs>
                              <w:ind w:left="450" w:hanging="450"/>
                              <w:rPr/>
                            </w:pPr>
                            <w:r>
                              <w:rPr/>
                              <w:tab/>
                              <w:tab/>
                              <w:t>“</w:t>
                            </w:r>
                            <w:r>
                              <w:rPr>
                                <w:b/>
                                <w:bCs/>
                              </w:rPr>
                              <w:t>We are not selling anything. We are calling about a new medical research study that we want to tell you about.”</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did you get my name?</w:t>
                            </w:r>
                          </w:p>
                          <w:p>
                            <w:pPr>
                              <w:pStyle w:val="Normal"/>
                              <w:tabs>
                                <w:tab w:val="clear" w:pos="720"/>
                                <w:tab w:val="right" w:pos="360" w:leader="none"/>
                              </w:tabs>
                              <w:ind w:left="450" w:hanging="450"/>
                              <w:rPr/>
                            </w:pPr>
                            <w:r>
                              <w:rPr/>
                              <w:tab/>
                              <w:tab/>
                            </w:r>
                            <w:r>
                              <w:rPr>
                                <w:b/>
                                <w:bCs/>
                              </w:rPr>
                              <w:t xml:space="preserve">“Your name was selected from a list </w:t>
                            </w:r>
                            <w:r>
                              <w:rPr/>
                              <w:t>[insert site-specific method]</w:t>
                            </w:r>
                            <w:r>
                              <w:rPr>
                                <w:b/>
                                <w:bCs/>
                              </w:rPr>
                              <w:t>. It is important that we choose people from a wide range of the population and your name was selected. This is a unique opportunity for you to gain some important knowledge about your health.”</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I’m too busy!</w:t>
                            </w:r>
                          </w:p>
                          <w:p>
                            <w:pPr>
                              <w:pStyle w:val="Normal"/>
                              <w:tabs>
                                <w:tab w:val="clear" w:pos="720"/>
                                <w:tab w:val="right" w:pos="360" w:leader="none"/>
                              </w:tabs>
                              <w:ind w:left="450" w:hanging="450"/>
                              <w:rPr/>
                            </w:pPr>
                            <w:r>
                              <w:rPr/>
                              <w:tab/>
                              <w:tab/>
                            </w:r>
                            <w:r>
                              <w:rPr>
                                <w:b/>
                                <w:bCs/>
                              </w:rPr>
                              <w:t>“I realize that people are very busy these days. Are there other days and times that are better for you?”</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long will this take?</w:t>
                            </w:r>
                          </w:p>
                          <w:p>
                            <w:pPr>
                              <w:pStyle w:val="Normal"/>
                              <w:tabs>
                                <w:tab w:val="clear" w:pos="720"/>
                                <w:tab w:val="right" w:pos="360" w:leader="none"/>
                              </w:tabs>
                              <w:ind w:left="450" w:hanging="450"/>
                              <w:rPr/>
                            </w:pPr>
                            <w:r>
                              <w:rPr/>
                              <w:tab/>
                            </w:r>
                            <w:r>
                              <w:rPr>
                                <w:b/>
                                <w:bCs/>
                              </w:rPr>
                              <w:tab/>
                              <w:t>“It will only take about 10 to 15 minutes of your time today. I’ll move through the questions as quickly as I can.”</w:t>
                            </w:r>
                            <w:r>
                              <w:rPr/>
                              <w:t xml:space="preserve"> Immediately ask the first question.</w:t>
                            </w:r>
                          </w:p>
                        </w:txbxContent>
                      </wps:txbx>
                      <wps:bodyPr anchor="t" lIns="91440" tIns="45720" rIns="91440" bIns="45720">
                        <a:noAutofit/>
                      </wps:bodyPr>
                    </wps:wsp>
                  </a:graphicData>
                </a:graphic>
              </wp:anchor>
            </w:drawing>
          </mc:Choice>
          <mc:Fallback>
            <w:pict>
              <v:rect fillcolor="#FFFFFF" strokecolor="#000000" strokeweight="0pt" style="position:absolute;rotation:-0;width:383.65pt;height:324.7pt;mso-wrap-distance-left:9.05pt;mso-wrap-distance-right:9.05pt;mso-wrap-distance-top:0pt;mso-wrap-distance-bottom:0pt;margin-top:81pt;mso-position-vertical-relative:page;margin-left:102.7pt;mso-position-horizontal-relative:page">
                <v:textbox>
                  <w:txbxContent>
                    <w:p>
                      <w:pPr>
                        <w:pStyle w:val="Normal"/>
                        <w:rPr/>
                      </w:pPr>
                      <w:r>
                        <w:rPr/>
                        <w:t>Questions people might ask about why you are calling,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don’t want to buy anything!</w:t>
                      </w:r>
                    </w:p>
                    <w:p>
                      <w:pPr>
                        <w:pStyle w:val="Normal"/>
                        <w:tabs>
                          <w:tab w:val="clear" w:pos="720"/>
                          <w:tab w:val="right" w:pos="360" w:leader="none"/>
                        </w:tabs>
                        <w:ind w:left="450" w:hanging="450"/>
                        <w:rPr/>
                      </w:pPr>
                      <w:r>
                        <w:rPr/>
                        <w:tab/>
                        <w:tab/>
                        <w:t>“</w:t>
                      </w:r>
                      <w:r>
                        <w:rPr>
                          <w:b/>
                          <w:bCs/>
                        </w:rPr>
                        <w:t>We are not selling anything. We are calling about a new medical research study that we want to tell you about.”</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did you get my name?</w:t>
                      </w:r>
                    </w:p>
                    <w:p>
                      <w:pPr>
                        <w:pStyle w:val="Normal"/>
                        <w:tabs>
                          <w:tab w:val="clear" w:pos="720"/>
                          <w:tab w:val="right" w:pos="360" w:leader="none"/>
                        </w:tabs>
                        <w:ind w:left="450" w:hanging="450"/>
                        <w:rPr/>
                      </w:pPr>
                      <w:r>
                        <w:rPr/>
                        <w:tab/>
                        <w:tab/>
                      </w:r>
                      <w:r>
                        <w:rPr>
                          <w:b/>
                          <w:bCs/>
                        </w:rPr>
                        <w:t xml:space="preserve">“Your name was selected from a list </w:t>
                      </w:r>
                      <w:r>
                        <w:rPr/>
                        <w:t>[insert site-specific method]</w:t>
                      </w:r>
                      <w:r>
                        <w:rPr>
                          <w:b/>
                          <w:bCs/>
                        </w:rPr>
                        <w:t>. It is important that we choose people from a wide range of the population and your name was selected. This is a unique opportunity for you to gain some important knowledge about your health.”</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I’m too busy!</w:t>
                      </w:r>
                    </w:p>
                    <w:p>
                      <w:pPr>
                        <w:pStyle w:val="Normal"/>
                        <w:tabs>
                          <w:tab w:val="clear" w:pos="720"/>
                          <w:tab w:val="right" w:pos="360" w:leader="none"/>
                        </w:tabs>
                        <w:ind w:left="450" w:hanging="450"/>
                        <w:rPr/>
                      </w:pPr>
                      <w:r>
                        <w:rPr/>
                        <w:tab/>
                        <w:tab/>
                      </w:r>
                      <w:r>
                        <w:rPr>
                          <w:b/>
                          <w:bCs/>
                        </w:rPr>
                        <w:t>“I realize that people are very busy these days. Are there other days and times that are better for you?”</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long will this take?</w:t>
                      </w:r>
                    </w:p>
                    <w:p>
                      <w:pPr>
                        <w:pStyle w:val="Normal"/>
                        <w:tabs>
                          <w:tab w:val="clear" w:pos="720"/>
                          <w:tab w:val="right" w:pos="360" w:leader="none"/>
                        </w:tabs>
                        <w:ind w:left="450" w:hanging="450"/>
                        <w:rPr/>
                      </w:pPr>
                      <w:r>
                        <w:rPr/>
                        <w:tab/>
                      </w:r>
                      <w:r>
                        <w:rPr>
                          <w:b/>
                          <w:bCs/>
                        </w:rPr>
                        <w:tab/>
                        <w:t>“It will only take about 10 to 15 minutes of your time today. I’ll move through the questions as quickly as I can.”</w:t>
                      </w:r>
                      <w:r>
                        <w:rPr/>
                        <w:t xml:space="preserve"> Immediately ask the first question.</w:t>
                      </w:r>
                    </w:p>
                  </w:txbxContent>
                </v:textbox>
                <w10:wrap type="topAndBottom"/>
              </v:rect>
            </w:pict>
          </mc:Fallback>
        </mc:AlternateContent>
      </w:r>
    </w:p>
    <w:p>
      <w:pPr>
        <w:pStyle w:val="Number1"/>
        <w:rPr/>
      </w:pPr>
      <w:r>
        <w:rPr/>
        <w:tab/>
        <w:t>3.</w:t>
        <w:tab/>
      </w:r>
      <w:r>
        <w:rPr>
          <w:u w:val="single"/>
        </w:rPr>
        <w:t>Item Instructions</w:t>
      </w:r>
      <w:r>
        <w:rPr/>
        <w:t xml:space="preserve">. Please note that responses marked in </w:t>
      </w:r>
      <w:r>
        <w:rPr>
          <w:b/>
        </w:rPr>
        <w:t>bold</w:t>
      </w:r>
      <w:r>
        <w:rPr/>
        <w:t xml:space="preserve"> with an asterisk (*) indicate </w:t>
      </w:r>
      <w:r>
        <w:rPr>
          <w:smallCaps/>
        </w:rPr>
        <w:t>ineligibility.</w:t>
      </w:r>
      <w:r>
        <w:rPr/>
        <w:t xml:space="preserve"> </w:t>
      </w:r>
    </w:p>
    <w:p>
      <w:pPr>
        <w:pStyle w:val="Roman2"/>
        <w:rPr/>
      </w:pPr>
      <w:r>
        <w:rPr/>
      </w:r>
    </w:p>
    <w:p>
      <w:pPr>
        <w:pStyle w:val="Roman2"/>
        <w:rPr/>
      </w:pPr>
      <w:r>
        <w:rPr/>
        <w:tab/>
        <w:t>I.</w:t>
        <w:tab/>
        <w:t>Introductory Section</w:t>
      </w:r>
    </w:p>
    <w:p>
      <w:pPr>
        <w:pStyle w:val="Normal"/>
        <w:ind w:left="720" w:hanging="0"/>
        <w:rPr/>
      </w:pPr>
      <w:r>
        <w:rPr/>
      </w:r>
    </w:p>
    <w:p>
      <w:pPr>
        <w:pStyle w:val="Roman2A"/>
        <w:rPr/>
      </w:pPr>
      <w:r>
        <w:rPr>
          <w:b/>
          <w:bCs/>
        </w:rPr>
        <w:tab/>
        <w:t>A.</w:t>
      </w:r>
      <w:r>
        <w:rPr>
          <w:b/>
          <w:bCs/>
          <w:sz w:val="20"/>
        </w:rPr>
        <w:tab/>
      </w:r>
      <w:r>
        <w:rPr>
          <w:rFonts w:cs="Arial;Arial" w:ascii="Arial;Arial" w:hAnsi="Arial;Arial"/>
          <w:b/>
          <w:bCs/>
          <w:sz w:val="20"/>
        </w:rPr>
        <w:t>“Hello, may I speak with [state person’s full name and title (e.g., Mr., Dr.), if known] My name is [state your full name]. I am not a solicitor. I am calling from [give name of academic institution] about a medical study we are conducting.”</w:t>
      </w:r>
      <w:r>
        <w:rPr/>
        <w:t xml:space="preserve"> If the person is not available and if name of other household member is known, try other household member.</w:t>
      </w:r>
    </w:p>
    <w:p>
      <w:pPr>
        <w:pStyle w:val="Roman2A"/>
        <w:rPr/>
      </w:pPr>
      <w:r>
        <w:rPr/>
      </w:r>
    </w:p>
    <w:p>
      <w:pPr>
        <w:pStyle w:val="Roman2A"/>
        <w:rPr/>
      </w:pPr>
      <w:r>
        <w:rPr/>
        <w:tab/>
        <w:tab/>
        <w:t>If you are random-digit dialing, say,</w:t>
      </w:r>
      <w:r>
        <w:rPr>
          <w:rFonts w:cs="Arial;Arial" w:ascii="Arial;Arial" w:hAnsi="Arial;Arial"/>
          <w:sz w:val="20"/>
        </w:rPr>
        <w:t xml:space="preserve"> </w:t>
      </w:r>
      <w:r>
        <w:rPr>
          <w:rFonts w:cs="Arial;Arial" w:ascii="Arial;Arial" w:hAnsi="Arial;Arial"/>
          <w:b/>
          <w:bCs/>
          <w:sz w:val="20"/>
        </w:rPr>
        <w:t>“Hello, my name is  [state your full name] and I am calling from [give name of academic institution] about a study we are doing. Are there any household members between the ages of 45 and 84?</w:t>
      </w:r>
    </w:p>
    <w:p>
      <w:pPr>
        <w:pStyle w:val="Roman2A"/>
        <w:rPr>
          <w:rFonts w:ascii="Arial;Arial" w:hAnsi="Arial;Arial" w:cs="Arial;Arial"/>
          <w:b/>
          <w:b/>
          <w:bCs/>
          <w:sz w:val="20"/>
        </w:rPr>
      </w:pPr>
      <w:r>
        <w:rPr>
          <w:rFonts w:cs="Arial;Arial" w:ascii="Arial;Arial" w:hAnsi="Arial;Arial"/>
          <w:b/>
          <w:bCs/>
          <w:sz w:val="20"/>
        </w:rPr>
      </w:r>
    </w:p>
    <w:p>
      <w:pPr>
        <w:pStyle w:val="Roman2A1"/>
        <w:rPr/>
      </w:pPr>
      <w:r>
        <w:rPr/>
        <w:tab/>
        <w:t>1.</w:t>
        <w:tab/>
      </w:r>
      <w:r>
        <w:rPr>
          <w:rFonts w:cs="Arial;Arial" w:ascii="Arial;Arial" w:hAnsi="Arial;Arial"/>
          <w:b/>
          <w:bCs/>
          <w:sz w:val="20"/>
        </w:rPr>
        <w:t>“Do you have 15 minutes or so to hear about the study.”</w:t>
      </w:r>
    </w:p>
    <w:p>
      <w:pPr>
        <w:pStyle w:val="Roman2A1body"/>
        <w:rPr/>
      </w:pPr>
      <w:r>
        <w:rPr>
          <w:u w:val="single"/>
        </w:rPr>
        <w:t>If yes, skip to Screening (section II)</w:t>
      </w:r>
      <w:r>
        <w:rPr/>
        <w:t>.</w:t>
      </w:r>
    </w:p>
    <w:p>
      <w:pPr>
        <w:pStyle w:val="Roman2A1body"/>
        <w:rPr>
          <w:i/>
          <w:i/>
          <w:iCs/>
          <w:u w:val="single"/>
        </w:rPr>
      </w:pPr>
      <w:r>
        <w:rPr>
          <w:u w:val="single"/>
        </w:rPr>
        <w:t>If foreign accent detected, continue with question 2.</w:t>
      </w:r>
    </w:p>
    <w:p>
      <w:pPr>
        <w:pStyle w:val="Roman2A1body"/>
        <w:rPr>
          <w:b/>
          <w:b/>
          <w:bCs/>
        </w:rPr>
      </w:pPr>
      <w:r>
        <w:rPr>
          <w:u w:val="single"/>
        </w:rPr>
        <w:t>If no, ask</w:t>
      </w:r>
      <w:r>
        <w:rPr/>
        <w:t>,</w:t>
      </w:r>
      <w:r>
        <w:rPr>
          <w:rFonts w:cs="Arial;Arial"/>
          <w:sz w:val="20"/>
        </w:rPr>
        <w:t xml:space="preserve"> </w:t>
      </w:r>
      <w:r>
        <w:rPr>
          <w:rFonts w:cs="Arial;Arial" w:ascii="Arial;Arial" w:hAnsi="Arial;Arial"/>
          <w:b/>
          <w:bCs/>
          <w:sz w:val="20"/>
        </w:rPr>
        <w:t>“When would it be convenient to call you back?”</w:t>
      </w:r>
      <w:r>
        <w:rPr>
          <w:rFonts w:cs="Arial;Arial"/>
          <w:b/>
          <w:bCs/>
          <w:sz w:val="20"/>
        </w:rPr>
        <w:t xml:space="preserve"> </w:t>
      </w:r>
    </w:p>
    <w:p>
      <w:pPr>
        <w:pStyle w:val="Roman2A1body"/>
        <w:rPr/>
      </w:pPr>
      <w:r>
        <w:rPr>
          <w:u w:val="single"/>
        </w:rPr>
        <w:t>If the person agrees to a future contact, record answer in space provided</w:t>
      </w:r>
      <w:r>
        <w:rPr/>
        <w:t xml:space="preserve">. </w:t>
      </w:r>
      <w:r>
        <w:rPr>
          <w:rFonts w:cs="Arial;Arial" w:ascii="Arial;Arial" w:hAnsi="Arial;Arial"/>
          <w:b/>
          <w:bCs/>
          <w:sz w:val="20"/>
        </w:rPr>
        <w:t>“Thank you. I will call again then.”</w:t>
      </w:r>
    </w:p>
    <w:p>
      <w:pPr>
        <w:pStyle w:val="Roman2A1body"/>
        <w:rPr/>
      </w:pPr>
      <w:r>
        <w:rPr>
          <w:u w:val="single"/>
        </w:rPr>
        <w:t>If the person refuses future contact, end the call</w:t>
      </w:r>
      <w:r>
        <w:rPr/>
        <w:t>.</w:t>
      </w:r>
      <w:r>
        <w:rPr>
          <w:rFonts w:cs="Arial;Arial"/>
          <w:sz w:val="20"/>
        </w:rPr>
        <w:t xml:space="preserve"> </w:t>
      </w:r>
      <w:r>
        <w:rPr>
          <w:rFonts w:cs="Arial;Arial" w:ascii="Arial;Arial" w:hAnsi="Arial;Arial"/>
          <w:b/>
          <w:bCs/>
          <w:sz w:val="20"/>
        </w:rPr>
        <w:t>“Sorry to have disturbed you. Good bye.”</w:t>
      </w:r>
      <w:r>
        <w:rPr/>
        <w:t xml:space="preserve"> </w:t>
      </w:r>
      <w:r>
        <w:rPr>
          <w:u w:val="single"/>
        </w:rPr>
        <w:t>Skip to Question 24, on page 5, and check "uncertain eligibility status.</w:t>
      </w:r>
      <w:r>
        <w:rPr/>
        <w:t>"</w:t>
      </w:r>
    </w:p>
    <w:p>
      <w:pPr>
        <w:pStyle w:val="Normal"/>
        <w:rPr>
          <w:b/>
          <w:b/>
          <w:bCs/>
        </w:rPr>
      </w:pPr>
      <w:r>
        <w:rPr>
          <w:b/>
          <w:bCs/>
        </w:rPr>
      </w:r>
    </w:p>
    <w:p>
      <w:pPr>
        <w:pStyle w:val="Roman2A1"/>
        <w:rPr/>
      </w:pPr>
      <w:r>
        <w:rPr/>
        <w:tab/>
        <w:t>2.</w:t>
      </w:r>
      <w:r>
        <w:rPr>
          <w:rFonts w:cs="Arial;Arial" w:ascii="Arial;Arial" w:hAnsi="Arial;Arial"/>
          <w:b/>
          <w:bCs/>
          <w:sz w:val="18"/>
        </w:rPr>
        <w:tab/>
      </w:r>
      <w:r>
        <w:rPr>
          <w:rFonts w:cs="Arial;Arial" w:ascii="Arial;Arial" w:hAnsi="Arial;Arial"/>
          <w:b/>
          <w:bCs/>
          <w:sz w:val="20"/>
        </w:rPr>
        <w:t>“Are you comfortable answering questions in English?”</w:t>
      </w:r>
    </w:p>
    <w:p>
      <w:pPr>
        <w:pStyle w:val="Roman2A1body"/>
        <w:rPr/>
      </w:pPr>
      <w:r>
        <w:rPr>
          <w:u w:val="single"/>
        </w:rPr>
        <w:t>If yes, skip to Screening (section II)</w:t>
      </w:r>
      <w:r>
        <w:rPr/>
        <w:t>.</w:t>
      </w:r>
    </w:p>
    <w:p>
      <w:pPr>
        <w:pStyle w:val="Roman2A1body"/>
        <w:rPr/>
      </w:pPr>
      <w:r>
        <w:rPr>
          <w:u w:val="single"/>
        </w:rPr>
        <w:t>If no, ask</w:t>
      </w:r>
      <w:r>
        <w:rPr/>
        <w:t>,</w:t>
      </w:r>
      <w:r>
        <w:rPr>
          <w:rFonts w:cs="Arial;Arial" w:ascii="Arial;Arial" w:hAnsi="Arial;Arial"/>
          <w:b/>
          <w:bCs/>
          <w:sz w:val="20"/>
        </w:rPr>
        <w:t xml:space="preserve"> “What language would you be most comfortable using?”</w:t>
      </w:r>
      <w:r>
        <w:rPr/>
        <w:t xml:space="preserve"> (Possible answers are Spanish, Mandarin, or Cantonese or </w:t>
      </w:r>
      <w:r>
        <w:rPr>
          <w:b/>
          <w:bCs/>
        </w:rPr>
        <w:t>other*</w:t>
      </w:r>
      <w:r>
        <w:rPr/>
        <w:t>)</w:t>
      </w:r>
    </w:p>
    <w:p>
      <w:pPr>
        <w:pStyle w:val="Roman2A1body"/>
        <w:rPr/>
      </w:pPr>
      <w:r>
        <w:rPr>
          <w:u w:val="single"/>
        </w:rPr>
        <w:t xml:space="preserve">If Spanish, Cantonese, or Mandarin, person is eligible, </w:t>
      </w:r>
      <w:r>
        <w:rPr>
          <w:i/>
          <w:iCs/>
          <w:u w:val="single"/>
        </w:rPr>
        <w:t>only</w:t>
      </w:r>
      <w:r>
        <w:rPr>
          <w:u w:val="single"/>
        </w:rPr>
        <w:t xml:space="preserve"> if institution has staff who speak those languages</w:t>
      </w:r>
      <w:r>
        <w:rPr/>
        <w:t>. Arrange for a language-appropriate follow-up call.</w:t>
      </w:r>
    </w:p>
    <w:p>
      <w:pPr>
        <w:pStyle w:val="Roman2A1body"/>
        <w:rPr/>
      </w:pPr>
      <w:r>
        <w:rPr>
          <w:u w:val="single"/>
        </w:rPr>
        <w:t xml:space="preserve">If </w:t>
      </w:r>
      <w:r>
        <w:rPr>
          <w:b/>
          <w:bCs/>
          <w:u w:val="single"/>
        </w:rPr>
        <w:t>other</w:t>
      </w:r>
      <w:r>
        <w:rPr>
          <w:u w:val="single"/>
        </w:rPr>
        <w:t>, respondent is ineligible. If ineligible, ask</w:t>
      </w:r>
      <w:r>
        <w:rPr/>
        <w:t>,</w:t>
      </w:r>
      <w:r>
        <w:rPr>
          <w:rFonts w:cs="Arial;Arial" w:ascii="Arial;Arial" w:hAnsi="Arial;Arial"/>
          <w:b/>
          <w:bCs/>
          <w:sz w:val="20"/>
        </w:rPr>
        <w:t xml:space="preserve"> “Is there someone else there who is between the ages of 45 and 84 who is comfortable speaking English (or Spanish, Cantonese, or Mandarin, as appropriate)?”</w:t>
      </w:r>
    </w:p>
    <w:p>
      <w:pPr>
        <w:pStyle w:val="Normal"/>
        <w:ind w:left="2160" w:hanging="0"/>
        <w:rPr/>
      </w:pPr>
      <w:r>
        <w:rPr>
          <w:u w:val="single"/>
        </w:rPr>
        <w:t>Select “none,” if no one fits the category</w:t>
      </w:r>
      <w:r>
        <w:rPr/>
        <w:t>.</w:t>
      </w:r>
      <w:r>
        <w:rPr>
          <w:rFonts w:cs="Arial;Arial"/>
          <w:sz w:val="20"/>
        </w:rPr>
        <w:t xml:space="preserve"> </w:t>
      </w:r>
      <w:r>
        <w:rPr>
          <w:rFonts w:cs="Arial;Arial" w:ascii="Arial;Arial" w:hAnsi="Arial;Arial"/>
          <w:b/>
          <w:bCs/>
          <w:sz w:val="20"/>
        </w:rPr>
        <w:t xml:space="preserve">“Thank you for your time. It looks like there isn’t anyone there who is eligible for our study.” </w:t>
      </w:r>
      <w:r>
        <w:rPr>
          <w:u w:val="single"/>
        </w:rPr>
        <w:t>Skip to question 24 on page 5 and check “ineligible</w:t>
      </w:r>
      <w:r>
        <w:rPr/>
        <w:t>.”</w:t>
      </w:r>
    </w:p>
    <w:p>
      <w:pPr>
        <w:pStyle w:val="Normal"/>
        <w:ind w:left="2160" w:hanging="0"/>
        <w:rPr/>
      </w:pPr>
      <w:r>
        <w:rPr/>
      </w:r>
    </w:p>
    <w:p>
      <w:pPr>
        <w:pStyle w:val="Normal"/>
        <w:ind w:left="2160" w:hanging="0"/>
        <w:rPr/>
      </w:pPr>
      <w:r>
        <w:rPr>
          <w:u w:val="single"/>
        </w:rPr>
        <w:t>Select “not available,” if other household members fit the category but are not available</w:t>
      </w:r>
      <w:r>
        <w:rPr/>
        <w:t>. Enumerate the household, if possible, and then end the interview.</w:t>
      </w:r>
    </w:p>
    <w:p>
      <w:pPr>
        <w:pStyle w:val="Normal"/>
        <w:ind w:left="2160" w:hanging="0"/>
        <w:rPr/>
      </w:pPr>
      <w:r>
        <w:rPr/>
        <w:tab/>
        <w:tab/>
      </w:r>
    </w:p>
    <w:p>
      <w:pPr>
        <w:pStyle w:val="Normal"/>
        <w:ind w:left="2160" w:hanging="0"/>
        <w:rPr/>
      </w:pPr>
      <w:r>
        <w:rPr>
          <w:u w:val="single"/>
        </w:rPr>
        <w:t>Select “switched to a new person,” if another household member who fits the category is available to speak with you</w:t>
      </w:r>
      <w:r>
        <w:rPr/>
        <w:t>. Begin new Screening/Recruitment Form.</w:t>
      </w:r>
    </w:p>
    <w:p>
      <w:pPr>
        <w:pStyle w:val="Roman2"/>
        <w:rPr/>
      </w:pPr>
      <w:r>
        <w:rPr/>
      </w:r>
    </w:p>
    <w:p>
      <w:pPr>
        <w:pStyle w:val="Roman2"/>
        <w:rPr/>
      </w:pPr>
      <w:r>
        <w:rPr/>
        <w:tab/>
        <w:t>II.</w:t>
        <w:tab/>
        <w:t>Screening</w:t>
      </w:r>
    </w:p>
    <w:p>
      <w:pPr>
        <w:pStyle w:val="Normal"/>
        <w:rPr/>
      </w:pPr>
      <w:r>
        <w:rPr/>
      </w:r>
    </w:p>
    <w:p>
      <w:pPr>
        <w:pStyle w:val="Roman2A"/>
        <w:rPr>
          <w:rFonts w:ascii="Arial;Arial" w:hAnsi="Arial;Arial" w:cs="Arial;Arial"/>
          <w:sz w:val="20"/>
        </w:rPr>
      </w:pPr>
      <w:r>
        <w:rPr>
          <w:b/>
          <w:bCs/>
        </w:rPr>
        <w:tab/>
        <w:t>B.</w:t>
      </w:r>
      <w:r>
        <w:rPr>
          <w:b/>
          <w:bCs/>
          <w:sz w:val="20"/>
        </w:rPr>
        <w:tab/>
      </w:r>
      <w:r>
        <w:rPr>
          <w:rFonts w:cs="Arial;Arial" w:ascii="Arial;Arial" w:hAnsi="Arial;Arial"/>
          <w:b/>
          <w:bCs/>
          <w:sz w:val="20"/>
        </w:rPr>
        <w:t xml:space="preserve">“The study we’re doing is called MESA…. </w:t>
      </w:r>
    </w:p>
    <w:p>
      <w:pPr>
        <w:pStyle w:val="Roman2A"/>
        <w:rPr>
          <w:rFonts w:ascii="Arial;Arial" w:hAnsi="Arial;Arial" w:cs="Arial;Arial"/>
          <w:sz w:val="20"/>
        </w:rPr>
      </w:pPr>
      <w:r>
        <w:rPr>
          <w:rFonts w:cs="Arial;Arial" w:ascii="Arial;Arial" w:hAnsi="Arial;Arial"/>
          <w:sz w:val="20"/>
        </w:rPr>
      </w:r>
    </w:p>
    <w:p>
      <w:pPr>
        <w:pStyle w:val="Roman2A"/>
        <w:rPr/>
      </w:pPr>
      <w:r>
        <w:rPr>
          <w:rFonts w:cs="Arial;Arial" w:ascii="Arial;Arial" w:hAnsi="Arial;Arial"/>
          <w:sz w:val="20"/>
        </w:rPr>
        <w:tab/>
        <w:tab/>
      </w:r>
      <w:r>
        <w:rPr>
          <w:rFonts w:cs="Arial;Arial" w:ascii="Arial;Arial" w:hAnsi="Arial;Arial"/>
          <w:i/>
          <w:iCs/>
          <w:sz w:val="20"/>
        </w:rPr>
        <w:t xml:space="preserve">For sites that mailed a brochure: </w:t>
      </w:r>
      <w:r>
        <w:rPr>
          <w:rFonts w:cs="Arial;Arial" w:ascii="Arial;Arial" w:hAnsi="Arial;Arial"/>
          <w:b/>
          <w:bCs/>
          <w:sz w:val="20"/>
        </w:rPr>
        <w:t xml:space="preserve">Recently we mailed you a brochure about the study. </w:t>
      </w:r>
      <w:r>
        <w:rPr>
          <w:rFonts w:cs="Arial;Arial" w:ascii="Arial;Arial" w:hAnsi="Arial;Arial"/>
          <w:b/>
          <w:bCs/>
          <w:sz w:val="20"/>
          <w:u w:val="single"/>
        </w:rPr>
        <w:t>Did you get the brochure we sent</w:t>
      </w:r>
      <w:r>
        <w:rPr>
          <w:rFonts w:cs="Arial;Arial" w:ascii="Arial;Arial" w:hAnsi="Arial;Arial"/>
          <w:b/>
          <w:bCs/>
          <w:sz w:val="20"/>
        </w:rPr>
        <w:t>?”</w:t>
      </w:r>
    </w:p>
    <w:p>
      <w:pPr>
        <w:pStyle w:val="Roman2A"/>
        <w:ind w:left="0" w:hanging="0"/>
        <w:rPr>
          <w:rFonts w:ascii="Arial;Arial" w:hAnsi="Arial;Arial" w:cs="Arial;Arial"/>
          <w:b/>
          <w:b/>
          <w:bCs/>
          <w:sz w:val="20"/>
          <w:lang w:val="en-US" w:eastAsia="en-US"/>
        </w:rPr>
      </w:pPr>
      <w:r>
        <w:rPr>
          <w:rFonts w:cs="Arial;Arial" w:ascii="Arial;Arial" w:hAnsi="Arial;Arial"/>
          <w:b/>
          <w:bCs/>
          <w:sz w:val="20"/>
          <w:lang w:val="en-US" w:eastAsia="en-US"/>
        </w:rPr>
        <mc:AlternateContent>
          <mc:Choice Requires="wps">
            <w:drawing>
              <wp:anchor behindDoc="0" distT="0" distB="0" distL="114935" distR="114935" simplePos="0" locked="0" layoutInCell="0" allowOverlap="1" relativeHeight="60">
                <wp:simplePos x="0" y="0"/>
                <wp:positionH relativeFrom="column">
                  <wp:posOffset>2908935</wp:posOffset>
                </wp:positionH>
                <wp:positionV relativeFrom="paragraph">
                  <wp:posOffset>78105</wp:posOffset>
                </wp:positionV>
                <wp:extent cx="0" cy="137160"/>
                <wp:effectExtent l="38100" t="0" r="38100" b="0"/>
                <wp:wrapNone/>
                <wp:docPr id="2" name=""/>
                <a:graphic xmlns:a="http://schemas.openxmlformats.org/drawingml/2006/main">
                  <a:graphicData uri="http://schemas.microsoft.com/office/word/2010/wordprocessingShape">
                    <wps:wsp>
                      <wps:cNvSpPr/>
                      <wps:spPr>
                        <a:xfrm flipV="1">
                          <a:off x="0" y="0"/>
                          <a:ext cx="0" cy="1371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9.05pt,6.15pt" to="229.05pt,16.9pt" stroked="t" o:allowincell="f" style="position:absolute;flip:y">
                <v:stroke color="black" weight="9360" endarrow="block" endarrowwidth="medium" endarrowlength="medium" joinstyle="miter" endcap="flat"/>
                <v:fill o:detectmouseclick="t" on="false"/>
                <w10:wrap type="none"/>
              </v:line>
            </w:pict>
          </mc:Fallback>
        </mc:AlternateContent>
      </w:r>
    </w:p>
    <w:p>
      <w:pPr>
        <w:pStyle w:val="Roman2A"/>
        <w:ind w:left="0" w:hanging="0"/>
        <w:rPr>
          <w:rFonts w:ascii="Arial;Arial" w:hAnsi="Arial;Arial" w:cs="Arial;Arial"/>
          <w:b/>
          <w:b/>
          <w:bCs/>
          <w:sz w:val="18"/>
          <w:lang w:val="en-US" w:eastAsia="en-US"/>
        </w:rPr>
      </w:pPr>
      <w:r>
        <w:rPr>
          <w:rFonts w:cs="Arial;Arial" w:ascii="Arial;Arial" w:hAnsi="Arial;Arial"/>
          <w:b/>
          <w:bCs/>
          <w:sz w:val="18"/>
          <w:lang w:val="en-US" w:eastAsia="en-US"/>
        </w:rPr>
        <mc:AlternateContent>
          <mc:Choice Requires="wps">
            <w:drawing>
              <wp:anchor behindDoc="0" distT="0" distB="0" distL="114935" distR="114935" simplePos="0" locked="0" layoutInCell="0" allowOverlap="1" relativeHeight="58">
                <wp:simplePos x="0" y="0"/>
                <wp:positionH relativeFrom="column">
                  <wp:posOffset>508635</wp:posOffset>
                </wp:positionH>
                <wp:positionV relativeFrom="paragraph">
                  <wp:posOffset>78105</wp:posOffset>
                </wp:positionV>
                <wp:extent cx="0" cy="571500"/>
                <wp:effectExtent l="5080" t="0" r="5080" b="0"/>
                <wp:wrapNone/>
                <wp:docPr id="3" name=""/>
                <a:graphic xmlns:a="http://schemas.openxmlformats.org/drawingml/2006/main">
                  <a:graphicData uri="http://schemas.microsoft.com/office/word/2010/wordprocessingShape">
                    <wps:wsp>
                      <wps:cNvSpPr/>
                      <wps:spPr>
                        <a:xfrm flipV="1">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6.15pt" to="40.05pt,51.1pt" stroked="t" o:allowincell="f"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59">
                <wp:simplePos x="0" y="0"/>
                <wp:positionH relativeFrom="column">
                  <wp:posOffset>508635</wp:posOffset>
                </wp:positionH>
                <wp:positionV relativeFrom="paragraph">
                  <wp:posOffset>78105</wp:posOffset>
                </wp:positionV>
                <wp:extent cx="2400300" cy="0"/>
                <wp:effectExtent l="0" t="5080" r="0" b="5080"/>
                <wp:wrapNone/>
                <wp:docPr id="4" name=""/>
                <a:graphic xmlns:a="http://schemas.openxmlformats.org/drawingml/2006/main">
                  <a:graphicData uri="http://schemas.microsoft.com/office/word/2010/wordprocessingShape">
                    <wps:wsp>
                      <wps:cNvSpPr/>
                      <wps:spPr>
                        <a:xfrm>
                          <a:off x="0" y="0"/>
                          <a:ext cx="2400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6.15pt" to="229pt,6.15pt" stroked="t" o:allowincell="f" style="position:absolute">
                <v:stroke color="black" weight="9360" joinstyle="miter" endcap="flat"/>
                <v:fill o:detectmouseclick="t" on="false"/>
                <w10:wrap type="none"/>
              </v:line>
            </w:pict>
          </mc:Fallback>
        </mc:AlternateContent>
      </w:r>
    </w:p>
    <w:p>
      <w:pPr>
        <w:pStyle w:val="Roman2A"/>
        <w:rPr/>
      </w:pPr>
      <w:r>
        <mc:AlternateContent>
          <mc:Choice Requires="wps">
            <w:drawing>
              <wp:anchor behindDoc="0" distT="0" distB="0" distL="114935" distR="114935" simplePos="0" locked="0" layoutInCell="0" allowOverlap="1" relativeHeight="54">
                <wp:simplePos x="0" y="0"/>
                <wp:positionH relativeFrom="column">
                  <wp:posOffset>737235</wp:posOffset>
                </wp:positionH>
                <wp:positionV relativeFrom="paragraph">
                  <wp:posOffset>78105</wp:posOffset>
                </wp:positionV>
                <wp:extent cx="0" cy="685800"/>
                <wp:effectExtent l="5080" t="0" r="5080" b="0"/>
                <wp:wrapNone/>
                <wp:docPr id="5"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6.15pt" to="58.05pt,60.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55">
                <wp:simplePos x="0" y="0"/>
                <wp:positionH relativeFrom="column">
                  <wp:posOffset>737235</wp:posOffset>
                </wp:positionH>
                <wp:positionV relativeFrom="paragraph">
                  <wp:posOffset>78105</wp:posOffset>
                </wp:positionV>
                <wp:extent cx="228600" cy="0"/>
                <wp:effectExtent l="0" t="5080" r="0" b="5080"/>
                <wp:wrapNone/>
                <wp:docPr id="6"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6.15pt" to="76pt,6.15pt" stroked="t" o:allowincell="f" style="position:absolute">
                <v:stroke color="black" weight="9360" joinstyle="miter" endcap="flat"/>
                <v:fill o:detectmouseclick="t" on="false"/>
                <w10:wrap type="none"/>
              </v:line>
            </w:pict>
          </mc:Fallback>
        </mc:AlternateContent>
      </w:r>
      <w:r>
        <w:rPr/>
        <w:tab/>
        <w:tab/>
      </w:r>
      <w:r>
        <w:rPr>
          <w:u w:val="single"/>
        </w:rPr>
        <w:t xml:space="preserve">If </w:t>
      </w:r>
      <w:r>
        <w:rPr>
          <w:b/>
          <w:bCs/>
          <w:u w:val="single"/>
        </w:rPr>
        <w:t>YES</w:t>
      </w:r>
      <w:r>
        <w:rPr>
          <w:u w:val="single"/>
        </w:rPr>
        <w:t>, ask</w:t>
      </w:r>
      <w:r>
        <w:rPr/>
        <w:t xml:space="preserve">, </w:t>
      </w:r>
      <w:r>
        <w:rPr>
          <w:rFonts w:cs="Arial;Arial" w:ascii="Arial;Arial" w:hAnsi="Arial;Arial"/>
          <w:b/>
          <w:bCs/>
          <w:sz w:val="20"/>
        </w:rPr>
        <w:t>“Did you have a chance to look at it?”</w:t>
      </w:r>
    </w:p>
    <w:p>
      <w:pPr>
        <w:pStyle w:val="Roman2A1"/>
        <w:rPr/>
      </w:pPr>
      <w:r>
        <w:rPr/>
        <w:tab/>
        <w:tab/>
      </w:r>
      <w:r>
        <w:rPr>
          <w:u w:val="single"/>
        </w:rPr>
        <w:t>If yes, continue to question 3</w:t>
      </w:r>
      <w:r>
        <w:rPr/>
        <w:t>.</w:t>
      </w:r>
    </w:p>
    <w:p>
      <w:pPr>
        <w:pStyle w:val="Roman2A1"/>
        <w:rPr/>
      </w:pPr>
      <w:r>
        <mc:AlternateContent>
          <mc:Choice Requires="wps">
            <w:drawing>
              <wp:anchor behindDoc="0" distT="0" distB="0" distL="114935" distR="114935" simplePos="0" locked="0" layoutInCell="0" allowOverlap="1" relativeHeight="57">
                <wp:simplePos x="0" y="0"/>
                <wp:positionH relativeFrom="column">
                  <wp:posOffset>508635</wp:posOffset>
                </wp:positionH>
                <wp:positionV relativeFrom="paragraph">
                  <wp:posOffset>21590</wp:posOffset>
                </wp:positionV>
                <wp:extent cx="228600" cy="0"/>
                <wp:effectExtent l="0" t="5080" r="0" b="5080"/>
                <wp:wrapNone/>
                <wp:docPr id="7" name=""/>
                <a:graphic xmlns:a="http://schemas.openxmlformats.org/drawingml/2006/main">
                  <a:graphicData uri="http://schemas.microsoft.com/office/word/2010/wordprocessingShape">
                    <wps:wsp>
                      <wps:cNvSpPr/>
                      <wps:spPr>
                        <a:xfrm flipH="1">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1.7pt" to="58pt,1.7pt" stroked="t" o:allowincell="f" style="position:absolute;flip:x">
                <v:stroke color="black" weight="9360" joinstyle="miter" endcap="flat"/>
                <v:fill o:detectmouseclick="t" on="false"/>
                <w10:wrap type="none"/>
              </v:line>
            </w:pict>
          </mc:Fallback>
        </mc:AlternateContent>
      </w:r>
      <w:r>
        <w:rPr/>
        <w:tab/>
        <w:tab/>
      </w:r>
      <w:r>
        <w:rPr>
          <w:u w:val="single"/>
        </w:rPr>
        <w:t>If no, say</w:t>
      </w:r>
      <w:r>
        <w:rPr/>
        <w:t xml:space="preserve">, </w:t>
      </w:r>
      <w:r>
        <w:rPr>
          <w:rFonts w:cs="Arial;Arial" w:ascii="Arial;Arial" w:hAnsi="Arial;Arial"/>
          <w:b/>
          <w:bCs/>
          <w:sz w:val="20"/>
        </w:rPr>
        <w:t>“Let me take a few moments to tell you about it.”</w:t>
      </w:r>
    </w:p>
    <w:p>
      <w:pPr>
        <w:pStyle w:val="Roman2A1"/>
        <w:rPr>
          <w:rFonts w:ascii="Arial;Arial" w:hAnsi="Arial;Arial" w:cs="Arial;Arial"/>
          <w:b/>
          <w:b/>
          <w:bCs/>
          <w:sz w:val="20"/>
        </w:rPr>
      </w:pPr>
      <w:r>
        <w:rPr>
          <w:rFonts w:cs="Arial;Arial" w:ascii="Arial;Arial" w:hAnsi="Arial;Arial"/>
          <w:b/>
          <w:bCs/>
          <w:sz w:val="20"/>
        </w:rPr>
      </w:r>
    </w:p>
    <w:p>
      <w:pPr>
        <w:pStyle w:val="Roman2A"/>
        <w:rPr/>
      </w:pPr>
      <w:r>
        <mc:AlternateContent>
          <mc:Choice Requires="wps">
            <w:drawing>
              <wp:anchor behindDoc="0" distT="0" distB="0" distL="114935" distR="114935" simplePos="0" locked="0" layoutInCell="0" allowOverlap="1" relativeHeight="56">
                <wp:simplePos x="0" y="0"/>
                <wp:positionH relativeFrom="column">
                  <wp:posOffset>737235</wp:posOffset>
                </wp:positionH>
                <wp:positionV relativeFrom="paragraph">
                  <wp:posOffset>92075</wp:posOffset>
                </wp:positionV>
                <wp:extent cx="228600" cy="0"/>
                <wp:effectExtent l="0" t="5080" r="0" b="5080"/>
                <wp:wrapNone/>
                <wp:docPr id="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7.25pt" to="76pt,7.25pt" stroked="t" o:allowincell="f" style="position:absolute">
                <v:stroke color="black" weight="9360" joinstyle="miter" endcap="flat"/>
                <v:fill o:detectmouseclick="t" on="false"/>
                <w10:wrap type="none"/>
              </v:line>
            </w:pict>
          </mc:Fallback>
        </mc:AlternateContent>
      </w:r>
      <w:r>
        <w:rPr/>
        <w:tab/>
        <w:tab/>
      </w:r>
      <w:r>
        <w:rPr>
          <w:u w:val="single"/>
        </w:rPr>
        <w:t xml:space="preserve">If </w:t>
      </w:r>
      <w:r>
        <w:rPr>
          <w:b/>
          <w:bCs/>
          <w:u w:val="single"/>
        </w:rPr>
        <w:t>NO</w:t>
      </w:r>
      <w:r>
        <w:rPr>
          <w:u w:val="single"/>
        </w:rPr>
        <w:t>, say</w:t>
      </w:r>
      <w:r>
        <w:rPr/>
        <w:t xml:space="preserve">, </w:t>
      </w:r>
      <w:r>
        <w:rPr>
          <w:rFonts w:cs="Arial;Arial" w:ascii="Arial;Arial" w:hAnsi="Arial;Arial"/>
          <w:b/>
          <w:bCs/>
          <w:sz w:val="20"/>
        </w:rPr>
        <w:t>“I’d be happy to mail another one to you. Do you have a few moments for me to tell you about the study?”</w:t>
      </w:r>
    </w:p>
    <w:p>
      <w:pPr>
        <w:pStyle w:val="Roman2A"/>
        <w:rPr/>
      </w:pPr>
      <w:r>
        <w:rPr/>
        <w:tab/>
        <w:tab/>
      </w:r>
      <w:r>
        <w:rPr>
          <w:u w:val="single"/>
        </w:rPr>
        <w:t>If yes, continue to question 3</w:t>
      </w:r>
      <w:r>
        <w:rPr/>
        <w:t>.</w:t>
      </w:r>
    </w:p>
    <w:p>
      <w:pPr>
        <w:pStyle w:val="Roman2A"/>
        <w:rPr/>
      </w:pPr>
      <w:r>
        <w:rPr/>
        <w:tab/>
        <w:tab/>
      </w:r>
      <w:r>
        <w:rPr>
          <w:u w:val="single"/>
        </w:rPr>
        <w:t>If no, go back to question 1</w:t>
      </w:r>
      <w:r>
        <w:rPr/>
        <w:t xml:space="preserve"> (</w:t>
      </w:r>
      <w:r>
        <w:rPr>
          <w:rFonts w:cs="Arial;Arial" w:ascii="Arial;Arial" w:hAnsi="Arial;Arial"/>
          <w:b/>
          <w:bCs/>
          <w:sz w:val="20"/>
        </w:rPr>
        <w:t>“When would it be convenient to call you back?”</w:t>
      </w:r>
      <w:r>
        <w:rPr/>
        <w:t>)</w:t>
      </w:r>
      <w:r>
        <w:rPr>
          <w:u w:val="single"/>
        </w:rPr>
        <w:t xml:space="preserve"> </w:t>
      </w:r>
    </w:p>
    <w:p>
      <w:pPr>
        <w:pStyle w:val="Normal"/>
        <w:rPr/>
      </w:pPr>
      <w:r>
        <w:rPr/>
      </w:r>
    </w:p>
    <w:p>
      <w:pPr>
        <w:pStyle w:val="Roman2A1"/>
        <w:rPr>
          <w:i/>
          <w:i/>
          <w:iCs/>
        </w:rPr>
      </w:pPr>
      <w:r>
        <w:rPr/>
        <w:tab/>
        <w:t>3.</w:t>
      </w:r>
      <w:r>
        <w:rPr>
          <w:rFonts w:cs="Arial;Arial" w:ascii="Arial;Arial" w:hAnsi="Arial;Arial"/>
          <w:b/>
          <w:bCs/>
          <w:sz w:val="18"/>
        </w:rPr>
        <w:tab/>
      </w:r>
      <w:r>
        <w:rPr>
          <w:rFonts w:cs="Arial;Arial" w:ascii="Arial;Arial" w:hAnsi="Arial;Arial"/>
          <w:b/>
          <w:bCs/>
          <w:sz w:val="20"/>
        </w:rPr>
        <w:t>“…. This study includes people 45 to 84 years old. Are you in that age range?”</w:t>
      </w:r>
    </w:p>
    <w:p>
      <w:pPr>
        <w:pStyle w:val="Roman2A1"/>
        <w:rPr/>
      </w:pPr>
      <w:r>
        <w:rPr/>
        <w:tab/>
        <w:tab/>
      </w:r>
      <w:r>
        <w:rPr>
          <w:u w:val="single"/>
        </w:rPr>
        <w:t>If 45–84, ask respondent for his/her birthdate, and then continue to question 4</w:t>
      </w:r>
      <w:r>
        <w:rPr/>
        <w:t>.</w:t>
      </w:r>
    </w:p>
    <w:p>
      <w:pPr>
        <w:pStyle w:val="Roman2A1"/>
        <w:rPr/>
      </w:pPr>
      <w:r>
        <w:rPr/>
        <w:tab/>
        <w:tab/>
      </w:r>
      <w:r>
        <w:rPr>
          <w:u w:val="single"/>
        </w:rPr>
        <w:t xml:space="preserve">If younger than 45 or older than 84, respondent is </w:t>
      </w:r>
      <w:r>
        <w:rPr>
          <w:smallCaps/>
          <w:u w:val="single"/>
        </w:rPr>
        <w:t>ineligible</w:t>
      </w:r>
      <w:r>
        <w:rPr>
          <w:smallCaps/>
        </w:rPr>
        <w:t xml:space="preserve">. </w:t>
      </w:r>
      <w:r>
        <w:rPr>
          <w:rFonts w:cs="Arial;Arial" w:ascii="Arial;Arial" w:hAnsi="Arial;Arial"/>
          <w:b/>
          <w:bCs/>
          <w:sz w:val="20"/>
        </w:rPr>
        <w:t>“I’m sorry, but our study includes people only between the ages of 45 and 84. May I speak with someone else there who is between the ages of 45 and 84?”</w:t>
      </w:r>
    </w:p>
    <w:p>
      <w:pPr>
        <w:pStyle w:val="Roman2A1body"/>
        <w:ind w:left="2160" w:hanging="0"/>
        <w:rPr/>
      </w:pPr>
      <w:r>
        <w:rPr>
          <w:u w:val="single"/>
        </w:rPr>
        <w:t xml:space="preserve">Select </w:t>
      </w:r>
      <w:r>
        <w:rPr>
          <w:smallCaps/>
          <w:u w:val="single"/>
        </w:rPr>
        <w:t>none</w:t>
      </w:r>
      <w:r>
        <w:rPr>
          <w:u w:val="single"/>
        </w:rPr>
        <w:t>, if no one fits the category</w:t>
      </w:r>
      <w:r>
        <w:rPr/>
        <w:t xml:space="preserve">. </w:t>
      </w:r>
      <w:r>
        <w:rPr>
          <w:rFonts w:cs="Arial;Arial" w:ascii="Arial;Arial" w:hAnsi="Arial;Arial"/>
          <w:b/>
          <w:bCs/>
          <w:sz w:val="20"/>
        </w:rPr>
        <w:t>“Thank you for your time. It looks like there isn’t anyone there who is eligible for our study.”</w:t>
      </w:r>
      <w:r>
        <w:rPr/>
        <w:t xml:space="preserve"> </w:t>
      </w:r>
      <w:r>
        <w:rPr>
          <w:u w:val="single"/>
        </w:rPr>
        <w:t>Skip to question 24 on page 5 and check “ineligible.</w:t>
      </w:r>
      <w:r>
        <w:rPr/>
        <w:t>”.</w:t>
      </w:r>
    </w:p>
    <w:p>
      <w:pPr>
        <w:pStyle w:val="Roman2A1body"/>
        <w:ind w:left="2160" w:hanging="0"/>
        <w:rPr/>
      </w:pPr>
      <w:r>
        <w:rPr/>
      </w:r>
    </w:p>
    <w:p>
      <w:pPr>
        <w:pStyle w:val="Roman2A1body"/>
        <w:ind w:left="2160" w:hanging="0"/>
        <w:rPr/>
      </w:pPr>
      <w:r>
        <w:rPr>
          <w:u w:val="single"/>
        </w:rPr>
        <w:t xml:space="preserve">Select </w:t>
      </w:r>
      <w:r>
        <w:rPr>
          <w:smallCaps/>
          <w:u w:val="single"/>
        </w:rPr>
        <w:t>not available</w:t>
      </w:r>
      <w:r>
        <w:rPr>
          <w:u w:val="single"/>
        </w:rPr>
        <w:t>, if other household members fit the category but are not available, and skip to question 4</w:t>
      </w:r>
      <w:r>
        <w:rPr/>
        <w:t>.</w:t>
      </w:r>
    </w:p>
    <w:p>
      <w:pPr>
        <w:pStyle w:val="Roman2A1body"/>
        <w:ind w:left="2160" w:hanging="0"/>
        <w:rPr/>
      </w:pPr>
      <w:r>
        <w:rPr/>
        <w:tab/>
        <w:tab/>
      </w:r>
    </w:p>
    <w:p>
      <w:pPr>
        <w:pStyle w:val="Roman2A1body"/>
        <w:ind w:left="2160" w:hanging="0"/>
        <w:rPr/>
      </w:pPr>
      <w:r>
        <w:rPr>
          <w:u w:val="single"/>
        </w:rPr>
        <w:t>Select</w:t>
      </w:r>
      <w:r>
        <w:rPr>
          <w:smallCaps/>
          <w:u w:val="single"/>
        </w:rPr>
        <w:t xml:space="preserve"> switched to a new person</w:t>
      </w:r>
      <w:r>
        <w:rPr>
          <w:u w:val="single"/>
        </w:rPr>
        <w:t>, if another household member who fits the category is available to speak with you</w:t>
      </w:r>
      <w:r>
        <w:rPr/>
        <w:t>. Begin new Screening/Recruitment Form.</w:t>
      </w:r>
    </w:p>
    <w:p>
      <w:pPr>
        <w:pStyle w:val="Normal"/>
        <w:ind w:left="1800" w:hanging="0"/>
        <w:rPr/>
      </w:pPr>
      <w:r>
        <w:rPr/>
      </w:r>
    </w:p>
    <w:p>
      <w:pPr>
        <w:pStyle w:val="Roman2A1"/>
        <w:rPr/>
      </w:pPr>
      <w:r>
        <w:rPr/>
        <w:tab/>
        <w:t xml:space="preserve">4. </w:t>
        <w:tab/>
        <w:t>(Ask this question</w:t>
      </w:r>
      <w:r>
        <w:rPr>
          <w:i/>
          <w:iCs/>
        </w:rPr>
        <w:t xml:space="preserve"> only</w:t>
      </w:r>
      <w:r>
        <w:rPr/>
        <w:t xml:space="preserve"> if you are speaking with the </w:t>
      </w:r>
      <w:r>
        <w:rPr>
          <w:i/>
          <w:iCs/>
        </w:rPr>
        <w:t xml:space="preserve">first </w:t>
      </w:r>
      <w:r>
        <w:rPr/>
        <w:t xml:space="preserve">respondent from this household.) </w:t>
      </w:r>
      <w:r>
        <w:rPr>
          <w:rFonts w:cs="Arial;Arial" w:ascii="Arial;Arial" w:hAnsi="Arial;Arial"/>
          <w:b/>
          <w:bCs/>
          <w:sz w:val="20"/>
        </w:rPr>
        <w:t>“Can you tell me the names of all people living there who are between the ages of 45 and 84?”</w:t>
      </w:r>
      <w:r>
        <w:rPr>
          <w:b/>
          <w:bCs/>
        </w:rPr>
        <w:t xml:space="preserve"> </w:t>
      </w:r>
      <w:r>
        <w:rPr/>
        <w:t xml:space="preserve">If speaking to an age-eligible person, add, </w:t>
      </w:r>
      <w:r>
        <w:rPr>
          <w:rFonts w:cs="Arial;Arial" w:ascii="Arial;Arial" w:hAnsi="Arial;Arial"/>
          <w:b/>
          <w:bCs/>
          <w:sz w:val="20"/>
        </w:rPr>
        <w:t>“Please start with yourself.”</w:t>
      </w:r>
      <w:r>
        <w:rPr>
          <w:b/>
          <w:bCs/>
        </w:rPr>
        <w:t xml:space="preserve"> </w:t>
      </w:r>
      <w:r>
        <w:rPr/>
        <w:t xml:space="preserve">(Information provided should include, if possible, name, age, gender, and relationship to respondent of each person in the household.) </w:t>
      </w:r>
      <w:r>
        <w:rPr>
          <w:i/>
          <w:iCs/>
        </w:rPr>
        <w:t>Record this information on the Household Enumeration Form</w:t>
      </w:r>
      <w:r>
        <w:rPr/>
        <w:t xml:space="preserve">. Please note that </w:t>
      </w:r>
      <w:r>
        <w:rPr>
          <w:i/>
          <w:iCs/>
        </w:rPr>
        <w:t>only one</w:t>
      </w:r>
      <w:r>
        <w:rPr/>
        <w:t xml:space="preserve"> Household Enumeration Form should be filled per household, so do not repeat question 4 when interviewing the next household member.</w:t>
      </w:r>
    </w:p>
    <w:p>
      <w:pPr>
        <w:pStyle w:val="Roman2A1body"/>
        <w:rPr>
          <w:u w:val="single"/>
        </w:rPr>
      </w:pPr>
      <w:r>
        <w:rPr>
          <w:u w:val="single"/>
        </w:rPr>
        <w:t>If respondent is age-eligible, continue to script C.</w:t>
      </w:r>
    </w:p>
    <w:p>
      <w:pPr>
        <w:pStyle w:val="Roman2A1body"/>
        <w:rPr>
          <w:u w:val="single"/>
        </w:rPr>
      </w:pPr>
      <w:r>
        <w:rPr>
          <w:u w:val="single"/>
        </w:rPr>
        <w:t>If respondent is not age-eligible, end interview.</w:t>
      </w:r>
    </w:p>
    <w:p>
      <w:pPr>
        <w:pStyle w:val="Normal"/>
        <w:tabs>
          <w:tab w:val="clear" w:pos="720"/>
          <w:tab w:val="left" w:pos="1800" w:leader="none"/>
        </w:tabs>
        <w:ind w:left="4320" w:hanging="3600"/>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20">
                <wp:simplePos x="0" y="0"/>
                <wp:positionH relativeFrom="page">
                  <wp:posOffset>2218690</wp:posOffset>
                </wp:positionH>
                <wp:positionV relativeFrom="paragraph">
                  <wp:posOffset>290830</wp:posOffset>
                </wp:positionV>
                <wp:extent cx="4873625" cy="1441450"/>
                <wp:effectExtent l="0" t="0" r="0" b="0"/>
                <wp:wrapTopAndBottom/>
                <wp:docPr id="9" name="Frame2"/>
                <a:graphic xmlns:a="http://schemas.openxmlformats.org/drawingml/2006/main">
                  <a:graphicData uri="http://schemas.microsoft.com/office/word/2010/wordprocessingShape">
                    <wps:wsp>
                      <wps:cNvSpPr txBox="1"/>
                      <wps:spPr>
                        <a:xfrm>
                          <a:off x="0" y="0"/>
                          <a:ext cx="4873625" cy="1441450"/>
                        </a:xfrm>
                        <a:prstGeom prst="rect"/>
                        <a:solidFill>
                          <a:srgbClr val="FFFFFF"/>
                        </a:solidFill>
                        <a:ln w="9525">
                          <a:solidFill>
                            <a:srgbClr val="000000"/>
                          </a:solidFill>
                        </a:ln>
                      </wps:spPr>
                      <wps:txbx>
                        <w:txbxContent>
                          <w:p>
                            <w:pPr>
                              <w:pStyle w:val="Normal"/>
                              <w:rPr/>
                            </w:pPr>
                            <w:r>
                              <w:rPr/>
                              <w:t>Questions people might ask about household enumeration, and some sample responses:</w:t>
                              <w:tab/>
                            </w:r>
                          </w:p>
                          <w:p>
                            <w:pPr>
                              <w:pStyle w:val="Normal"/>
                              <w:tabs>
                                <w:tab w:val="clear" w:pos="720"/>
                                <w:tab w:val="right" w:pos="360" w:leader="none"/>
                              </w:tabs>
                              <w:ind w:left="450" w:hanging="450"/>
                              <w:rPr/>
                            </w:pPr>
                            <w:r>
                              <w:rPr/>
                            </w:r>
                          </w:p>
                          <w:p>
                            <w:pPr>
                              <w:pStyle w:val="Normal"/>
                              <w:tabs>
                                <w:tab w:val="clear" w:pos="720"/>
                                <w:tab w:val="right" w:pos="360" w:leader="none"/>
                              </w:tabs>
                              <w:ind w:left="450" w:hanging="450"/>
                              <w:rPr>
                                <w:iCs/>
                              </w:rPr>
                            </w:pPr>
                            <w:r>
                              <w:rPr/>
                              <w:tab/>
                            </w:r>
                            <w:r>
                              <w:rPr>
                                <w:rFonts w:eastAsia="Symbol" w:cs="Symbol" w:ascii="Symbol" w:hAnsi="Symbol"/>
                              </w:rPr>
                              <w:t></w:t>
                            </w:r>
                            <w:r>
                              <w:rPr/>
                              <w:tab/>
                            </w:r>
                            <w:r>
                              <w:rPr>
                                <w:i/>
                              </w:rPr>
                              <w:t>Why do you want to know about everyone who lives here?</w:t>
                            </w:r>
                          </w:p>
                          <w:p>
                            <w:pPr>
                              <w:pStyle w:val="Normal"/>
                              <w:tabs>
                                <w:tab w:val="clear" w:pos="720"/>
                                <w:tab w:val="right" w:pos="360" w:leader="none"/>
                              </w:tabs>
                              <w:ind w:left="450" w:hanging="450"/>
                              <w:rPr/>
                            </w:pPr>
                            <w:r>
                              <w:rPr>
                                <w:iCs/>
                              </w:rPr>
                              <w:tab/>
                              <w:tab/>
                            </w:r>
                            <w:r>
                              <w:rPr>
                                <w:b/>
                                <w:bCs/>
                                <w:iCs/>
                              </w:rPr>
                              <w:t xml:space="preserve">“The study is for people who are between the ages of 45 and 84. </w:t>
                            </w:r>
                            <w:r>
                              <w:rPr>
                                <w:b/>
                                <w:bCs/>
                              </w:rPr>
                              <w:t>Some of your other household members may also be interested in the study.”</w:t>
                            </w:r>
                          </w:p>
                        </w:txbxContent>
                      </wps:txbx>
                      <wps:bodyPr anchor="t" lIns="91440" tIns="45720" rIns="91440" bIns="45720">
                        <a:noAutofit/>
                      </wps:bodyPr>
                    </wps:wsp>
                  </a:graphicData>
                </a:graphic>
              </wp:anchor>
            </w:drawing>
          </mc:Choice>
          <mc:Fallback>
            <w:pict>
              <v:rect fillcolor="#FFFFFF" strokecolor="#000000" strokeweight="0pt" style="position:absolute;rotation:-0;width:383.75pt;height:113.5pt;mso-wrap-distance-left:9.05pt;mso-wrap-distance-right:9.05pt;mso-wrap-distance-top:0pt;mso-wrap-distance-bottom:0pt;margin-top:22.9pt;mso-position-vertical-relative:text;margin-left:174.7pt;mso-position-horizontal-relative:page">
                <v:textbox>
                  <w:txbxContent>
                    <w:p>
                      <w:pPr>
                        <w:pStyle w:val="Normal"/>
                        <w:rPr/>
                      </w:pPr>
                      <w:r>
                        <w:rPr/>
                        <w:t>Questions people might ask about household enumeration, and some sample responses:</w:t>
                        <w:tab/>
                      </w:r>
                    </w:p>
                    <w:p>
                      <w:pPr>
                        <w:pStyle w:val="Normal"/>
                        <w:tabs>
                          <w:tab w:val="clear" w:pos="720"/>
                          <w:tab w:val="right" w:pos="360" w:leader="none"/>
                        </w:tabs>
                        <w:ind w:left="450" w:hanging="450"/>
                        <w:rPr/>
                      </w:pPr>
                      <w:r>
                        <w:rPr/>
                      </w:r>
                    </w:p>
                    <w:p>
                      <w:pPr>
                        <w:pStyle w:val="Normal"/>
                        <w:tabs>
                          <w:tab w:val="clear" w:pos="720"/>
                          <w:tab w:val="right" w:pos="360" w:leader="none"/>
                        </w:tabs>
                        <w:ind w:left="450" w:hanging="450"/>
                        <w:rPr>
                          <w:iCs/>
                        </w:rPr>
                      </w:pPr>
                      <w:r>
                        <w:rPr/>
                        <w:tab/>
                      </w:r>
                      <w:r>
                        <w:rPr>
                          <w:rFonts w:eastAsia="Symbol" w:cs="Symbol" w:ascii="Symbol" w:hAnsi="Symbol"/>
                        </w:rPr>
                        <w:t></w:t>
                      </w:r>
                      <w:r>
                        <w:rPr/>
                        <w:tab/>
                      </w:r>
                      <w:r>
                        <w:rPr>
                          <w:i/>
                        </w:rPr>
                        <w:t>Why do you want to know about everyone who lives here?</w:t>
                      </w:r>
                    </w:p>
                    <w:p>
                      <w:pPr>
                        <w:pStyle w:val="Normal"/>
                        <w:tabs>
                          <w:tab w:val="clear" w:pos="720"/>
                          <w:tab w:val="right" w:pos="360" w:leader="none"/>
                        </w:tabs>
                        <w:ind w:left="450" w:hanging="450"/>
                        <w:rPr/>
                      </w:pPr>
                      <w:r>
                        <w:rPr>
                          <w:iCs/>
                        </w:rPr>
                        <w:tab/>
                        <w:tab/>
                      </w:r>
                      <w:r>
                        <w:rPr>
                          <w:b/>
                          <w:bCs/>
                          <w:iCs/>
                        </w:rPr>
                        <w:t xml:space="preserve">“The study is for people who are between the ages of 45 and 84. </w:t>
                      </w:r>
                      <w:r>
                        <w:rPr>
                          <w:b/>
                          <w:bCs/>
                        </w:rPr>
                        <w:t>Some of your other household members may also be interested in the study.”</w:t>
                      </w:r>
                    </w:p>
                  </w:txbxContent>
                </v:textbox>
                <w10:wrap type="topAndBottom"/>
              </v:rect>
            </w:pict>
          </mc:Fallback>
        </mc:AlternateContent>
      </w:r>
    </w:p>
    <w:p>
      <w:pPr>
        <w:pStyle w:val="Roman2A"/>
        <w:rPr>
          <w:b/>
          <w:b/>
          <w:bCs/>
        </w:rPr>
      </w:pPr>
      <w:r>
        <w:rPr>
          <w:b/>
          <w:bCs/>
        </w:rPr>
        <w:tab/>
      </w:r>
    </w:p>
    <w:p>
      <w:pPr>
        <w:pStyle w:val="Roman2A"/>
        <w:rPr/>
      </w:pPr>
      <w:r>
        <w:rPr>
          <w:b/>
          <w:bCs/>
        </w:rPr>
        <w:tab/>
        <w:t>C.</w:t>
      </w:r>
      <w:r>
        <w:rPr>
          <w:b/>
          <w:bCs/>
          <w:sz w:val="20"/>
        </w:rPr>
        <w:tab/>
      </w:r>
      <w:r>
        <w:rPr>
          <w:rFonts w:cs="Arial;Arial" w:ascii="Arial;Arial" w:hAnsi="Arial;Arial"/>
          <w:b/>
          <w:bCs/>
          <w:sz w:val="20"/>
        </w:rPr>
        <w:t xml:space="preserve">“As I said, the study we are doing, which is funded by the National Institutes of Health….” </w:t>
      </w:r>
      <w:r>
        <w:rPr/>
        <w:t>After reading this script, ask the respondent if he/she has any questions. Continue with the script, if the respondent agrees, asking again at the conclusion if the respondent has any questions. (Please note that</w:t>
      </w:r>
      <w:r>
        <w:rPr>
          <w:b/>
          <w:bCs/>
        </w:rPr>
        <w:t xml:space="preserve"> </w:t>
      </w:r>
      <w:r>
        <w:rPr>
          <w:i/>
          <w:iCs/>
        </w:rPr>
        <w:t>you are not obligated to use the recruitment script if it seems redundant</w:t>
      </w:r>
      <w:r>
        <w:rPr/>
        <w:t>. For example, there is no need to describe the study to an enthusiastic respondent who obviously knows enough about MESA.) If the respondent is agreeable…</w:t>
      </w:r>
    </w:p>
    <w:p>
      <w:pPr>
        <w:pStyle w:val="Roman2A"/>
        <w:rPr/>
      </w:pPr>
      <w:r>
        <w:rPr/>
      </w:r>
    </w:p>
    <w:p>
      <w:pPr>
        <w:pStyle w:val="Roman2A"/>
        <w:rPr/>
      </w:pPr>
      <w:r>
        <w:rPr/>
        <w:tab/>
      </w:r>
      <w:r>
        <w:rPr>
          <w:b/>
          <w:bCs/>
        </w:rPr>
        <w:t>D.</w:t>
      </w:r>
      <w:r>
        <w:rPr/>
        <w:tab/>
        <w:t xml:space="preserve"> </w:t>
      </w:r>
      <w:r>
        <w:rPr>
          <w:u w:val="single"/>
        </w:rPr>
        <w:t>continue with script D</w:t>
      </w:r>
      <w:r>
        <w:rPr/>
        <w:t xml:space="preserve">, </w:t>
      </w:r>
      <w:r>
        <w:rPr>
          <w:rFonts w:cs="Arial;Arial" w:ascii="Arial;Arial" w:hAnsi="Arial;Arial"/>
          <w:b/>
          <w:bCs/>
          <w:sz w:val="20"/>
        </w:rPr>
        <w:t xml:space="preserve">“The clinic exam will require two or three visits….” </w:t>
      </w:r>
      <w:r>
        <w:rPr/>
        <w:t>After reading this script, ask question 5, below.</w:t>
      </w:r>
    </w:p>
    <w:p>
      <w:pPr>
        <w:pStyle w:val="Roman2A"/>
        <w:rPr>
          <w:b/>
          <w:b/>
          <w:bCs/>
        </w:rPr>
      </w:pPr>
      <w:r>
        <w:rPr>
          <w:b/>
          <w:bCs/>
        </w:rPr>
      </w:r>
    </w:p>
    <w:p>
      <w:pPr>
        <w:pStyle w:val="Roman2A1"/>
        <w:rPr>
          <w:sz w:val="20"/>
        </w:rPr>
      </w:pPr>
      <w:r>
        <w:rPr/>
        <w:tab/>
        <w:t>5.</w:t>
        <w:tab/>
      </w:r>
      <w:r>
        <w:rPr>
          <w:rFonts w:cs="Arial;Arial" w:ascii="Arial;Arial" w:hAnsi="Arial;Arial"/>
          <w:b/>
          <w:bCs/>
          <w:sz w:val="20"/>
        </w:rPr>
        <w:t>“Do you think you might be interested in participating in this research if we find out that you are eligible for the MESA study?”</w:t>
      </w:r>
    </w:p>
    <w:p>
      <w:pPr>
        <w:pStyle w:val="Roman2A1body"/>
        <w:rPr/>
      </w:pPr>
      <w:r>
        <w:rPr>
          <w:u w:val="single"/>
        </w:rPr>
        <w:t>If yes or maybe, continue to question 6</w:t>
      </w:r>
      <w:r>
        <w:rPr/>
        <w:t>.</w:t>
      </w:r>
    </w:p>
    <w:p>
      <w:pPr>
        <w:pStyle w:val="Roman2A1body"/>
        <w:rPr/>
      </w:pPr>
      <w:r>
        <w:rPr>
          <w:u w:val="single"/>
        </w:rPr>
        <w:t>If no, ask</w:t>
      </w:r>
      <w:r>
        <w:rPr/>
        <w:t>,</w:t>
      </w:r>
      <w:r>
        <w:rPr>
          <w:sz w:val="20"/>
        </w:rPr>
        <w:t xml:space="preserve"> </w:t>
      </w:r>
      <w:r>
        <w:rPr>
          <w:rFonts w:cs="Arial;Arial" w:ascii="Arial;Arial" w:hAnsi="Arial;Arial"/>
          <w:b/>
          <w:bCs/>
          <w:sz w:val="20"/>
        </w:rPr>
        <w:t>“May I still ask you just a few more questions about your health? It will take about three minutes.”</w:t>
      </w:r>
    </w:p>
    <w:p>
      <w:pPr>
        <w:pStyle w:val="Normal"/>
        <w:ind w:left="2160" w:hanging="0"/>
        <w:rPr/>
      </w:pPr>
      <w:r>
        <w:rPr>
          <w:u w:val="single"/>
        </w:rPr>
        <w:t>If yes, complete Non-Participant Form</w:t>
      </w:r>
      <w:r>
        <w:rPr/>
        <w:t>.</w:t>
      </w:r>
    </w:p>
    <w:p>
      <w:pPr>
        <w:pStyle w:val="Normal"/>
        <w:ind w:left="2160" w:hanging="2790"/>
        <w:rPr/>
      </w:pPr>
      <w:r>
        <w:rPr/>
        <w:tab/>
      </w:r>
      <w:r>
        <w:rPr>
          <w:u w:val="single"/>
        </w:rPr>
        <w:t>If no, skip to question 23 on page 5 and select “Uncertain Eligibility</w:t>
      </w:r>
      <w:r>
        <w:rPr/>
        <w:t>.”</w:t>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21">
                <wp:simplePos x="0" y="0"/>
                <wp:positionH relativeFrom="page">
                  <wp:posOffset>1761490</wp:posOffset>
                </wp:positionH>
                <wp:positionV relativeFrom="paragraph">
                  <wp:posOffset>187325</wp:posOffset>
                </wp:positionV>
                <wp:extent cx="4873625" cy="4809490"/>
                <wp:effectExtent l="0" t="0" r="0" b="0"/>
                <wp:wrapTopAndBottom/>
                <wp:docPr id="10" name="Frame3"/>
                <a:graphic xmlns:a="http://schemas.openxmlformats.org/drawingml/2006/main">
                  <a:graphicData uri="http://schemas.microsoft.com/office/word/2010/wordprocessingShape">
                    <wps:wsp>
                      <wps:cNvSpPr txBox="1"/>
                      <wps:spPr>
                        <a:xfrm>
                          <a:off x="0" y="0"/>
                          <a:ext cx="4873625" cy="4809490"/>
                        </a:xfrm>
                        <a:prstGeom prst="rect"/>
                        <a:solidFill>
                          <a:srgbClr val="FFFFFF"/>
                        </a:solidFill>
                        <a:ln w="9525">
                          <a:solidFill>
                            <a:srgbClr val="000000"/>
                          </a:solidFill>
                        </a:ln>
                      </wps:spPr>
                      <wps:txbx>
                        <w:txbxContent>
                          <w:p>
                            <w:pPr>
                              <w:pStyle w:val="Normal"/>
                              <w:rPr/>
                            </w:pPr>
                            <w:r>
                              <w:rPr/>
                              <w:t>Questions people might ask about the clinic examination, and some sample responses:</w:t>
                            </w:r>
                          </w:p>
                          <w:p>
                            <w:pPr>
                              <w:pStyle w:val="Normal"/>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can’t help you because I’ve never had heart problems.</w:t>
                            </w:r>
                          </w:p>
                          <w:p>
                            <w:pPr>
                              <w:pStyle w:val="Normal"/>
                              <w:tabs>
                                <w:tab w:val="clear" w:pos="720"/>
                                <w:tab w:val="right" w:pos="360" w:leader="none"/>
                              </w:tabs>
                              <w:ind w:left="450" w:hanging="450"/>
                              <w:rPr/>
                            </w:pPr>
                            <w:r>
                              <w:rPr/>
                              <w:tab/>
                            </w:r>
                            <w:r>
                              <w:rPr>
                                <w:rFonts w:cs="Arial;Arial" w:ascii="Arial;Arial" w:hAnsi="Arial;Arial"/>
                                <w:sz w:val="18"/>
                              </w:rPr>
                              <w:tab/>
                            </w:r>
                            <w:r>
                              <w:rPr>
                                <w:rFonts w:cs="Arial;Arial" w:ascii="Arial;Arial" w:hAnsi="Arial;Arial"/>
                                <w:b/>
                                <w:bCs/>
                                <w:sz w:val="18"/>
                              </w:rPr>
                              <w:t>“Because we need to look more closely at risk factors for heart disease, we are very interested in people who do not have heart disease.”</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i/>
                                <w:i/>
                                <w:iCs/>
                                <w:u w:val="single"/>
                              </w:rPr>
                            </w:pPr>
                            <w:r>
                              <w:rPr/>
                              <w:tab/>
                            </w:r>
                            <w:r>
                              <w:rPr>
                                <w:rFonts w:eastAsia="Symbol" w:cs="Symbol" w:ascii="Symbol" w:hAnsi="Symbol"/>
                              </w:rPr>
                              <w:t></w:t>
                            </w:r>
                            <w:r>
                              <w:rPr/>
                              <w:t xml:space="preserve"> </w:t>
                              <w:tab/>
                            </w:r>
                            <w:r>
                              <w:rPr>
                                <w:i/>
                                <w:iCs/>
                              </w:rPr>
                              <w:t>What do I get out of the study?</w:t>
                            </w:r>
                          </w:p>
                          <w:p>
                            <w:pPr>
                              <w:pStyle w:val="Normal"/>
                              <w:tabs>
                                <w:tab w:val="clear" w:pos="720"/>
                                <w:tab w:val="right" w:pos="360" w:leader="none"/>
                              </w:tabs>
                              <w:ind w:left="450" w:hanging="450"/>
                              <w:rPr>
                                <w:rFonts w:ascii="Arial;Arial" w:hAnsi="Arial;Arial" w:cs="Arial;Arial"/>
                                <w:b/>
                                <w:b/>
                                <w:bCs/>
                                <w:iCs/>
                                <w:sz w:val="18"/>
                              </w:rPr>
                            </w:pPr>
                            <w:r>
                              <w:rPr/>
                              <w:tab/>
                              <w:tab/>
                            </w:r>
                            <w:r>
                              <w:rPr>
                                <w:rFonts w:cs="Arial;Arial" w:ascii="Arial;Arial" w:hAnsi="Arial;Arial"/>
                                <w:b/>
                                <w:bCs/>
                                <w:sz w:val="18"/>
                              </w:rPr>
                              <w:t>“There are several ways in which you might benefit from this study. You will receive, at absolutely no cost to you, a state-of-the-art medical examination. This exam would be very expensive if it were not part of this study. It is possible that we could find a medical condition that you were not aware of. If we did, you would be able to get treatment from your own doctor, if you so desired. You will also have the opportunity to participate in an important national heart study.”</w:t>
                            </w:r>
                          </w:p>
                          <w:p>
                            <w:pPr>
                              <w:pStyle w:val="Normal"/>
                              <w:tabs>
                                <w:tab w:val="clear" w:pos="720"/>
                                <w:tab w:val="right" w:pos="360" w:leader="none"/>
                              </w:tabs>
                              <w:ind w:left="450" w:hanging="450"/>
                              <w:rPr>
                                <w:rFonts w:ascii="Arial;Arial" w:hAnsi="Arial;Arial" w:cs="Arial;Arial"/>
                                <w:b/>
                                <w:b/>
                                <w:bCs/>
                                <w:iCs/>
                                <w:sz w:val="18"/>
                              </w:rPr>
                            </w:pPr>
                            <w:r>
                              <w:rPr>
                                <w:rFonts w:cs="Arial;Arial" w:ascii="Arial;Arial" w:hAnsi="Arial;Arial"/>
                                <w:b/>
                                <w:bCs/>
                                <w:iCs/>
                                <w:sz w:val="18"/>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is involved in the clinic examination?</w:t>
                            </w:r>
                          </w:p>
                          <w:p>
                            <w:pPr>
                              <w:pStyle w:val="Normal"/>
                              <w:tabs>
                                <w:tab w:val="clear" w:pos="720"/>
                                <w:tab w:val="right" w:pos="360" w:leader="none"/>
                              </w:tabs>
                              <w:ind w:left="450" w:hanging="450"/>
                              <w:rPr/>
                            </w:pPr>
                            <w:r>
                              <w:rPr>
                                <w:i/>
                                <w:iCs/>
                              </w:rPr>
                              <w:tab/>
                            </w:r>
                            <w:r>
                              <w:rPr>
                                <w:rFonts w:cs="Arial;Arial" w:ascii="Arial;Arial" w:hAnsi="Arial;Arial"/>
                                <w:b/>
                                <w:bCs/>
                                <w:i/>
                                <w:iCs/>
                                <w:sz w:val="18"/>
                              </w:rPr>
                              <w:tab/>
                            </w:r>
                            <w:r>
                              <w:rPr>
                                <w:rFonts w:cs="Arial;Arial" w:ascii="Arial;Arial" w:hAnsi="Arial;Arial"/>
                                <w:b/>
                                <w:bCs/>
                                <w:sz w:val="18"/>
                              </w:rPr>
                              <w:t>“We will be doing a number of tests, some of which you may have had before. We will check your height, weight, and blood pressure. We will also ask you a series of questions about your life and health and about your family history. We will do an “EKG,” which is a routine test of your heart function, and an ultrasound examination of the arteries in your head and neck. Ultrasound involves putting a microphone-like device on your skin—one that uses sound waves to detect whether there is hardening of the arteries. We will also draw some blood to measure the levels of substances such as cholesterol and blood sugar.”</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pPr>
                            <w:r>
                              <w:rPr/>
                              <w:tab/>
                            </w:r>
                            <w:r>
                              <w:rPr>
                                <w:rFonts w:eastAsia="Symbol" w:cs="Symbol" w:ascii="Symbol" w:hAnsi="Symbol"/>
                              </w:rPr>
                              <w:t></w:t>
                            </w:r>
                            <w:r>
                              <w:rPr>
                                <w:i/>
                                <w:iCs/>
                              </w:rPr>
                              <w:tab/>
                              <w:t>I don’t like to have blood drawn!</w:t>
                            </w:r>
                          </w:p>
                          <w:p>
                            <w:pPr>
                              <w:pStyle w:val="Normal"/>
                              <w:tabs>
                                <w:tab w:val="clear" w:pos="720"/>
                                <w:tab w:val="right" w:pos="360" w:leader="none"/>
                              </w:tabs>
                              <w:ind w:left="450" w:hanging="450"/>
                              <w:rPr/>
                            </w:pPr>
                            <w:r>
                              <w:rPr/>
                              <w:tab/>
                            </w:r>
                            <w:r>
                              <w:rPr>
                                <w:b/>
                                <w:bCs/>
                              </w:rPr>
                              <w:tab/>
                            </w:r>
                            <w:r>
                              <w:rPr>
                                <w:rFonts w:cs="Arial;Arial" w:ascii="Arial;Arial" w:hAnsi="Arial;Arial"/>
                                <w:b/>
                                <w:bCs/>
                                <w:sz w:val="18"/>
                              </w:rPr>
                              <w:t>“I can understand that. Many people do not like to have their blood drawn. But we have very specially trained personnel and we use small needles to make it easier.  The blood tests are very important parts of the study and are needed to compare with other study results.”</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txbxContent>
                      </wps:txbx>
                      <wps:bodyPr anchor="t" lIns="91440" tIns="45720" rIns="91440" bIns="45720">
                        <a:noAutofit/>
                      </wps:bodyPr>
                    </wps:wsp>
                  </a:graphicData>
                </a:graphic>
              </wp:anchor>
            </w:drawing>
          </mc:Choice>
          <mc:Fallback>
            <w:pict>
              <v:rect fillcolor="#FFFFFF" strokecolor="#000000" strokeweight="0pt" style="position:absolute;rotation:-0;width:383.75pt;height:378.7pt;mso-wrap-distance-left:9.05pt;mso-wrap-distance-right:9.05pt;mso-wrap-distance-top:0pt;mso-wrap-distance-bottom:0pt;margin-top:14.75pt;mso-position-vertical-relative:text;margin-left:138.7pt;mso-position-horizontal-relative:page">
                <v:textbox>
                  <w:txbxContent>
                    <w:p>
                      <w:pPr>
                        <w:pStyle w:val="Normal"/>
                        <w:rPr/>
                      </w:pPr>
                      <w:r>
                        <w:rPr/>
                        <w:t>Questions people might ask about the clinic examination, and some sample responses:</w:t>
                      </w:r>
                    </w:p>
                    <w:p>
                      <w:pPr>
                        <w:pStyle w:val="Normal"/>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can’t help you because I’ve never had heart problems.</w:t>
                      </w:r>
                    </w:p>
                    <w:p>
                      <w:pPr>
                        <w:pStyle w:val="Normal"/>
                        <w:tabs>
                          <w:tab w:val="clear" w:pos="720"/>
                          <w:tab w:val="right" w:pos="360" w:leader="none"/>
                        </w:tabs>
                        <w:ind w:left="450" w:hanging="450"/>
                        <w:rPr/>
                      </w:pPr>
                      <w:r>
                        <w:rPr/>
                        <w:tab/>
                      </w:r>
                      <w:r>
                        <w:rPr>
                          <w:rFonts w:cs="Arial;Arial" w:ascii="Arial;Arial" w:hAnsi="Arial;Arial"/>
                          <w:sz w:val="18"/>
                        </w:rPr>
                        <w:tab/>
                      </w:r>
                      <w:r>
                        <w:rPr>
                          <w:rFonts w:cs="Arial;Arial" w:ascii="Arial;Arial" w:hAnsi="Arial;Arial"/>
                          <w:b/>
                          <w:bCs/>
                          <w:sz w:val="18"/>
                        </w:rPr>
                        <w:t>“Because we need to look more closely at risk factors for heart disease, we are very interested in people who do not have heart disease.”</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i/>
                          <w:i/>
                          <w:iCs/>
                          <w:u w:val="single"/>
                        </w:rPr>
                      </w:pPr>
                      <w:r>
                        <w:rPr/>
                        <w:tab/>
                      </w:r>
                      <w:r>
                        <w:rPr>
                          <w:rFonts w:eastAsia="Symbol" w:cs="Symbol" w:ascii="Symbol" w:hAnsi="Symbol"/>
                        </w:rPr>
                        <w:t></w:t>
                      </w:r>
                      <w:r>
                        <w:rPr/>
                        <w:t xml:space="preserve"> </w:t>
                        <w:tab/>
                      </w:r>
                      <w:r>
                        <w:rPr>
                          <w:i/>
                          <w:iCs/>
                        </w:rPr>
                        <w:t>What do I get out of the study?</w:t>
                      </w:r>
                    </w:p>
                    <w:p>
                      <w:pPr>
                        <w:pStyle w:val="Normal"/>
                        <w:tabs>
                          <w:tab w:val="clear" w:pos="720"/>
                          <w:tab w:val="right" w:pos="360" w:leader="none"/>
                        </w:tabs>
                        <w:ind w:left="450" w:hanging="450"/>
                        <w:rPr>
                          <w:rFonts w:ascii="Arial;Arial" w:hAnsi="Arial;Arial" w:cs="Arial;Arial"/>
                          <w:b/>
                          <w:b/>
                          <w:bCs/>
                          <w:iCs/>
                          <w:sz w:val="18"/>
                        </w:rPr>
                      </w:pPr>
                      <w:r>
                        <w:rPr/>
                        <w:tab/>
                        <w:tab/>
                      </w:r>
                      <w:r>
                        <w:rPr>
                          <w:rFonts w:cs="Arial;Arial" w:ascii="Arial;Arial" w:hAnsi="Arial;Arial"/>
                          <w:b/>
                          <w:bCs/>
                          <w:sz w:val="18"/>
                        </w:rPr>
                        <w:t>“There are several ways in which you might benefit from this study. You will receive, at absolutely no cost to you, a state-of-the-art medical examination. This exam would be very expensive if it were not part of this study. It is possible that we could find a medical condition that you were not aware of. If we did, you would be able to get treatment from your own doctor, if you so desired. You will also have the opportunity to participate in an important national heart study.”</w:t>
                      </w:r>
                    </w:p>
                    <w:p>
                      <w:pPr>
                        <w:pStyle w:val="Normal"/>
                        <w:tabs>
                          <w:tab w:val="clear" w:pos="720"/>
                          <w:tab w:val="right" w:pos="360" w:leader="none"/>
                        </w:tabs>
                        <w:ind w:left="450" w:hanging="450"/>
                        <w:rPr>
                          <w:rFonts w:ascii="Arial;Arial" w:hAnsi="Arial;Arial" w:cs="Arial;Arial"/>
                          <w:b/>
                          <w:b/>
                          <w:bCs/>
                          <w:iCs/>
                          <w:sz w:val="18"/>
                        </w:rPr>
                      </w:pPr>
                      <w:r>
                        <w:rPr>
                          <w:rFonts w:cs="Arial;Arial" w:ascii="Arial;Arial" w:hAnsi="Arial;Arial"/>
                          <w:b/>
                          <w:bCs/>
                          <w:iCs/>
                          <w:sz w:val="18"/>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is involved in the clinic examination?</w:t>
                      </w:r>
                    </w:p>
                    <w:p>
                      <w:pPr>
                        <w:pStyle w:val="Normal"/>
                        <w:tabs>
                          <w:tab w:val="clear" w:pos="720"/>
                          <w:tab w:val="right" w:pos="360" w:leader="none"/>
                        </w:tabs>
                        <w:ind w:left="450" w:hanging="450"/>
                        <w:rPr/>
                      </w:pPr>
                      <w:r>
                        <w:rPr>
                          <w:i/>
                          <w:iCs/>
                        </w:rPr>
                        <w:tab/>
                      </w:r>
                      <w:r>
                        <w:rPr>
                          <w:rFonts w:cs="Arial;Arial" w:ascii="Arial;Arial" w:hAnsi="Arial;Arial"/>
                          <w:b/>
                          <w:bCs/>
                          <w:i/>
                          <w:iCs/>
                          <w:sz w:val="18"/>
                        </w:rPr>
                        <w:tab/>
                      </w:r>
                      <w:r>
                        <w:rPr>
                          <w:rFonts w:cs="Arial;Arial" w:ascii="Arial;Arial" w:hAnsi="Arial;Arial"/>
                          <w:b/>
                          <w:bCs/>
                          <w:sz w:val="18"/>
                        </w:rPr>
                        <w:t>“We will be doing a number of tests, some of which you may have had before. We will check your height, weight, and blood pressure. We will also ask you a series of questions about your life and health and about your family history. We will do an “EKG,” which is a routine test of your heart function, and an ultrasound examination of the arteries in your head and neck. Ultrasound involves putting a microphone-like device on your skin—one that uses sound waves to detect whether there is hardening of the arteries. We will also draw some blood to measure the levels of substances such as cholesterol and blood sugar.”</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pPr>
                      <w:r>
                        <w:rPr/>
                        <w:tab/>
                      </w:r>
                      <w:r>
                        <w:rPr>
                          <w:rFonts w:eastAsia="Symbol" w:cs="Symbol" w:ascii="Symbol" w:hAnsi="Symbol"/>
                        </w:rPr>
                        <w:t></w:t>
                      </w:r>
                      <w:r>
                        <w:rPr>
                          <w:i/>
                          <w:iCs/>
                        </w:rPr>
                        <w:tab/>
                        <w:t>I don’t like to have blood drawn!</w:t>
                      </w:r>
                    </w:p>
                    <w:p>
                      <w:pPr>
                        <w:pStyle w:val="Normal"/>
                        <w:tabs>
                          <w:tab w:val="clear" w:pos="720"/>
                          <w:tab w:val="right" w:pos="360" w:leader="none"/>
                        </w:tabs>
                        <w:ind w:left="450" w:hanging="450"/>
                        <w:rPr/>
                      </w:pPr>
                      <w:r>
                        <w:rPr/>
                        <w:tab/>
                      </w:r>
                      <w:r>
                        <w:rPr>
                          <w:b/>
                          <w:bCs/>
                        </w:rPr>
                        <w:tab/>
                      </w:r>
                      <w:r>
                        <w:rPr>
                          <w:rFonts w:cs="Arial;Arial" w:ascii="Arial;Arial" w:hAnsi="Arial;Arial"/>
                          <w:b/>
                          <w:bCs/>
                          <w:sz w:val="18"/>
                        </w:rPr>
                        <w:t>“I can understand that. Many people do not like to have their blood drawn. But we have very specially trained personnel and we use small needles to make it easier.  The blood tests are very important parts of the study and are needed to compare with other study results.”</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txbxContent>
                </v:textbox>
                <w10:wrap type="topAndBottom"/>
              </v:rect>
            </w:pict>
          </mc:Fallback>
        </mc:AlternateContent>
      </w:r>
    </w:p>
    <w:p>
      <w:pPr>
        <w:pStyle w:val="Roman2A"/>
        <w:rPr>
          <w:b/>
          <w:b/>
          <w:bCs/>
        </w:rPr>
      </w:pPr>
      <w:r>
        <w:rPr>
          <w:b/>
          <w:bCs/>
        </w:rPr>
        <w:tab/>
      </w:r>
    </w:p>
    <w:p>
      <w:pPr>
        <w:pStyle w:val="Roman2A"/>
        <w:rPr/>
      </w:pPr>
      <w:r>
        <w:rPr>
          <w:b/>
          <w:bCs/>
        </w:rPr>
        <w:tab/>
        <w:tab/>
      </w:r>
      <w:r>
        <w:rPr>
          <w:rFonts w:cs="Arial;Arial" w:ascii="Arial;Arial" w:hAnsi="Arial;Arial"/>
          <w:b/>
          <w:bCs/>
          <w:sz w:val="20"/>
        </w:rPr>
        <w:t>“The study has several parts….”</w:t>
      </w:r>
      <w:r>
        <w:rPr/>
        <w:t xml:space="preserve"> Proceed to question 6 after reading the script. </w:t>
      </w:r>
    </w:p>
    <w:p>
      <w:pPr>
        <w:pStyle w:val="Roman2A"/>
        <w:rPr/>
      </w:pPr>
      <w:r>
        <w:rPr/>
      </w:r>
    </w:p>
    <w:p>
      <w:pPr>
        <w:pStyle w:val="Roman2A"/>
        <w:rPr/>
      </w:pPr>
      <w:r>
        <w:rPr/>
        <w:tab/>
        <w:tab/>
        <w:t>(</w:t>
      </w:r>
      <w:r>
        <w:rPr>
          <w:b/>
          <w:bCs/>
        </w:rPr>
        <w:t xml:space="preserve">Please note that there is </w:t>
      </w:r>
      <w:r>
        <w:rPr>
          <w:b/>
          <w:bCs/>
          <w:i/>
          <w:iCs/>
        </w:rPr>
        <w:t>no need to complete the screener once it becomes clear that the person is ineligible</w:t>
      </w:r>
      <w:r>
        <w:rPr>
          <w:b/>
          <w:bCs/>
        </w:rPr>
        <w:t>.</w:t>
      </w:r>
      <w:r>
        <w:rPr/>
        <w:t xml:space="preserve"> Recruiters should use their discretion, however, to determine if it is appropriate to terminate the interview at that point or better to ask a few additional questions.)</w:t>
      </w:r>
    </w:p>
    <w:p>
      <w:pPr>
        <w:pStyle w:val="Normal"/>
        <w:tabs>
          <w:tab w:val="clear" w:pos="720"/>
          <w:tab w:val="left" w:pos="1800" w:leader="none"/>
        </w:tabs>
        <w:rPr/>
      </w:pPr>
      <w:r>
        <w:rPr/>
      </w:r>
    </w:p>
    <w:p>
      <w:pPr>
        <w:pStyle w:val="Roman2A1"/>
        <w:rPr/>
      </w:pPr>
      <w:r>
        <w:rPr/>
        <w:tab/>
        <w:t xml:space="preserve">6. </w:t>
      </w:r>
      <w:r>
        <w:rPr>
          <w:rFonts w:cs="Arial;Arial" w:ascii="Arial;Arial" w:hAnsi="Arial;Arial"/>
          <w:sz w:val="20"/>
        </w:rPr>
        <w:tab/>
      </w:r>
      <w:r>
        <w:rPr>
          <w:rFonts w:cs="Arial;Arial" w:ascii="Arial;Arial" w:hAnsi="Arial;Arial"/>
          <w:b/>
          <w:bCs/>
          <w:sz w:val="20"/>
        </w:rPr>
        <w:t>“Would you say, in general, your health is…”</w:t>
      </w:r>
      <w:r>
        <w:rPr/>
        <w:t xml:space="preserve"> (Read the list and fill in the appropriate circle)</w:t>
      </w:r>
    </w:p>
    <w:p>
      <w:pPr>
        <w:pStyle w:val="Normal"/>
        <w:tabs>
          <w:tab w:val="clear" w:pos="720"/>
          <w:tab w:val="left" w:pos="1800" w:leader="none"/>
        </w:tabs>
        <w:rPr/>
      </w:pPr>
      <w:r>
        <w:rPr/>
      </w:r>
    </w:p>
    <w:p>
      <w:pPr>
        <w:pStyle w:val="Roman2A1"/>
        <w:rPr/>
      </w:pPr>
      <w:r>
        <w:rPr/>
        <w:t xml:space="preserve">            </w:t>
      </w:r>
      <w:r>
        <w:rPr/>
        <w:tab/>
        <w:t xml:space="preserve">7. </w:t>
      </w:r>
      <w:r>
        <w:rPr>
          <w:rFonts w:cs="Arial;Arial" w:ascii="Arial;Arial" w:hAnsi="Arial;Arial"/>
          <w:sz w:val="20"/>
        </w:rPr>
        <w:tab/>
      </w:r>
      <w:r>
        <w:rPr>
          <w:rFonts w:cs="Arial;Arial" w:ascii="Arial;Arial" w:hAnsi="Arial;Arial"/>
          <w:b/>
          <w:bCs/>
          <w:sz w:val="20"/>
        </w:rPr>
        <w:t>“Has a doctor ever told you that you have/had any of the following conditions?”</w:t>
      </w:r>
      <w:r>
        <w:rPr/>
        <w:t xml:space="preserve"> (List each condition and wait for a response.</w:t>
      </w:r>
    </w:p>
    <w:p>
      <w:pPr>
        <w:pStyle w:val="Roman2A1"/>
        <w:rPr/>
      </w:pPr>
      <w:r>
        <w:rPr/>
        <w:tab/>
        <w:tab/>
      </w:r>
    </w:p>
    <w:p>
      <w:pPr>
        <w:pStyle w:val="Normal"/>
        <w:tabs>
          <w:tab w:val="clear" w:pos="720"/>
          <w:tab w:val="right" w:pos="2070" w:leader="none"/>
        </w:tabs>
        <w:ind w:left="2160" w:hanging="2160"/>
        <w:rPr/>
      </w:pPr>
      <w:r>
        <w:rPr/>
        <w:tab/>
        <w:t>a.</w:t>
        <w:tab/>
        <w:t>Heart attack</w:t>
      </w:r>
    </w:p>
    <w:p>
      <w:pPr>
        <w:pStyle w:val="Normal"/>
        <w:tabs>
          <w:tab w:val="clear" w:pos="720"/>
          <w:tab w:val="right" w:pos="2070" w:leader="none"/>
        </w:tabs>
        <w:ind w:left="2160" w:hanging="2160"/>
        <w:rPr/>
      </w:pPr>
      <w:r>
        <w:rPr/>
        <w:tab/>
        <w:t>b.</w:t>
        <w:tab/>
        <w:t>Angina</w:t>
      </w:r>
    </w:p>
    <w:p>
      <w:pPr>
        <w:pStyle w:val="Normal"/>
        <w:tabs>
          <w:tab w:val="clear" w:pos="720"/>
          <w:tab w:val="right" w:pos="2070" w:leader="none"/>
        </w:tabs>
        <w:ind w:left="2160" w:hanging="2160"/>
        <w:rPr/>
      </w:pPr>
      <w:r>
        <w:rPr/>
        <w:tab/>
        <w:t xml:space="preserve">c. </w:t>
        <w:tab/>
        <w:t>Stroke</w:t>
      </w:r>
    </w:p>
    <w:p>
      <w:pPr>
        <w:pStyle w:val="Normal"/>
        <w:tabs>
          <w:tab w:val="clear" w:pos="720"/>
          <w:tab w:val="right" w:pos="2070" w:leader="none"/>
        </w:tabs>
        <w:ind w:left="2160" w:hanging="2160"/>
        <w:rPr/>
      </w:pPr>
      <w:r>
        <w:rPr/>
        <w:tab/>
        <w:t>d.</w:t>
        <w:tab/>
        <w:t>TIA (transient ischemic attack) or small stroke</w:t>
      </w:r>
    </w:p>
    <w:p>
      <w:pPr>
        <w:pStyle w:val="Normal"/>
        <w:tabs>
          <w:tab w:val="clear" w:pos="720"/>
          <w:tab w:val="right" w:pos="2070" w:leader="none"/>
        </w:tabs>
        <w:ind w:left="2160" w:hanging="2160"/>
        <w:rPr/>
      </w:pPr>
      <w:r>
        <w:rPr/>
        <w:tab/>
        <w:t>e.</w:t>
        <w:tab/>
        <w:t>Heart failure</w:t>
      </w:r>
    </w:p>
    <w:p>
      <w:pPr>
        <w:pStyle w:val="Normal"/>
        <w:tabs>
          <w:tab w:val="clear" w:pos="720"/>
          <w:tab w:val="right" w:pos="2070" w:leader="none"/>
        </w:tabs>
        <w:ind w:left="2160" w:hanging="2160"/>
        <w:rPr/>
      </w:pPr>
      <w:r>
        <w:rPr/>
        <w:tab/>
        <w:t>f.</w:t>
        <w:tab/>
        <w:t>Atrial fibrillation or a fibrillating heart</w:t>
      </w:r>
    </w:p>
    <w:p>
      <w:pPr>
        <w:pStyle w:val="Normal"/>
        <w:tabs>
          <w:tab w:val="clear" w:pos="720"/>
          <w:tab w:val="right" w:pos="2070" w:leader="none"/>
        </w:tabs>
        <w:ind w:left="2160" w:hanging="2160"/>
        <w:rPr/>
      </w:pPr>
      <w:r>
        <w:rPr/>
        <w:tab/>
        <w:tab/>
      </w:r>
      <w:r>
        <w:rPr>
          <w:u w:val="single"/>
        </w:rPr>
        <w:t>If yes, ask</w:t>
      </w:r>
      <w:r>
        <w:rPr/>
        <w:t>,</w:t>
      </w:r>
      <w:r>
        <w:rPr>
          <w:rFonts w:cs="Arial;Arial" w:ascii="Arial;Arial" w:hAnsi="Arial;Arial"/>
        </w:rPr>
        <w:t xml:space="preserve"> </w:t>
      </w:r>
      <w:r>
        <w:rPr>
          <w:rFonts w:cs="Arial;Arial" w:ascii="Arial;Arial" w:hAnsi="Arial;Arial"/>
          <w:b/>
          <w:bCs/>
          <w:sz w:val="20"/>
        </w:rPr>
        <w:t>“Do you still have it?”</w:t>
      </w:r>
    </w:p>
    <w:p>
      <w:pPr>
        <w:pStyle w:val="Normal"/>
        <w:tabs>
          <w:tab w:val="clear" w:pos="720"/>
          <w:tab w:val="right" w:pos="2070" w:leader="none"/>
        </w:tabs>
        <w:ind w:left="2160" w:hanging="2160"/>
        <w:rPr/>
      </w:pPr>
      <w:r>
        <w:rPr/>
        <w:tab/>
        <w:t>g.</w:t>
        <w:tab/>
        <w:t>Do you take a medicine called Nitroglycerin?</w:t>
      </w:r>
    </w:p>
    <w:p>
      <w:pPr>
        <w:pStyle w:val="Normal"/>
        <w:tabs>
          <w:tab w:val="clear" w:pos="720"/>
          <w:tab w:val="right" w:pos="2070" w:leader="none"/>
        </w:tabs>
        <w:ind w:left="2160" w:hanging="2160"/>
        <w:rPr/>
      </w:pPr>
      <w:r>
        <w:rPr/>
      </w:r>
    </w:p>
    <w:p>
      <w:pPr>
        <w:pStyle w:val="Roman2A1body"/>
        <w:rPr/>
      </w:pPr>
      <w:r>
        <w:rPr>
          <w:u w:val="single"/>
        </w:rPr>
        <w:t>If respondent answers yes</w:t>
      </w:r>
      <w:r>
        <w:rPr>
          <w:b/>
          <w:bCs/>
          <w:u w:val="single"/>
        </w:rPr>
        <w:t xml:space="preserve"> </w:t>
      </w:r>
      <w:r>
        <w:rPr>
          <w:u w:val="single"/>
        </w:rPr>
        <w:t xml:space="preserve">to any item, </w:t>
      </w:r>
      <w:r>
        <w:rPr>
          <w:i/>
          <w:iCs/>
          <w:u w:val="single"/>
        </w:rPr>
        <w:t>except</w:t>
      </w:r>
      <w:r>
        <w:rPr>
          <w:u w:val="single"/>
        </w:rPr>
        <w:t xml:space="preserve"> atrial fibrillation, he/she is</w:t>
      </w:r>
      <w:r>
        <w:rPr>
          <w:smallCaps/>
          <w:u w:val="single"/>
        </w:rPr>
        <w:t xml:space="preserve"> ineligible</w:t>
      </w:r>
      <w:r>
        <w:rPr/>
        <w:t xml:space="preserve">. For atrial fibrillation, respondent is ineligible only if he/she </w:t>
      </w:r>
      <w:r>
        <w:rPr>
          <w:i/>
          <w:iCs/>
        </w:rPr>
        <w:t>currently</w:t>
      </w:r>
      <w:r>
        <w:rPr/>
        <w:t xml:space="preserve"> has the condition. </w:t>
      </w:r>
    </w:p>
    <w:p>
      <w:pPr>
        <w:pStyle w:val="Roman2A1body"/>
        <w:rPr>
          <w:i/>
          <w:i/>
          <w:iCs/>
        </w:rPr>
      </w:pPr>
      <w:r>
        <w:rPr>
          <w:u w:val="single"/>
        </w:rPr>
        <w:t>If the respondent asks for an explanation of a term (e.g., angina) say</w:t>
      </w:r>
      <w:r>
        <w:rPr/>
        <w:t xml:space="preserve">, </w:t>
      </w:r>
      <w:r>
        <w:rPr>
          <w:rFonts w:cs="Arial;Arial" w:ascii="Arial;Arial" w:hAnsi="Arial;Arial"/>
          <w:b/>
          <w:bCs/>
          <w:sz w:val="20"/>
        </w:rPr>
        <w:t>“I am not in the medical profession, but we can assume that, if you don't recognize the word, a doctor never told that you had it. Which answer would you prefer: ‘No’ or ‘Don't Know’?”</w:t>
      </w:r>
    </w:p>
    <w:p>
      <w:pPr>
        <w:pStyle w:val="Normal"/>
        <w:rPr/>
      </w:pPr>
      <w:r>
        <w:rPr/>
        <w:tab/>
        <w:tab/>
        <w:tab/>
      </w:r>
    </w:p>
    <w:p>
      <w:pPr>
        <w:pStyle w:val="Roman2A1"/>
        <w:rPr/>
      </w:pPr>
      <w:r>
        <w:rPr/>
        <w:tab/>
        <w:t xml:space="preserve">8. </w:t>
      </w:r>
      <w:r>
        <w:rPr>
          <w:rFonts w:cs="Arial;Arial"/>
          <w:sz w:val="20"/>
        </w:rPr>
        <w:tab/>
      </w:r>
      <w:r>
        <w:rPr>
          <w:rFonts w:cs="Arial;Arial" w:ascii="Arial;Arial" w:hAnsi="Arial;Arial"/>
          <w:b/>
          <w:bCs/>
          <w:sz w:val="20"/>
        </w:rPr>
        <w:t>“Have you ever had any of the following medical procedures?”</w:t>
      </w:r>
      <w:r>
        <w:rPr/>
        <w:t xml:space="preserve"> (List each procedure and wait for a response. </w:t>
      </w:r>
      <w:r>
        <w:rPr>
          <w:u w:val="single"/>
        </w:rPr>
        <w:t>If respondent answers yes</w:t>
      </w:r>
      <w:r>
        <w:rPr>
          <w:b/>
          <w:bCs/>
          <w:u w:val="single"/>
        </w:rPr>
        <w:t xml:space="preserve"> </w:t>
      </w:r>
      <w:r>
        <w:rPr>
          <w:u w:val="single"/>
        </w:rPr>
        <w:t>to any item, he/she is</w:t>
      </w:r>
      <w:r>
        <w:rPr>
          <w:smallCaps/>
          <w:u w:val="single"/>
        </w:rPr>
        <w:t xml:space="preserve"> ineligible</w:t>
      </w:r>
      <w:r>
        <w:rPr>
          <w:u w:val="single"/>
        </w:rPr>
        <w:t>. If the respondent asks for an explanation of a term (e.g., balloon angioplasty), say</w:t>
      </w:r>
      <w:r>
        <w:rPr/>
        <w:t xml:space="preserve">, </w:t>
      </w:r>
      <w:r>
        <w:rPr>
          <w:rFonts w:cs="Arial;Arial" w:ascii="Arial;Arial" w:hAnsi="Arial;Arial"/>
          <w:b/>
          <w:bCs/>
          <w:sz w:val="20"/>
        </w:rPr>
        <w:t>“I am not in the medical profession, but we can assume that, if you don't recognize the word, you’ve never had the procedure. Which answer would you prefer: ‘No’ or ‘Don't Know’?”</w:t>
      </w:r>
    </w:p>
    <w:p>
      <w:pPr>
        <w:pStyle w:val="Roman2A1"/>
        <w:rPr/>
      </w:pPr>
      <w:r>
        <w:rPr/>
        <w:tab/>
      </w:r>
    </w:p>
    <w:p>
      <w:pPr>
        <w:pStyle w:val="Roman2A1"/>
        <w:rPr/>
      </w:pPr>
      <w:r>
        <w:rPr/>
        <w:tab/>
        <w:t xml:space="preserve">9. </w:t>
      </w:r>
      <w:r>
        <w:rPr>
          <w:rFonts w:cs="Arial;Arial"/>
          <w:b/>
          <w:bCs/>
          <w:sz w:val="20"/>
        </w:rPr>
        <w:tab/>
      </w:r>
      <w:r>
        <w:rPr>
          <w:rFonts w:cs="Arial;Arial" w:ascii="Arial;Arial" w:hAnsi="Arial;Arial"/>
          <w:b/>
          <w:bCs/>
          <w:sz w:val="20"/>
        </w:rPr>
        <w:t>“Have you ever been treated for cancer with chemotherapy or radiation?”</w:t>
      </w:r>
      <w:r>
        <w:rPr/>
        <w:t xml:space="preserve"> </w:t>
      </w:r>
    </w:p>
    <w:p>
      <w:pPr>
        <w:pStyle w:val="Roman2A1body"/>
        <w:rPr/>
      </w:pPr>
      <w:r>
        <w:rPr>
          <w:u w:val="single"/>
        </w:rPr>
        <w:t>If no or don’t know, continue to question 10</w:t>
      </w:r>
      <w:r>
        <w:rPr/>
        <w:t>.</w:t>
        <w:tab/>
      </w:r>
    </w:p>
    <w:p>
      <w:pPr>
        <w:pStyle w:val="Normal"/>
        <w:ind w:left="1890" w:hanging="0"/>
        <w:rPr/>
      </w:pPr>
      <w:r>
        <w:rPr>
          <w:u w:val="single"/>
        </w:rPr>
        <w:t xml:space="preserve">If yes, respondent is </w:t>
      </w:r>
      <w:r>
        <w:rPr>
          <w:smallCaps/>
          <w:u w:val="single"/>
        </w:rPr>
        <w:t>ineligible</w:t>
      </w:r>
      <w:r>
        <w:rPr>
          <w:smallCaps/>
        </w:rPr>
        <w:t>.</w:t>
      </w:r>
    </w:p>
    <w:p>
      <w:pPr>
        <w:pStyle w:val="Normal"/>
        <w:ind w:left="2790" w:hanging="2790"/>
        <w:rPr/>
      </w:pPr>
      <w:r>
        <w:rPr>
          <w:u w:val="single"/>
        </w:rPr>
        <w:t xml:space="preserve"> </w:t>
      </w:r>
      <w:r>
        <w:rPr>
          <w:smallCaps/>
          <w:u w:val="single"/>
        </w:rPr>
        <w:t xml:space="preserve"> </w:t>
      </w:r>
    </w:p>
    <w:p>
      <w:pPr>
        <w:pStyle w:val="Roman2A1"/>
        <w:rPr/>
      </w:pPr>
      <w:r>
        <w:rPr/>
        <w:tab/>
        <w:t xml:space="preserve">10. </w:t>
      </w:r>
      <w:r>
        <w:rPr>
          <w:rFonts w:cs="Arial;Arial"/>
          <w:sz w:val="20"/>
        </w:rPr>
        <w:tab/>
      </w:r>
      <w:r>
        <w:rPr>
          <w:rFonts w:cs="Arial;Arial" w:ascii="Arial;Arial" w:hAnsi="Arial;Arial"/>
          <w:b/>
          <w:bCs/>
          <w:sz w:val="20"/>
        </w:rPr>
        <w:t>“Do you have any other serious medical conditions that would prevent long-term participation in this study?”</w:t>
      </w:r>
      <w:r>
        <w:rPr>
          <w:rFonts w:cs="Arial;Arial"/>
          <w:sz w:val="20"/>
        </w:rPr>
        <w:t xml:space="preserve"> </w:t>
      </w:r>
      <w:r>
        <w:rPr/>
        <w:t xml:space="preserve">If the respondent asks for your advice about whether or not a particular condition would prevent his/her long-term participation, say, </w:t>
      </w:r>
      <w:r>
        <w:rPr>
          <w:rFonts w:cs="Arial;Arial" w:ascii="Arial;Arial" w:hAnsi="Arial;Arial"/>
          <w:sz w:val="20"/>
        </w:rPr>
        <w:t xml:space="preserve"> </w:t>
      </w:r>
      <w:r>
        <w:rPr>
          <w:rFonts w:cs="Arial;Arial" w:ascii="Arial;Arial" w:hAnsi="Arial;Arial"/>
          <w:b/>
          <w:bCs/>
          <w:sz w:val="20"/>
        </w:rPr>
        <w:t>“We leave this to your judgment; but, if you want, I can consult with our physicians and get back to you.”</w:t>
      </w:r>
      <w:r>
        <w:rPr>
          <w:rFonts w:cs="Arial;Arial"/>
          <w:sz w:val="20"/>
        </w:rPr>
        <w:t xml:space="preserve"> </w:t>
      </w:r>
      <w:r>
        <w:rPr/>
        <w:t xml:space="preserve"> Be sure to follow-up on this question with your supervisor. And double-check the list of conditions/procedures on pages 2–3 that make the respondent ineligible.</w:t>
      </w:r>
      <w:r>
        <w:rPr>
          <w:b/>
          <w:bCs/>
        </w:rPr>
        <w:t xml:space="preserve"> </w:t>
      </w:r>
    </w:p>
    <w:p>
      <w:pPr>
        <w:pStyle w:val="Roman2A1"/>
        <w:rPr/>
      </w:pPr>
      <w:r>
        <w:rPr>
          <w:b/>
          <w:bCs/>
        </w:rPr>
        <w:tab/>
        <w:tab/>
      </w:r>
      <w:r>
        <w:rPr>
          <w:u w:val="single"/>
        </w:rPr>
        <w:t xml:space="preserve">If yes, respondent is </w:t>
      </w:r>
      <w:r>
        <w:rPr>
          <w:smallCaps/>
          <w:u w:val="single"/>
        </w:rPr>
        <w:t>ineligible</w:t>
      </w:r>
      <w:r>
        <w:rPr>
          <w:smallCaps/>
        </w:rPr>
        <w:t>.</w:t>
      </w:r>
    </w:p>
    <w:p>
      <w:pPr>
        <w:pStyle w:val="Roman2A1"/>
        <w:rPr/>
      </w:pPr>
      <w:r>
        <w:rPr/>
        <w:tab/>
        <w:tab/>
      </w:r>
      <w:r>
        <w:rPr>
          <w:u w:val="single"/>
        </w:rPr>
        <w:t>If no or don’t know, continue to question 11</w:t>
      </w:r>
      <w:r>
        <w:rPr/>
        <w:t>.</w:t>
      </w:r>
      <w:r>
        <w:rPr>
          <w:b/>
        </w:rPr>
        <w:t xml:space="preserve"> </w:t>
      </w:r>
    </w:p>
    <w:p>
      <w:pPr>
        <w:pStyle w:val="Roman2A1"/>
        <w:rPr/>
      </w:pPr>
      <w:r>
        <w:rPr/>
        <w:tab/>
      </w:r>
    </w:p>
    <w:p>
      <w:pPr>
        <w:pStyle w:val="Roman2A1"/>
        <w:rPr>
          <w:bCs/>
        </w:rPr>
      </w:pPr>
      <w:r>
        <w:rPr/>
        <w:tab/>
        <w:t xml:space="preserve">11. </w:t>
        <w:tab/>
        <w:t>For women aged 45–55 only:</w:t>
      </w:r>
      <w:r>
        <w:rPr>
          <w:b/>
          <w:sz w:val="20"/>
        </w:rPr>
        <w:t xml:space="preserve"> </w:t>
      </w:r>
      <w:r>
        <w:rPr>
          <w:rFonts w:cs="Arial;Arial" w:ascii="Arial;Arial" w:hAnsi="Arial;Arial"/>
          <w:b/>
          <w:bCs/>
          <w:sz w:val="20"/>
        </w:rPr>
        <w:t>“Are you pregnant or nursing?”</w:t>
      </w:r>
    </w:p>
    <w:p>
      <w:pPr>
        <w:pStyle w:val="Roman2A1"/>
        <w:rPr/>
      </w:pPr>
      <w:r>
        <w:rPr>
          <w:b/>
          <w:bCs/>
        </w:rPr>
        <w:tab/>
        <w:tab/>
      </w:r>
      <w:r>
        <w:rPr>
          <w:u w:val="single"/>
        </w:rPr>
        <w:t xml:space="preserve">If yes, respondent is </w:t>
      </w:r>
      <w:r>
        <w:rPr>
          <w:smallCaps/>
          <w:u w:val="single"/>
        </w:rPr>
        <w:t>ineligible</w:t>
      </w:r>
      <w:r>
        <w:rPr>
          <w:smallCaps/>
        </w:rPr>
        <w:t>.</w:t>
      </w:r>
    </w:p>
    <w:p>
      <w:pPr>
        <w:pStyle w:val="Roman2A1"/>
        <w:rPr>
          <w:b/>
          <w:b/>
        </w:rPr>
      </w:pPr>
      <w:r>
        <w:rPr/>
        <w:tab/>
        <w:tab/>
      </w:r>
      <w:r>
        <w:rPr>
          <w:u w:val="single"/>
        </w:rPr>
        <w:t>If no or don’t know, continue to question 12</w:t>
      </w:r>
      <w:r>
        <w:rPr/>
        <w:t>.</w:t>
      </w:r>
    </w:p>
    <w:p>
      <w:pPr>
        <w:pStyle w:val="Roman2A1"/>
        <w:rPr>
          <w:b/>
          <w:b/>
        </w:rPr>
      </w:pPr>
      <w:r>
        <w:rPr>
          <w:b/>
        </w:rPr>
      </w:r>
    </w:p>
    <w:p>
      <w:pPr>
        <w:pStyle w:val="Roman2A1"/>
        <w:rPr/>
      </w:pPr>
      <w:r>
        <w:rPr>
          <w:b/>
        </w:rPr>
        <w:tab/>
      </w:r>
      <w:r>
        <w:rPr/>
        <w:t>12.</w:t>
        <w:tab/>
      </w:r>
      <w:r>
        <w:rPr>
          <w:rFonts w:cs="Arial;Arial" w:ascii="Arial;Arial" w:hAnsi="Arial;Arial"/>
          <w:b/>
          <w:bCs/>
          <w:sz w:val="20"/>
        </w:rPr>
        <w:t>“How tall are you?”</w:t>
      </w:r>
      <w:r>
        <w:rPr/>
        <w:t xml:space="preserve"> </w:t>
      </w:r>
      <w:r>
        <w:rPr>
          <w:i/>
          <w:iCs/>
        </w:rPr>
        <w:t>Record height in feet and inches</w:t>
      </w:r>
      <w:r>
        <w:rPr/>
        <w:t xml:space="preserve"> and then continue to question 13.</w:t>
      </w:r>
    </w:p>
    <w:p>
      <w:pPr>
        <w:pStyle w:val="Normal"/>
        <w:rPr/>
      </w:pPr>
      <w:r>
        <w:rPr/>
        <w:t xml:space="preserve"> </w:t>
      </w:r>
    </w:p>
    <w:p>
      <w:pPr>
        <w:pStyle w:val="Roman2A1"/>
        <w:rPr/>
      </w:pPr>
      <w:r>
        <w:rPr/>
        <w:tab/>
        <w:t xml:space="preserve">13. </w:t>
        <w:tab/>
      </w:r>
      <w:r>
        <w:rPr>
          <w:rFonts w:cs="Arial;Arial" w:ascii="Arial;Arial" w:hAnsi="Arial;Arial"/>
          <w:b/>
          <w:bCs/>
          <w:sz w:val="20"/>
        </w:rPr>
        <w:t>“How much do you weigh?”</w:t>
      </w:r>
      <w:r>
        <w:rPr>
          <w:b/>
          <w:bCs/>
        </w:rPr>
        <w:t xml:space="preserve"> </w:t>
      </w:r>
      <w:r>
        <w:rPr>
          <w:i/>
          <w:iCs/>
        </w:rPr>
        <w:t>Record weight in pounds.</w:t>
      </w:r>
      <w:r>
        <w:rPr/>
        <w:t xml:space="preserve"> </w:t>
      </w:r>
    </w:p>
    <w:p>
      <w:pPr>
        <w:pStyle w:val="Roman2A1body"/>
        <w:rPr/>
      </w:pPr>
      <w:r>
        <w:rPr>
          <w:u w:val="single"/>
        </w:rPr>
        <w:t xml:space="preserve">If weight is over 300 pounds, respondent is </w:t>
      </w:r>
      <w:r>
        <w:rPr>
          <w:smallCaps/>
          <w:u w:val="single"/>
        </w:rPr>
        <w:t>ineligible</w:t>
      </w:r>
      <w:r>
        <w:rPr>
          <w:smallCaps/>
        </w:rPr>
        <w:t>.</w:t>
      </w:r>
      <w:r>
        <w:rPr/>
        <w:t xml:space="preserve"> Regardless of weight, continue to question 14. </w:t>
      </w:r>
    </w:p>
    <w:p>
      <w:pPr>
        <w:pStyle w:val="Roman2A1"/>
        <w:rPr/>
      </w:pPr>
      <w:r>
        <w:rPr/>
      </w:r>
    </w:p>
    <w:p>
      <w:pPr>
        <w:pStyle w:val="Roman2A1"/>
        <w:rPr/>
      </w:pPr>
      <w:r>
        <w:rPr/>
        <w:tab/>
        <w:t>14.</w:t>
      </w:r>
      <w:r>
        <w:rPr>
          <w:sz w:val="20"/>
        </w:rPr>
        <w:t xml:space="preserve"> </w:t>
        <w:tab/>
      </w:r>
      <w:r>
        <w:rPr>
          <w:rFonts w:cs="Arial;Arial" w:ascii="Arial;Arial" w:hAnsi="Arial;Arial"/>
          <w:b/>
          <w:bCs/>
          <w:sz w:val="20"/>
        </w:rPr>
        <w:t>“Are you Spanish, Hispanic, or Latino?”</w:t>
      </w:r>
    </w:p>
    <w:p>
      <w:pPr>
        <w:pStyle w:val="Roman2A1body"/>
        <w:rPr/>
      </w:pPr>
      <w:r>
        <w:rPr>
          <w:u w:val="single"/>
        </w:rPr>
        <w:t>If no, continue to question 16</w:t>
      </w:r>
      <w:r>
        <w:rPr/>
        <w:t>.</w:t>
      </w:r>
    </w:p>
    <w:p>
      <w:pPr>
        <w:pStyle w:val="Roman2A1body"/>
        <w:rPr/>
      </w:pPr>
      <w:r>
        <w:rPr>
          <w:u w:val="single"/>
        </w:rPr>
        <w:t>If yes, ask</w:t>
      </w:r>
      <w:r>
        <w:rPr/>
        <w:t>,</w:t>
      </w:r>
      <w:r>
        <w:rPr>
          <w:sz w:val="20"/>
        </w:rPr>
        <w:t xml:space="preserve"> </w:t>
      </w:r>
      <w:r>
        <w:rPr>
          <w:rFonts w:cs="Arial;Arial" w:ascii="Arial;Arial" w:hAnsi="Arial;Arial"/>
          <w:b/>
          <w:bCs/>
          <w:sz w:val="20"/>
        </w:rPr>
        <w:t>“Which of the following best describes your ethnicity?”</w:t>
      </w:r>
      <w:r>
        <w:rPr>
          <w:b/>
          <w:bCs/>
        </w:rPr>
        <w:t xml:space="preserve"> </w:t>
      </w:r>
      <w:r>
        <w:rPr/>
        <w:t>Read the list, fill in the appropriate circle, and continue to question 15.</w:t>
      </w:r>
    </w:p>
    <w:p>
      <w:pPr>
        <w:pStyle w:val="Normal"/>
        <w:rPr/>
      </w:pPr>
      <w:r>
        <w:rPr/>
        <w:t xml:space="preserve"> </w:t>
      </w:r>
    </w:p>
    <w:p>
      <w:pPr>
        <w:pStyle w:val="Roman2A1"/>
        <w:rPr>
          <w:smallCaps/>
        </w:rPr>
      </w:pPr>
      <w:r>
        <w:rPr/>
        <w:tab/>
        <w:t>15.</w:t>
        <w:tab/>
      </w:r>
      <w:r>
        <w:rPr>
          <w:rFonts w:cs="Arial;Arial" w:ascii="Arial;Arial" w:hAnsi="Arial;Arial"/>
          <w:b/>
          <w:bCs/>
          <w:sz w:val="20"/>
        </w:rPr>
        <w:t xml:space="preserve">“Which of the following best describes your race?” </w:t>
      </w:r>
      <w:r>
        <w:rPr/>
        <w:t>(</w:t>
      </w:r>
      <w:r>
        <w:rPr>
          <w:u w:val="single"/>
        </w:rPr>
        <w:t>Or, if the respondent selected one of the categories in question 14, ask</w:t>
      </w:r>
      <w:r>
        <w:rPr/>
        <w:t>,</w:t>
      </w:r>
      <w:r>
        <w:rPr>
          <w:rFonts w:cs="Arial;Arial" w:ascii="Arial;Arial" w:hAnsi="Arial;Arial"/>
          <w:b/>
          <w:bCs/>
          <w:sz w:val="20"/>
        </w:rPr>
        <w:t xml:space="preserve"> “Do you also identify yourself with one of these other groups?”</w:t>
      </w:r>
      <w:r>
        <w:rPr>
          <w:rFonts w:cs="Arial;Arial" w:ascii="Arial;Arial" w:hAnsi="Arial;Arial"/>
          <w:sz w:val="20"/>
        </w:rPr>
        <w:t>)</w:t>
      </w:r>
      <w:r>
        <w:rPr>
          <w:b/>
          <w:bCs/>
        </w:rPr>
        <w:t xml:space="preserve"> </w:t>
      </w:r>
      <w:r>
        <w:rPr/>
        <w:t xml:space="preserve">Respondent may select more than one. </w:t>
      </w:r>
      <w:r>
        <w:rPr>
          <w:u w:val="single"/>
        </w:rPr>
        <w:t>Read the list, fill in the appropriate circle (s), and then continue to sidebar question in lower right</w:t>
      </w:r>
      <w:r>
        <w:rPr/>
        <w:t xml:space="preserve">. </w:t>
      </w:r>
    </w:p>
    <w:p>
      <w:pPr>
        <w:pStyle w:val="Normal"/>
        <w:tabs>
          <w:tab w:val="clear" w:pos="720"/>
          <w:tab w:val="right" w:pos="1800" w:leader="none"/>
        </w:tabs>
        <w:ind w:left="1890" w:hanging="1890"/>
        <w:rPr>
          <w:b/>
          <w:b/>
          <w:bCs/>
          <w:smallCaps/>
        </w:rPr>
      </w:pPr>
      <w:r>
        <w:rPr>
          <w:b/>
          <w:bCs/>
          <w:smallCaps/>
        </w:rPr>
      </w:r>
    </w:p>
    <w:p>
      <w:pPr>
        <w:pStyle w:val="Normal"/>
        <w:tabs>
          <w:tab w:val="clear" w:pos="720"/>
          <w:tab w:val="right" w:pos="1800" w:leader="none"/>
        </w:tabs>
        <w:ind w:left="1890" w:hanging="1890"/>
        <w:rPr/>
      </w:pPr>
      <w:r>
        <w:rPr>
          <w:b/>
          <w:bCs/>
        </w:rPr>
        <w:tab/>
      </w:r>
      <w:r>
        <w:rPr>
          <w:rFonts w:cs="Arial;Arial" w:ascii="Arial;Arial" w:hAnsi="Arial;Arial"/>
          <w:b/>
          <w:bCs/>
          <w:smallCaps/>
          <w:sz w:val="20"/>
        </w:rPr>
        <w:t>sidebar</w:t>
        <w:tab/>
      </w:r>
      <w:r>
        <w:rPr/>
        <w:t>Did respondent answer “yes” to question 14 or choose one of the underlined groups in question 15?</w:t>
      </w:r>
    </w:p>
    <w:p>
      <w:pPr>
        <w:pStyle w:val="Normal"/>
        <w:tabs>
          <w:tab w:val="clear" w:pos="720"/>
          <w:tab w:val="right" w:pos="1800" w:leader="none"/>
        </w:tabs>
        <w:ind w:left="1890" w:hanging="1890"/>
        <w:rPr/>
      </w:pPr>
      <w:r>
        <w:rPr>
          <w:rFonts w:cs="Arial;Arial" w:ascii="Arial;Arial" w:hAnsi="Arial;Arial"/>
          <w:b/>
          <w:bCs/>
          <w:smallCaps/>
          <w:sz w:val="20"/>
        </w:rPr>
        <w:tab/>
        <w:tab/>
      </w:r>
      <w:r>
        <w:rPr>
          <w:sz w:val="22"/>
          <w:u w:val="single"/>
        </w:rPr>
        <w:t>If yes, continue to question 16</w:t>
      </w:r>
      <w:r>
        <w:rPr>
          <w:sz w:val="22"/>
        </w:rPr>
        <w:t>.</w:t>
      </w:r>
    </w:p>
    <w:p>
      <w:pPr>
        <w:pStyle w:val="Normal"/>
        <w:tabs>
          <w:tab w:val="clear" w:pos="720"/>
          <w:tab w:val="right" w:pos="1800" w:leader="none"/>
        </w:tabs>
        <w:ind w:left="1890" w:hanging="1890"/>
        <w:rPr>
          <w:sz w:val="22"/>
          <w:u w:val="single"/>
        </w:rPr>
      </w:pPr>
      <w:r>
        <w:rPr>
          <w:sz w:val="22"/>
        </w:rPr>
        <w:tab/>
        <w:tab/>
      </w:r>
      <w:r>
        <w:rPr>
          <w:sz w:val="22"/>
          <w:u w:val="single"/>
        </w:rPr>
        <w:t xml:space="preserve">If no, </w:t>
      </w:r>
      <w:r>
        <w:rPr>
          <w:u w:val="single"/>
        </w:rPr>
        <w:t>respondent is</w:t>
      </w:r>
      <w:r>
        <w:rPr>
          <w:smallCaps/>
          <w:u w:val="single"/>
        </w:rPr>
        <w:t xml:space="preserve"> ineligible</w:t>
      </w:r>
      <w:r>
        <w:rPr>
          <w:smallCaps/>
        </w:rPr>
        <w:t xml:space="preserve">. </w:t>
      </w:r>
      <w:r>
        <w:rPr/>
        <w:t>Continue to question 16.</w:t>
      </w:r>
    </w:p>
    <w:p>
      <w:pPr>
        <w:pStyle w:val="Roman2A1body"/>
        <w:tabs>
          <w:tab w:val="clear" w:pos="720"/>
          <w:tab w:val="right" w:pos="1800" w:leader="none"/>
        </w:tabs>
        <w:ind w:left="1890" w:hanging="1890"/>
        <w:rPr>
          <w:sz w:val="22"/>
          <w:u w:val="single"/>
        </w:rPr>
      </w:pPr>
      <w:r>
        <w:rPr>
          <w:sz w:val="22"/>
          <w:u w:val="single"/>
        </w:rPr>
      </w:r>
    </w:p>
    <w:p>
      <w:pPr>
        <w:pStyle w:val="Roman2A1"/>
        <w:rPr/>
      </w:pPr>
      <w:r>
        <w:rPr/>
        <w:tab/>
        <w:t>16.</w:t>
      </w:r>
      <w:r>
        <w:rPr>
          <w:sz w:val="20"/>
        </w:rPr>
        <w:tab/>
      </w:r>
      <w:r>
        <w:rPr>
          <w:rFonts w:cs="Arial;Arial" w:ascii="Arial;Arial" w:hAnsi="Arial;Arial"/>
          <w:b/>
          <w:bCs/>
          <w:sz w:val="20"/>
        </w:rPr>
        <w:t>“Do you plan to move out of [community name] within the next five years?”</w:t>
      </w:r>
    </w:p>
    <w:p>
      <w:pPr>
        <w:pStyle w:val="Roman2A1"/>
        <w:rPr/>
      </w:pPr>
      <w:r>
        <w:rPr/>
        <w:tab/>
        <w:tab/>
      </w:r>
      <w:r>
        <w:rPr>
          <w:u w:val="single"/>
        </w:rPr>
        <w:t>If yes, respondent is</w:t>
      </w:r>
      <w:r>
        <w:rPr>
          <w:smallCaps/>
          <w:u w:val="single"/>
        </w:rPr>
        <w:t xml:space="preserve"> ineligible</w:t>
      </w:r>
      <w:r>
        <w:rPr>
          <w:smallCaps/>
        </w:rPr>
        <w:t>.</w:t>
      </w:r>
    </w:p>
    <w:p>
      <w:pPr>
        <w:pStyle w:val="Roman2A1"/>
        <w:rPr/>
      </w:pPr>
      <w:r>
        <w:rPr/>
        <w:tab/>
        <w:tab/>
      </w:r>
      <w:r>
        <w:rPr>
          <w:u w:val="single"/>
        </w:rPr>
        <w:t>If no or don’t know, continue to question 17</w:t>
      </w:r>
      <w:r>
        <w:rPr/>
        <w:t>.</w:t>
      </w:r>
    </w:p>
    <w:p>
      <w:pPr>
        <w:pStyle w:val="Roman2A1"/>
        <w:rPr>
          <w:u w:val="single"/>
        </w:rPr>
      </w:pPr>
      <w:r>
        <w:rPr>
          <w:u w:val="single"/>
        </w:rPr>
      </w:r>
    </w:p>
    <w:p>
      <w:pPr>
        <w:pStyle w:val="Roman2"/>
        <w:rPr/>
      </w:pPr>
      <w:r>
        <w:rPr/>
        <w:tab/>
        <w:t>III.</w:t>
        <w:tab/>
        <w:t>Conclusion</w:t>
      </w:r>
    </w:p>
    <w:p>
      <w:pPr>
        <w:pStyle w:val="Normal"/>
        <w:rPr/>
      </w:pPr>
      <w:r>
        <w:rPr/>
      </w:r>
    </w:p>
    <w:p>
      <w:pPr>
        <w:pStyle w:val="Roman2A1"/>
        <w:rPr/>
      </w:pPr>
      <w:r>
        <w:rPr/>
        <w:tab/>
        <w:t>17.</w:t>
        <w:tab/>
        <w:t>Interviewer: In your opinion, is the respondent eligible to participate in the study?</w:t>
      </w:r>
    </w:p>
    <w:p>
      <w:pPr>
        <w:pStyle w:val="Roman2A1body"/>
        <w:rPr/>
      </w:pPr>
      <w:r>
        <w:rPr>
          <w:u w:val="single"/>
        </w:rPr>
        <w:t xml:space="preserve">If yes, skip to </w:t>
      </w:r>
      <w:r>
        <w:rPr>
          <w:rFonts w:cs="Arial;Arial" w:ascii="Arial;Arial" w:hAnsi="Arial;Arial"/>
          <w:b/>
          <w:bCs/>
          <w:smallCaps/>
          <w:sz w:val="20"/>
          <w:u w:val="single"/>
        </w:rPr>
        <w:t>eligible</w:t>
      </w:r>
      <w:r>
        <w:rPr/>
        <w:t>.</w:t>
      </w:r>
    </w:p>
    <w:p>
      <w:pPr>
        <w:pStyle w:val="Roman2A1body"/>
        <w:rPr/>
      </w:pPr>
      <w:r>
        <w:rPr>
          <w:u w:val="single"/>
        </w:rPr>
        <w:t xml:space="preserve">If yes, but in over-sampled group, skip to </w:t>
      </w:r>
      <w:r>
        <w:rPr>
          <w:rFonts w:cs="Arial;Arial" w:ascii="Arial;Arial" w:hAnsi="Arial;Arial"/>
          <w:b/>
          <w:bCs/>
          <w:smallCaps/>
          <w:sz w:val="20"/>
          <w:u w:val="single"/>
        </w:rPr>
        <w:t>eligible but in over-sampled group</w:t>
      </w:r>
      <w:r>
        <w:rPr>
          <w:rFonts w:cs="Arial;Arial" w:ascii="Arial;Arial" w:hAnsi="Arial;Arial"/>
          <w:smallCaps/>
          <w:sz w:val="20"/>
        </w:rPr>
        <w:t>.</w:t>
      </w:r>
    </w:p>
    <w:p>
      <w:pPr>
        <w:pStyle w:val="Roman2A1body"/>
        <w:rPr/>
      </w:pPr>
      <w:r>
        <w:rPr>
          <w:u w:val="single"/>
        </w:rPr>
        <w:t xml:space="preserve">If no or unsure, skip to </w:t>
      </w:r>
      <w:r>
        <w:rPr>
          <w:rFonts w:cs="Arial;Arial" w:ascii="Arial;Arial" w:hAnsi="Arial;Arial"/>
          <w:b/>
          <w:bCs/>
          <w:smallCaps/>
          <w:sz w:val="20"/>
          <w:u w:val="single"/>
        </w:rPr>
        <w:t>ineligible</w:t>
      </w:r>
    </w:p>
    <w:p>
      <w:pPr>
        <w:pStyle w:val="Contents1"/>
        <w:rPr/>
      </w:pPr>
      <w:r>
        <w:rPr/>
      </w:r>
    </w:p>
    <w:p>
      <w:pPr>
        <w:pStyle w:val="Roman2A1body"/>
        <w:ind w:left="2070" w:hanging="180"/>
        <w:rPr/>
      </w:pPr>
      <w:r>
        <w:rPr>
          <w:rFonts w:eastAsia="Symbol" w:cs="Symbol" w:ascii="Symbol" w:hAnsi="Symbol"/>
          <w:smallCaps/>
          <w:sz w:val="22"/>
        </w:rPr>
        <w:t></w:t>
      </w:r>
      <w:r>
        <w:rPr>
          <w:rFonts w:cs="Arial;Arial" w:ascii="Arial;Arial" w:hAnsi="Arial;Arial"/>
          <w:b/>
          <w:bCs/>
          <w:smallCaps/>
          <w:sz w:val="22"/>
        </w:rPr>
        <w:tab/>
        <w:t>ineligible</w:t>
      </w:r>
      <w:r>
        <w:rPr>
          <w:b/>
          <w:bCs/>
          <w:smallCaps/>
        </w:rPr>
        <w:t xml:space="preserve">. </w:t>
      </w:r>
      <w:r>
        <w:rPr/>
        <w:t>Choose the most appropriate script.</w:t>
      </w:r>
    </w:p>
    <w:p>
      <w:pPr>
        <w:pStyle w:val="Roman2A1body"/>
        <w:ind w:left="2070" w:hanging="180"/>
        <w:rPr/>
      </w:pPr>
      <w:r>
        <w:rPr/>
      </w:r>
    </w:p>
    <w:p>
      <w:pPr>
        <w:pStyle w:val="Roman2A1body"/>
        <w:ind w:left="2070" w:hanging="180"/>
        <w:rPr/>
      </w:pPr>
      <w:r>
        <w:rPr>
          <w:rFonts w:eastAsia="Symbol" w:cs="Symbol" w:ascii="Symbol" w:hAnsi="Symbol"/>
          <w:smallCaps/>
          <w:sz w:val="22"/>
        </w:rPr>
        <w:t></w:t>
      </w:r>
      <w:r>
        <w:rPr>
          <w:rFonts w:cs="Arial;Arial" w:ascii="Arial;Arial" w:hAnsi="Arial;Arial"/>
          <w:b/>
          <w:bCs/>
          <w:smallCaps/>
          <w:sz w:val="22"/>
        </w:rPr>
        <w:tab/>
        <w:t xml:space="preserve">eligible but in over-sampled group. </w:t>
      </w:r>
      <w:r>
        <w:rPr/>
        <w:t>Read script.</w:t>
      </w:r>
    </w:p>
    <w:p>
      <w:pPr>
        <w:pStyle w:val="Normal"/>
        <w:ind w:left="2070" w:hanging="180"/>
        <w:rPr/>
      </w:pPr>
      <w:r>
        <w:rPr/>
        <w:tab/>
      </w:r>
    </w:p>
    <w:p>
      <w:pPr>
        <w:pStyle w:val="Arialbold9"/>
        <w:ind w:left="2070" w:hanging="180"/>
        <w:rPr/>
      </w:pPr>
      <w:r>
        <w:rPr/>
        <w:tab/>
        <w:t>“…. May we keep your name on file and possibly contact you again on a later date?”</w:t>
      </w:r>
    </w:p>
    <w:p>
      <w:pPr>
        <w:pStyle w:val="Normal"/>
        <w:ind w:left="2070" w:hanging="180"/>
        <w:rPr/>
      </w:pPr>
      <w:r>
        <w:rPr>
          <w:b/>
          <w:bCs/>
        </w:rPr>
        <w:tab/>
      </w:r>
      <w:r>
        <w:rPr>
          <w:u w:val="single"/>
        </w:rPr>
        <w:t>If yes or no, thank respondent for his/her time and skip to question 23</w:t>
      </w:r>
      <w:r>
        <w:rPr/>
        <w:t>.</w:t>
      </w:r>
    </w:p>
    <w:p>
      <w:pPr>
        <w:pStyle w:val="Normal"/>
        <w:ind w:left="2070" w:hanging="180"/>
        <w:rPr/>
      </w:pPr>
      <w:r>
        <w:rPr/>
      </w:r>
    </w:p>
    <w:p>
      <w:pPr>
        <w:pStyle w:val="Normal"/>
        <w:tabs>
          <w:tab w:val="clear" w:pos="720"/>
          <w:tab w:val="right" w:pos="1980" w:leader="none"/>
        </w:tabs>
        <w:ind w:left="2160" w:hanging="2160"/>
        <w:rPr/>
      </w:pPr>
      <w:r>
        <w:rPr>
          <w:rFonts w:cs="Arial;Arial" w:ascii="Arial;Arial" w:hAnsi="Arial;Arial"/>
          <w:smallCaps/>
          <w:sz w:val="22"/>
        </w:rPr>
        <w:tab/>
      </w:r>
      <w:r>
        <w:rPr>
          <w:rFonts w:eastAsia="Symbol" w:cs="Symbol" w:ascii="Symbol" w:hAnsi="Symbol"/>
          <w:smallCaps/>
          <w:sz w:val="22"/>
        </w:rPr>
        <w:t></w:t>
      </w:r>
      <w:r>
        <w:rPr>
          <w:rFonts w:cs="Arial;Arial" w:ascii="Arial;Arial" w:hAnsi="Arial;Arial"/>
          <w:b/>
          <w:bCs/>
          <w:smallCaps/>
          <w:sz w:val="22"/>
        </w:rPr>
        <w:tab/>
        <w:t xml:space="preserve">eligible. </w:t>
      </w:r>
      <w:r>
        <w:rPr/>
        <w:t>Read script and then continue to question 18.</w:t>
      </w:r>
    </w:p>
    <w:p>
      <w:pPr>
        <w:pStyle w:val="Normal"/>
        <w:rPr/>
      </w:pPr>
      <w:r>
        <w:rPr/>
      </w:r>
    </w:p>
    <w:p>
      <w:pPr>
        <w:pStyle w:val="Roman2A1"/>
        <w:rPr/>
      </w:pPr>
      <w:r>
        <w:rPr/>
        <w:tab/>
        <w:t>19.</w:t>
      </w:r>
      <w:r>
        <w:rPr>
          <w:sz w:val="20"/>
        </w:rPr>
        <w:tab/>
      </w:r>
      <w:r>
        <w:rPr>
          <w:rFonts w:cs="Arial;Arial" w:ascii="Arial;Arial" w:hAnsi="Arial;Arial"/>
          <w:b/>
          <w:bCs/>
          <w:sz w:val="20"/>
        </w:rPr>
        <w:t>“Would you like to participate in the MESA study?”</w:t>
      </w:r>
    </w:p>
    <w:p>
      <w:pPr>
        <w:pStyle w:val="Roman2A1body"/>
        <w:rPr>
          <w:sz w:val="20"/>
        </w:rPr>
      </w:pPr>
      <w:r>
        <w:rPr>
          <w:u w:val="single"/>
        </w:rPr>
        <w:t>If yes, exclaim “great!” one more time</w:t>
      </w:r>
      <w:r>
        <w:rPr/>
        <w:t>.</w:t>
      </w:r>
      <w:r>
        <w:rPr>
          <w:rFonts w:cs="Arial;Arial" w:ascii="Arial;Arial" w:hAnsi="Arial;Arial"/>
          <w:b/>
          <w:bCs/>
          <w:sz w:val="20"/>
        </w:rPr>
        <w:t xml:space="preserve"> “We are excited to include you in this important research. Now, I just need to get some contact information, and then I will schedule your clinic exam(s).”</w:t>
      </w:r>
    </w:p>
    <w:p>
      <w:pPr>
        <w:pStyle w:val="Roman2A1body"/>
        <w:rPr/>
      </w:pPr>
      <w:r>
        <w:rPr>
          <w:u w:val="single"/>
        </w:rPr>
        <w:t>If no, ask</w:t>
      </w:r>
      <w:r>
        <w:rPr/>
        <w:t>,</w:t>
      </w:r>
      <w:r>
        <w:rPr>
          <w:rFonts w:cs="Arial;Arial" w:ascii="Arial;Arial" w:hAnsi="Arial;Arial"/>
          <w:b/>
          <w:bCs/>
          <w:sz w:val="20"/>
        </w:rPr>
        <w:t xml:space="preserve"> “Perhaps you would like to think this over and have me call you back in a day or two?”</w:t>
      </w:r>
    </w:p>
    <w:p>
      <w:pPr>
        <w:pStyle w:val="Normal"/>
        <w:ind w:left="2160" w:hanging="0"/>
        <w:rPr/>
      </w:pPr>
      <w:r>
        <w:rPr>
          <w:u w:val="single"/>
        </w:rPr>
        <w:t>If yes, arrange to call back and then skip to question 23</w:t>
      </w:r>
      <w:r>
        <w:rPr/>
        <w:t>.</w:t>
      </w:r>
    </w:p>
    <w:p>
      <w:pPr>
        <w:pStyle w:val="Normal"/>
        <w:ind w:left="2160" w:hanging="0"/>
        <w:rPr/>
      </w:pPr>
      <w:r>
        <w:rPr>
          <w:u w:val="single"/>
        </w:rPr>
        <w:t>If no, thank respondent for his/her time and skip to question 23</w:t>
      </w:r>
      <w:r>
        <w:rPr/>
        <w:t>.</w:t>
      </w:r>
    </w:p>
    <w:p>
      <w:pPr>
        <w:pStyle w:val="Normal"/>
        <w:ind w:left="2790" w:hanging="2790"/>
        <w:rPr/>
      </w:pPr>
      <w:r>
        <w:rPr/>
      </w:r>
    </w:p>
    <w:p>
      <w:pPr>
        <w:pStyle w:val="Roman2A1"/>
        <w:rPr/>
      </w:pPr>
      <w:r>
        <w:rPr/>
        <w:tab/>
        <w:t>19.</w:t>
        <w:tab/>
      </w:r>
      <w:r>
        <w:rPr>
          <w:rFonts w:cs="Arial;Arial" w:ascii="Arial;Arial" w:hAnsi="Arial;Arial"/>
          <w:b/>
          <w:bCs/>
          <w:sz w:val="20"/>
        </w:rPr>
        <w:t>“Please let me check the spelling of your name.”</w:t>
      </w:r>
      <w:r>
        <w:rPr>
          <w:rFonts w:cs="Arial;Arial" w:ascii="Arial;Arial" w:hAnsi="Arial;Arial"/>
          <w:b/>
          <w:bCs/>
          <w:sz w:val="18"/>
        </w:rPr>
        <w:t xml:space="preserve"> </w:t>
      </w:r>
      <w:r>
        <w:rPr/>
        <w:t xml:space="preserve">Ask respondent to spell out full name and </w:t>
      </w:r>
      <w:r>
        <w:rPr>
          <w:i/>
          <w:iCs/>
        </w:rPr>
        <w:t>record in spaces provided.</w:t>
      </w:r>
    </w:p>
    <w:p>
      <w:pPr>
        <w:pStyle w:val="Roman2A1"/>
        <w:rPr>
          <w:rFonts w:ascii="Arial;Arial" w:hAnsi="Arial;Arial" w:cs="Arial;Arial"/>
          <w:b/>
          <w:b/>
          <w:bCs/>
          <w:sz w:val="18"/>
        </w:rPr>
      </w:pPr>
      <w:r>
        <w:rPr>
          <w:rFonts w:cs="Arial;Arial" w:ascii="Arial;Arial" w:hAnsi="Arial;Arial"/>
          <w:b/>
          <w:bCs/>
          <w:sz w:val="18"/>
        </w:rPr>
        <w:tab/>
      </w:r>
    </w:p>
    <w:p>
      <w:pPr>
        <w:pStyle w:val="Roman2A1"/>
        <w:rPr/>
      </w:pPr>
      <w:r>
        <w:rPr/>
        <w:tab/>
        <w:t>20.</w:t>
        <w:tab/>
      </w:r>
      <w:r>
        <w:rPr>
          <w:rFonts w:cs="Arial;Arial" w:ascii="Arial;Arial" w:hAnsi="Arial;Arial"/>
          <w:b/>
          <w:bCs/>
          <w:sz w:val="20"/>
        </w:rPr>
        <w:t>“What is your street address?”</w:t>
      </w:r>
      <w:r>
        <w:rPr>
          <w:rFonts w:cs="Arial;Arial" w:ascii="Arial;Arial" w:hAnsi="Arial;Arial"/>
          <w:b/>
          <w:bCs/>
          <w:sz w:val="18"/>
        </w:rPr>
        <w:t xml:space="preserve"> </w:t>
      </w:r>
      <w:r>
        <w:rPr/>
        <w:t xml:space="preserve">This is the address to which MESA correspondence will be sent. </w:t>
      </w:r>
      <w:r>
        <w:rPr>
          <w:i/>
          <w:iCs/>
        </w:rPr>
        <w:t>Record address, including apartment or room number, if applicable, and zip code, in spaces provided.</w:t>
      </w:r>
    </w:p>
    <w:p>
      <w:pPr>
        <w:pStyle w:val="Roman2A1"/>
        <w:rPr>
          <w:i/>
          <w:i/>
          <w:iCs/>
        </w:rPr>
      </w:pPr>
      <w:r>
        <w:rPr>
          <w:i/>
          <w:iCs/>
        </w:rPr>
      </w:r>
    </w:p>
    <w:p>
      <w:pPr>
        <w:pStyle w:val="Roman2A1"/>
        <w:rPr/>
      </w:pPr>
      <w:r>
        <w:rPr/>
        <w:tab/>
        <w:t xml:space="preserve">21. </w:t>
      </w:r>
      <w:r>
        <w:rPr>
          <w:sz w:val="20"/>
        </w:rPr>
        <w:tab/>
      </w:r>
      <w:r>
        <w:rPr>
          <w:rFonts w:cs="Arial;Arial" w:ascii="Arial;Arial" w:hAnsi="Arial;Arial"/>
          <w:b/>
          <w:bCs/>
          <w:sz w:val="20"/>
        </w:rPr>
        <w:t>“Would you please verify your home phone number?”</w:t>
      </w:r>
      <w:r>
        <w:rPr>
          <w:rFonts w:cs="Arial;Arial" w:ascii="Arial;Arial" w:hAnsi="Arial;Arial"/>
          <w:b/>
          <w:bCs/>
          <w:sz w:val="18"/>
        </w:rPr>
        <w:t xml:space="preserve"> </w:t>
      </w:r>
      <w:r>
        <w:rPr>
          <w:i/>
          <w:iCs/>
        </w:rPr>
        <w:t>Record home phone number, including area code, in spaces provided.</w:t>
      </w:r>
    </w:p>
    <w:p>
      <w:pPr>
        <w:pStyle w:val="Roman2A1"/>
        <w:rPr/>
      </w:pPr>
      <w:r>
        <w:rPr/>
      </w:r>
    </w:p>
    <w:p>
      <w:pPr>
        <w:pStyle w:val="Roman2A1"/>
        <w:rPr/>
      </w:pPr>
      <w:r>
        <w:rPr/>
        <w:tab/>
        <w:t xml:space="preserve">22. </w:t>
        <w:tab/>
        <w:t>“Are there other phone numbers that I could use to reach you, if necessary, such as a cellular phone or business phone?”</w:t>
      </w:r>
      <w:r>
        <w:rPr>
          <w:sz w:val="18"/>
        </w:rPr>
        <w:t xml:space="preserve"> </w:t>
      </w:r>
      <w:r>
        <w:rPr>
          <w:i/>
          <w:iCs/>
        </w:rPr>
        <w:t>Record alternate phone number(s), including area code, in spaces provided.</w:t>
      </w:r>
    </w:p>
    <w:p>
      <w:pPr>
        <w:pStyle w:val="Roman2A1"/>
        <w:rPr>
          <w:i/>
          <w:i/>
          <w:iCs/>
        </w:rPr>
      </w:pPr>
      <w:r>
        <w:rPr>
          <w:i/>
          <w:iCs/>
        </w:rPr>
      </w:r>
    </w:p>
    <w:p>
      <w:pPr>
        <w:pStyle w:val="Roman2A"/>
        <w:rPr/>
      </w:pPr>
      <w:r>
        <w:rPr>
          <w:b/>
          <w:bCs/>
        </w:rPr>
        <w:tab/>
        <w:t>E.</w:t>
        <w:tab/>
      </w:r>
      <w:r>
        <w:rPr>
          <w:rFonts w:cs="Arial;Arial" w:ascii="Arial;Arial" w:hAnsi="Arial;Arial"/>
          <w:b/>
          <w:bCs/>
          <w:sz w:val="20"/>
        </w:rPr>
        <w:t xml:space="preserve">“Thanks very much for all of this information. It will make it easier for us to get in touch with you in the future. Now we need to schedule your clinic visit….” </w:t>
      </w:r>
      <w:r>
        <w:rPr/>
        <w:t xml:space="preserve">Read remaining script and schedule visit. </w:t>
      </w:r>
      <w:r>
        <w:rPr>
          <w:i/>
          <w:iCs/>
        </w:rPr>
        <w:t xml:space="preserve">Do not, </w:t>
      </w:r>
      <w:r>
        <w:rPr/>
        <w:t xml:space="preserve">however, schedule a clinic visit for an acutely ill (e.g. “flu” or bronchitis) participant. Arrange to contact him/her again to schedule an appointment when he/she has recovered. </w:t>
      </w:r>
      <w:r>
        <w:rPr>
          <w:i/>
          <w:iCs/>
        </w:rPr>
        <w:t>Record date and time of visit in boxes provided.</w:t>
      </w:r>
    </w:p>
    <w:p>
      <w:pPr>
        <w:pStyle w:val="Normal"/>
        <w:rPr>
          <w:i/>
          <w:i/>
          <w:iCs/>
        </w:rPr>
      </w:pPr>
      <w:r>
        <w:rPr>
          <w:i/>
          <w:iCs/>
        </w:rPr>
      </w:r>
    </w:p>
    <w:p>
      <w:pPr>
        <w:pStyle w:val="Roman2A1"/>
        <w:rPr/>
      </w:pPr>
      <w:r>
        <w:rPr/>
        <w:tab/>
        <w:t>23.</w:t>
        <w:tab/>
        <w:t xml:space="preserve">Ask this question only if other age-eligible respondents are listed on the Enumeration Form; otherwise skip to question 24. </w:t>
      </w:r>
      <w:r>
        <w:rPr>
          <w:rFonts w:cs="Arial;Arial" w:ascii="Arial;Arial" w:hAnsi="Arial;Arial"/>
          <w:b/>
          <w:bCs/>
          <w:sz w:val="20"/>
        </w:rPr>
        <w:t>“Do you think that [name of other age-eligible household member] might be interested in participating?”</w:t>
      </w:r>
    </w:p>
    <w:p>
      <w:pPr>
        <w:pStyle w:val="Roman2A1body"/>
        <w:rPr/>
      </w:pPr>
      <w:r>
        <w:rPr>
          <w:u w:val="single"/>
        </w:rPr>
        <w:t>If yes, ask to speak with that person. Continue to question 24</w:t>
      </w:r>
      <w:r>
        <w:rPr/>
        <w:t xml:space="preserve"> for the current respondent and then begin a new Screening/Recruitment Form for the next respondent.</w:t>
      </w:r>
    </w:p>
    <w:p>
      <w:pPr>
        <w:pStyle w:val="Roman2A1body"/>
        <w:rPr/>
      </w:pPr>
      <w:r>
        <w:rPr>
          <w:u w:val="single"/>
        </w:rPr>
        <w:t>If no, conclude the call and continue to question 24</w:t>
      </w:r>
      <w:r>
        <w:rPr/>
        <w:t>.</w:t>
        <w:tab/>
        <w:tab/>
        <w:t xml:space="preserve">  </w:t>
      </w:r>
    </w:p>
    <w:p>
      <w:pPr>
        <w:pStyle w:val="Normal"/>
        <w:rPr/>
      </w:pPr>
      <w:r>
        <w:rPr/>
        <w:t xml:space="preserve">                                    </w:t>
      </w:r>
    </w:p>
    <w:p>
      <w:pPr>
        <w:pStyle w:val="Roman2A1"/>
        <w:rPr/>
      </w:pPr>
      <w:r>
        <w:rPr/>
        <w:tab/>
        <w:t>24.</w:t>
        <w:tab/>
        <w:t xml:space="preserve">Final disposition of interview. </w:t>
      </w:r>
      <w:r>
        <w:rPr>
          <w:u w:val="single"/>
        </w:rPr>
        <w:t>Fill in the appropriate circle</w:t>
      </w:r>
      <w:r>
        <w:rPr/>
        <w:t xml:space="preserve">. </w:t>
      </w:r>
    </w:p>
    <w:p>
      <w:pPr>
        <w:pStyle w:val="Normal"/>
        <w:rPr/>
      </w:pPr>
      <w:r>
        <w:rPr/>
        <w:tab/>
        <w:tab/>
      </w:r>
    </w:p>
    <w:p>
      <w:pPr>
        <w:sectPr>
          <w:headerReference w:type="even" r:id="rId24"/>
          <w:headerReference w:type="default" r:id="rId25"/>
          <w:footerReference w:type="even" r:id="rId26"/>
          <w:footerReference w:type="default" r:id="rId27"/>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i/>
          <w:iCs/>
        </w:rPr>
        <w:t>Record any comments in space provided at the bottom of the form</w:t>
      </w:r>
      <w:r>
        <w:rPr/>
        <w:t xml:space="preserve"> (</w:t>
      </w:r>
      <w:r>
        <w:rPr>
          <w:rFonts w:cs="Arial;Arial" w:ascii="Arial;Arial" w:hAnsi="Arial;Arial"/>
          <w:smallCaps/>
          <w:sz w:val="20"/>
        </w:rPr>
        <w:t>comments</w:t>
      </w:r>
      <w:r>
        <w:rPr/>
        <w:t>).</w:t>
      </w:r>
      <w:r>
        <w:rPr>
          <w:i/>
          <w:iCs/>
        </w:rPr>
        <w:t xml:space="preserve"> Fill in your interviewer or review ID number and record the date the form was completed.</w:t>
      </w:r>
      <w:r>
        <w:rPr/>
        <w:tab/>
        <w:tab/>
      </w:r>
    </w:p>
    <w:p>
      <w:pPr>
        <w:pStyle w:val="Subsubsub"/>
        <w:rPr/>
      </w:pPr>
      <w:bookmarkStart w:id="7" w:name="__RefHeading___Toc503858963"/>
      <w:bookmarkEnd w:id="7"/>
      <w:r>
        <w:rPr/>
        <w:t>2.1.1.2  Household Enumeration</w:t>
      </w:r>
    </w:p>
    <w:p>
      <w:pPr>
        <w:pStyle w:val="Normal"/>
        <w:rPr/>
      </w:pPr>
      <w:r>
        <w:rPr/>
      </w:r>
    </w:p>
    <w:p>
      <w:pPr>
        <w:pStyle w:val="Normal"/>
        <w:rPr/>
      </w:pPr>
      <w:r>
        <w:rPr/>
      </w:r>
    </w:p>
    <w:p>
      <w:pPr>
        <w:pStyle w:val="Romanbold"/>
        <w:rPr/>
      </w:pPr>
      <w:r>
        <w:rPr/>
        <w:tab/>
        <w:t>I.</w:t>
        <w:tab/>
        <w:t>Purpose</w:t>
      </w:r>
    </w:p>
    <w:p>
      <w:pPr>
        <w:pStyle w:val="Normal"/>
        <w:rPr/>
      </w:pPr>
      <w:r>
        <w:rPr/>
      </w:r>
    </w:p>
    <w:p>
      <w:pPr>
        <w:pStyle w:val="Romanbody"/>
        <w:rPr>
          <w:bCs/>
        </w:rPr>
      </w:pPr>
      <w:r>
        <w:rPr/>
        <w:t xml:space="preserve">The purpose of the Household Enumeration is to list all age-eligible household members. </w:t>
      </w:r>
      <w:r>
        <w:rPr>
          <w:i/>
          <w:iCs/>
        </w:rPr>
        <w:t>Complete only one form per household.</w:t>
      </w:r>
      <w:r>
        <w:rPr/>
        <w:t xml:space="preserve">  </w:t>
      </w:r>
    </w:p>
    <w:p>
      <w:pPr>
        <w:pStyle w:val="Romanbody"/>
        <w:rPr/>
      </w:pPr>
      <w:r>
        <w:rPr/>
        <w:t xml:space="preserve"> </w:t>
      </w:r>
    </w:p>
    <w:p>
      <w:pPr>
        <w:pStyle w:val="Romanbold"/>
        <w:rPr/>
      </w:pPr>
      <w:r>
        <w:rPr/>
        <w:tab/>
        <w:t>II.</w:t>
        <w:tab/>
        <w:t>Materials/Equipment</w:t>
      </w:r>
    </w:p>
    <w:p>
      <w:pPr>
        <w:pStyle w:val="Romanbody"/>
        <w:rPr/>
      </w:pPr>
      <w:r>
        <w:rPr/>
      </w:r>
    </w:p>
    <w:p>
      <w:pPr>
        <w:pStyle w:val="Romanbody"/>
        <w:rPr/>
      </w:pPr>
      <w:r>
        <w:rPr/>
        <w:t>No special equipment/materials needed.</w:t>
      </w:r>
    </w:p>
    <w:p>
      <w:pPr>
        <w:pStyle w:val="Normal"/>
        <w:rPr/>
      </w:pPr>
      <w:r>
        <w:rPr/>
      </w:r>
    </w:p>
    <w:p>
      <w:pPr>
        <w:pStyle w:val="Romanbold"/>
        <w:rPr/>
      </w:pPr>
      <w:r>
        <w:rPr/>
        <w:tab/>
        <w:t>III.</w:t>
        <w:tab/>
        <w:t>Definitions</w:t>
      </w:r>
    </w:p>
    <w:p>
      <w:pPr>
        <w:pStyle w:val="Normal"/>
        <w:rPr/>
      </w:pPr>
      <w:r>
        <w:rPr/>
      </w:r>
    </w:p>
    <w:p>
      <w:pPr>
        <w:pStyle w:val="Romanbodybullet"/>
        <w:rPr/>
      </w:pPr>
      <w:r>
        <w:rPr>
          <w:rFonts w:eastAsia="Symbol" w:cs="Symbol" w:ascii="Symbol" w:hAnsi="Symbol"/>
        </w:rPr>
        <w:t></w:t>
      </w:r>
      <w:r>
        <w:rPr/>
        <w:tab/>
        <w:t xml:space="preserve">An </w:t>
      </w:r>
      <w:r>
        <w:rPr>
          <w:u w:val="single"/>
        </w:rPr>
        <w:t>age-eligible</w:t>
      </w:r>
      <w:r>
        <w:rPr/>
        <w:t xml:space="preserve"> person is between 45 and 84 years of age.</w:t>
      </w:r>
    </w:p>
    <w:p>
      <w:pPr>
        <w:pStyle w:val="Romanbodybullet"/>
        <w:rPr/>
      </w:pPr>
      <w:r>
        <w:rPr>
          <w:rFonts w:eastAsia="Symbol" w:cs="Symbol" w:ascii="Symbol" w:hAnsi="Symbol"/>
        </w:rPr>
        <w:t></w:t>
      </w:r>
      <w:r>
        <w:rPr/>
        <w:tab/>
        <w:t xml:space="preserve">A </w:t>
      </w:r>
      <w:r>
        <w:rPr>
          <w:u w:val="single"/>
        </w:rPr>
        <w:t>household member</w:t>
      </w:r>
      <w:r>
        <w:rPr/>
        <w:t xml:space="preserve"> is an age-eligible person who resides in the selected household, regardless of the nature of his/her relationship with other household members.</w:t>
      </w:r>
    </w:p>
    <w:p>
      <w:pPr>
        <w:pStyle w:val="Romanbodybullet"/>
        <w:rPr/>
      </w:pPr>
      <w:r>
        <w:rPr/>
      </w:r>
    </w:p>
    <w:p>
      <w:pPr>
        <w:pStyle w:val="Romanbold"/>
        <w:rPr/>
      </w:pPr>
      <w:r>
        <w:rPr/>
        <w:tab/>
        <w:t>IV.</w:t>
        <w:tab/>
        <w:t>Methods</w:t>
      </w:r>
    </w:p>
    <w:p>
      <w:pPr>
        <w:pStyle w:val="Normal"/>
        <w:rPr/>
      </w:pPr>
      <w:r>
        <w:rPr/>
      </w:r>
    </w:p>
    <w:p>
      <w:pPr>
        <w:pStyle w:val="Romanbody"/>
        <w:rPr/>
      </w:pPr>
      <w:r>
        <w:rPr/>
        <w:t xml:space="preserve">Two questions on the Screening/Recruitment Form (3 and 4)will direct you to the Household Enumeration Form. It is administered </w:t>
      </w:r>
      <w:r>
        <w:rPr>
          <w:i/>
          <w:iCs/>
        </w:rPr>
        <w:t xml:space="preserve">only </w:t>
      </w:r>
      <w:r>
        <w:rPr/>
        <w:t xml:space="preserve">if there is at least one age- </w:t>
      </w:r>
      <w:r>
        <w:rPr>
          <w:i/>
          <w:iCs/>
        </w:rPr>
        <w:t>and</w:t>
      </w:r>
      <w:r>
        <w:rPr/>
        <w:t xml:space="preserve"> language-eligible person in the household. You may administer this form to either of the following individuals:</w:t>
      </w:r>
    </w:p>
    <w:p>
      <w:pPr>
        <w:pStyle w:val="Normal"/>
        <w:rPr/>
      </w:pPr>
      <w:r>
        <w:rPr/>
      </w:r>
    </w:p>
    <w:p>
      <w:pPr>
        <w:pStyle w:val="Romanbodybullet"/>
        <w:rPr/>
      </w:pPr>
      <w:r>
        <w:rPr>
          <w:rFonts w:eastAsia="Symbol" w:cs="Symbol" w:ascii="Symbol" w:hAnsi="Symbol"/>
        </w:rPr>
        <w:t></w:t>
      </w:r>
      <w:r>
        <w:rPr/>
        <w:tab/>
        <w:t xml:space="preserve">The first language- </w:t>
      </w:r>
      <w:r>
        <w:rPr>
          <w:i/>
          <w:iCs/>
        </w:rPr>
        <w:t>and</w:t>
      </w:r>
      <w:r>
        <w:rPr/>
        <w:t xml:space="preserve"> age-eligible respondent in the household; or</w:t>
      </w:r>
    </w:p>
    <w:p>
      <w:pPr>
        <w:pStyle w:val="Romanbodybullet"/>
        <w:rPr/>
      </w:pPr>
      <w:r>
        <w:rPr>
          <w:rFonts w:eastAsia="Symbol" w:cs="Symbol" w:ascii="Symbol" w:hAnsi="Symbol"/>
        </w:rPr>
        <w:t></w:t>
      </w:r>
      <w:r>
        <w:rPr/>
        <w:tab/>
        <w:t xml:space="preserve">A language-eligible but age-ineligible household member, </w:t>
      </w:r>
      <w:r>
        <w:rPr>
          <w:i/>
          <w:iCs/>
        </w:rPr>
        <w:t xml:space="preserve">if the age- and language-eligible household member(s) is (are) currently unavailable.  </w:t>
      </w:r>
    </w:p>
    <w:p>
      <w:pPr>
        <w:pStyle w:val="Normal"/>
        <w:rPr>
          <w:i/>
          <w:i/>
          <w:iCs/>
        </w:rPr>
      </w:pPr>
      <w:r>
        <w:rPr>
          <w:i/>
          <w:iCs/>
        </w:rPr>
      </w:r>
    </w:p>
    <w:p>
      <w:pPr>
        <w:pStyle w:val="Romanbody"/>
        <w:rPr/>
      </w:pPr>
      <w:r>
        <w:rPr/>
        <w:t xml:space="preserve">When you later contact and screen the first age-eligible household member, be sure to check the accuracy of the information given to you by the age-ineligible household member. However, do </w:t>
      </w:r>
      <w:r>
        <w:rPr>
          <w:i/>
          <w:iCs/>
        </w:rPr>
        <w:t xml:space="preserve">not </w:t>
      </w:r>
      <w:r>
        <w:rPr/>
        <w:t>review the Enumeration Form with every age-eligible household member.</w:t>
      </w:r>
    </w:p>
    <w:p>
      <w:pPr>
        <w:pStyle w:val="Normal"/>
        <w:rPr>
          <w:b/>
          <w:b/>
        </w:rPr>
      </w:pPr>
      <w:r>
        <w:rPr>
          <w:b/>
        </w:rPr>
      </w:r>
    </w:p>
    <w:p>
      <w:pPr>
        <w:pStyle w:val="Number1"/>
        <w:rPr/>
      </w:pPr>
      <w:r>
        <w:rPr/>
        <w:tab/>
        <w:t>1.</w:t>
        <w:tab/>
      </w:r>
      <w:r>
        <w:rPr>
          <w:u w:val="single"/>
        </w:rPr>
        <w:t>General Instructions</w:t>
      </w:r>
      <w:r>
        <w:rPr/>
        <w:t xml:space="preserve">  </w:t>
      </w:r>
    </w:p>
    <w:p>
      <w:pPr>
        <w:pStyle w:val="Normal"/>
        <w:rPr>
          <w:b/>
          <w:b/>
        </w:rPr>
      </w:pPr>
      <w:r>
        <w:rPr>
          <w:b/>
        </w:rPr>
      </w:r>
    </w:p>
    <w:p>
      <w:pPr>
        <w:pStyle w:val="Number1body"/>
        <w:rPr/>
      </w:pPr>
      <w:r>
        <w:rPr/>
        <w:t xml:space="preserve">The Household Enumeration Form is printed in English, Spanish and Chinese (Mandarin or Cantonese).  It should be completed using a black ink pen. In order to facilitate scanning, please write legibly and make sure all circles are completely filled in.  </w:t>
      </w:r>
    </w:p>
    <w:p>
      <w:pPr>
        <w:pStyle w:val="Number1"/>
        <w:rPr/>
      </w:pPr>
      <w:r>
        <w:rPr/>
      </w:r>
    </w:p>
    <w:p>
      <w:pPr>
        <w:pStyle w:val="Number1"/>
        <w:rPr/>
      </w:pPr>
      <w:r>
        <w:rPr/>
        <w:tab/>
        <w:t>2.</w:t>
        <w:tab/>
      </w:r>
      <w:r>
        <w:rPr>
          <w:u w:val="single"/>
        </w:rPr>
        <w:t>Specific Instructions</w:t>
      </w:r>
    </w:p>
    <w:p>
      <w:pPr>
        <w:pStyle w:val="Normal"/>
        <w:ind w:left="720" w:hanging="0"/>
        <w:rPr/>
      </w:pPr>
      <w:r>
        <w:rPr/>
      </w:r>
    </w:p>
    <w:p>
      <w:pPr>
        <w:pStyle w:val="Number1body"/>
        <w:rPr>
          <w:b/>
          <w:b/>
          <w:bCs/>
        </w:rPr>
      </w:pPr>
      <w:r>
        <w:rPr>
          <w:b/>
          <w:bCs/>
        </w:rPr>
        <w:t>Header Information.</w:t>
      </w:r>
    </w:p>
    <w:p>
      <w:pPr>
        <w:pStyle w:val="Normal"/>
        <w:ind w:left="806" w:hanging="0"/>
        <w:rPr>
          <w:b/>
          <w:b/>
          <w:bCs/>
        </w:rPr>
      </w:pPr>
      <w:r>
        <w:rPr>
          <w:b/>
          <w:bCs/>
        </w:rPr>
      </w:r>
    </w:p>
    <w:p>
      <w:pPr>
        <w:pStyle w:val="Number1bodybullet"/>
        <w:rPr/>
      </w:pPr>
      <w:r>
        <w:rPr>
          <w:rFonts w:eastAsia="Symbol" w:cs="Symbol" w:ascii="Symbol" w:hAnsi="Symbol"/>
        </w:rPr>
        <w:t></w:t>
      </w:r>
      <w:r>
        <w:rPr/>
        <w:tab/>
        <w:t xml:space="preserve">For </w:t>
      </w:r>
      <w:r>
        <w:rPr>
          <w:b/>
          <w:bCs/>
          <w:i/>
          <w:iCs/>
        </w:rPr>
        <w:t xml:space="preserve">date </w:t>
      </w:r>
      <w:r>
        <w:rPr/>
        <w:t>enter date of the call. For example, July 7, 2000 would be entered 07/07/2000.</w:t>
      </w:r>
    </w:p>
    <w:p>
      <w:pPr>
        <w:pStyle w:val="Number1bodybullet"/>
        <w:rPr/>
      </w:pPr>
      <w:r>
        <w:rPr/>
      </w:r>
    </w:p>
    <w:p>
      <w:pPr>
        <w:pStyle w:val="Number1"/>
        <w:rPr/>
      </w:pPr>
      <w:r>
        <w:rPr/>
        <w:tab/>
        <w:t>3.</w:t>
        <w:tab/>
      </w:r>
      <w:r>
        <w:rPr>
          <w:u w:val="single"/>
        </w:rPr>
        <w:t>Item Instructions</w:t>
      </w:r>
    </w:p>
    <w:p>
      <w:pPr>
        <w:pStyle w:val="Normal"/>
        <w:rPr/>
      </w:pPr>
      <w:r>
        <w:rPr/>
        <w:tab/>
      </w:r>
    </w:p>
    <w:p>
      <w:pPr>
        <w:pStyle w:val="Roman2A1"/>
        <w:rPr/>
      </w:pPr>
      <w:r>
        <w:rPr/>
        <w:tab/>
        <w:t xml:space="preserve">3.1 </w:t>
        <w:tab/>
        <w:t>Names of age-eligible residents.</w:t>
      </w:r>
      <w:r>
        <w:rPr>
          <w:rFonts w:cs="Arial;Arial" w:ascii="Arial;Arial" w:hAnsi="Arial;Arial"/>
          <w:b/>
          <w:bCs/>
          <w:sz w:val="20"/>
        </w:rPr>
        <w:t xml:space="preserve"> “Please give me the names of all those ages 45–84, including yourself, who consider this their permanent residence. Please give me first name, middle initial, and last name.”</w:t>
      </w:r>
      <w:r>
        <w:rPr/>
        <w:t xml:space="preserve"> Ask for spelling, </w:t>
      </w:r>
      <w:r>
        <w:rPr>
          <w:i/>
          <w:iCs/>
        </w:rPr>
        <w:t xml:space="preserve">even for common names. </w:t>
      </w:r>
      <w:r>
        <w:rPr/>
        <w:t>Record the information in the spaces provided.</w:t>
      </w:r>
      <w:r>
        <mc:AlternateContent>
          <mc:Choice Requires="wps">
            <w:drawing>
              <wp:anchor behindDoc="0" distT="0" distB="0" distL="114935" distR="114935" simplePos="0" locked="0" layoutInCell="0" allowOverlap="1" relativeHeight="22">
                <wp:simplePos x="0" y="0"/>
                <wp:positionH relativeFrom="page">
                  <wp:posOffset>1875155</wp:posOffset>
                </wp:positionH>
                <wp:positionV relativeFrom="paragraph">
                  <wp:posOffset>982980</wp:posOffset>
                </wp:positionV>
                <wp:extent cx="4872355" cy="1683385"/>
                <wp:effectExtent l="0" t="0" r="0" b="0"/>
                <wp:wrapTopAndBottom/>
                <wp:docPr id="11" name="Frame4"/>
                <a:graphic xmlns:a="http://schemas.openxmlformats.org/drawingml/2006/main">
                  <a:graphicData uri="http://schemas.microsoft.com/office/word/2010/wordprocessingShape">
                    <wps:wsp>
                      <wps:cNvSpPr txBox="1"/>
                      <wps:spPr>
                        <a:xfrm>
                          <a:off x="0" y="0"/>
                          <a:ext cx="4872355" cy="1683385"/>
                        </a:xfrm>
                        <a:prstGeom prst="rect"/>
                        <a:solidFill>
                          <a:srgbClr val="FFFFFF"/>
                        </a:solidFill>
                        <a:ln w="9525">
                          <a:solidFill>
                            <a:srgbClr val="000000"/>
                          </a:solidFill>
                        </a:ln>
                      </wps:spPr>
                      <wps:txbx>
                        <w:txbxContent>
                          <w:p>
                            <w:pPr>
                              <w:pStyle w:val="Normal"/>
                              <w:rPr/>
                            </w:pPr>
                            <w:r>
                              <w:rPr/>
                              <w:t>Questions people might ask about why you want the names and personal information of people living in their house, and a sample response:</w:t>
                            </w:r>
                          </w:p>
                          <w:p>
                            <w:pPr>
                              <w:pStyle w:val="Normal"/>
                              <w:ind w:left="4320" w:hanging="3600"/>
                              <w:jc w:val="center"/>
                              <w:rPr>
                                <w:b/>
                                <w:b/>
                                <w:u w:val="single"/>
                              </w:rPr>
                            </w:pPr>
                            <w:r>
                              <w:rPr>
                                <w:b/>
                                <w:u w:val="single"/>
                              </w:rPr>
                            </w:r>
                          </w:p>
                          <w:p>
                            <w:pPr>
                              <w:pStyle w:val="Normal"/>
                              <w:tabs>
                                <w:tab w:val="clear" w:pos="720"/>
                                <w:tab w:val="right" w:pos="360" w:leader="none"/>
                              </w:tabs>
                              <w:ind w:left="450" w:hanging="450"/>
                              <w:rPr/>
                            </w:pPr>
                            <w:r>
                              <w:rPr>
                                <w:i/>
                              </w:rPr>
                              <w:tab/>
                            </w:r>
                            <w:r>
                              <w:rPr>
                                <w:rFonts w:eastAsia="Symbol" w:cs="Symbol" w:ascii="Symbol" w:hAnsi="Symbol"/>
                                <w:i/>
                              </w:rPr>
                              <w:t></w:t>
                            </w:r>
                            <w:r>
                              <w:rPr>
                                <w:i/>
                              </w:rPr>
                              <w:tab/>
                              <w:t>Why do you need the names of the people in my family?</w:t>
                            </w:r>
                          </w:p>
                          <w:p>
                            <w:pPr>
                              <w:pStyle w:val="Normal"/>
                              <w:ind w:left="4320" w:hanging="3600"/>
                              <w:rPr>
                                <w:i/>
                                <w:i/>
                              </w:rPr>
                            </w:pPr>
                            <w:r>
                              <w:rPr>
                                <w:i/>
                              </w:rPr>
                            </w:r>
                          </w:p>
                          <w:p>
                            <w:pPr>
                              <w:pStyle w:val="Normal"/>
                              <w:ind w:left="450" w:hanging="0"/>
                              <w:rPr/>
                            </w:pPr>
                            <w:r>
                              <w:rPr>
                                <w:rFonts w:cs="Arial;Arial" w:ascii="Arial;Arial" w:hAnsi="Arial;Arial"/>
                                <w:b/>
                                <w:bCs/>
                                <w:sz w:val="18"/>
                              </w:rPr>
                              <w:t>“</w:t>
                            </w:r>
                            <w:r>
                              <w:rPr>
                                <w:rFonts w:cs="Arial;Arial" w:ascii="Arial;Arial" w:hAnsi="Arial;Arial"/>
                                <w:b/>
                                <w:bCs/>
                                <w:sz w:val="18"/>
                              </w:rPr>
                              <w:t>We are trying to find out how many people in your community are between ages 45 and 84. This is the age range of study participants. We will then see who among them might be interested in participating in this study.”</w:t>
                            </w:r>
                          </w:p>
                          <w:p>
                            <w:pPr>
                              <w:pStyle w:val="Normal"/>
                              <w:tabs>
                                <w:tab w:val="clear" w:pos="720"/>
                                <w:tab w:val="right" w:pos="360" w:leader="none"/>
                              </w:tabs>
                              <w:ind w:left="450" w:hanging="0"/>
                              <w:rPr>
                                <w:rFonts w:ascii="Arial;Arial" w:hAnsi="Arial;Arial" w:cs="Arial;Arial"/>
                                <w:b/>
                                <w:b/>
                                <w:bCs/>
                                <w:sz w:val="18"/>
                              </w:rPr>
                            </w:pPr>
                            <w:r>
                              <w:rPr>
                                <w:rFonts w:cs="Arial;Arial" w:ascii="Arial;Arial" w:hAnsi="Arial;Arial"/>
                                <w:b/>
                                <w:bCs/>
                                <w:sz w:val="18"/>
                              </w:rPr>
                            </w:r>
                          </w:p>
                        </w:txbxContent>
                      </wps:txbx>
                      <wps:bodyPr anchor="t" lIns="91440" tIns="45720" rIns="91440" bIns="45720">
                        <a:noAutofit/>
                      </wps:bodyPr>
                    </wps:wsp>
                  </a:graphicData>
                </a:graphic>
              </wp:anchor>
            </w:drawing>
          </mc:Choice>
          <mc:Fallback>
            <w:pict>
              <v:rect fillcolor="#FFFFFF" strokecolor="#000000" strokeweight="0pt" style="position:absolute;rotation:-0;width:383.65pt;height:132.55pt;mso-wrap-distance-left:9.05pt;mso-wrap-distance-right:9.05pt;mso-wrap-distance-top:0pt;mso-wrap-distance-bottom:0pt;margin-top:77.4pt;mso-position-vertical-relative:text;margin-left:147.65pt;mso-position-horizontal-relative:page">
                <v:textbox>
                  <w:txbxContent>
                    <w:p>
                      <w:pPr>
                        <w:pStyle w:val="Normal"/>
                        <w:rPr/>
                      </w:pPr>
                      <w:r>
                        <w:rPr/>
                        <w:t>Questions people might ask about why you want the names and personal information of people living in their house, and a sample response:</w:t>
                      </w:r>
                    </w:p>
                    <w:p>
                      <w:pPr>
                        <w:pStyle w:val="Normal"/>
                        <w:ind w:left="4320" w:hanging="3600"/>
                        <w:jc w:val="center"/>
                        <w:rPr>
                          <w:b/>
                          <w:b/>
                          <w:u w:val="single"/>
                        </w:rPr>
                      </w:pPr>
                      <w:r>
                        <w:rPr>
                          <w:b/>
                          <w:u w:val="single"/>
                        </w:rPr>
                      </w:r>
                    </w:p>
                    <w:p>
                      <w:pPr>
                        <w:pStyle w:val="Normal"/>
                        <w:tabs>
                          <w:tab w:val="clear" w:pos="720"/>
                          <w:tab w:val="right" w:pos="360" w:leader="none"/>
                        </w:tabs>
                        <w:ind w:left="450" w:hanging="450"/>
                        <w:rPr/>
                      </w:pPr>
                      <w:r>
                        <w:rPr>
                          <w:i/>
                        </w:rPr>
                        <w:tab/>
                      </w:r>
                      <w:r>
                        <w:rPr>
                          <w:rFonts w:eastAsia="Symbol" w:cs="Symbol" w:ascii="Symbol" w:hAnsi="Symbol"/>
                          <w:i/>
                        </w:rPr>
                        <w:t></w:t>
                      </w:r>
                      <w:r>
                        <w:rPr>
                          <w:i/>
                        </w:rPr>
                        <w:tab/>
                        <w:t>Why do you need the names of the people in my family?</w:t>
                      </w:r>
                    </w:p>
                    <w:p>
                      <w:pPr>
                        <w:pStyle w:val="Normal"/>
                        <w:ind w:left="4320" w:hanging="3600"/>
                        <w:rPr>
                          <w:i/>
                          <w:i/>
                        </w:rPr>
                      </w:pPr>
                      <w:r>
                        <w:rPr>
                          <w:i/>
                        </w:rPr>
                      </w:r>
                    </w:p>
                    <w:p>
                      <w:pPr>
                        <w:pStyle w:val="Normal"/>
                        <w:ind w:left="450" w:hanging="0"/>
                        <w:rPr/>
                      </w:pPr>
                      <w:r>
                        <w:rPr>
                          <w:rFonts w:cs="Arial;Arial" w:ascii="Arial;Arial" w:hAnsi="Arial;Arial"/>
                          <w:b/>
                          <w:bCs/>
                          <w:sz w:val="18"/>
                        </w:rPr>
                        <w:t>“</w:t>
                      </w:r>
                      <w:r>
                        <w:rPr>
                          <w:rFonts w:cs="Arial;Arial" w:ascii="Arial;Arial" w:hAnsi="Arial;Arial"/>
                          <w:b/>
                          <w:bCs/>
                          <w:sz w:val="18"/>
                        </w:rPr>
                        <w:t>We are trying to find out how many people in your community are between ages 45 and 84. This is the age range of study participants. We will then see who among them might be interested in participating in this study.”</w:t>
                      </w:r>
                    </w:p>
                    <w:p>
                      <w:pPr>
                        <w:pStyle w:val="Normal"/>
                        <w:tabs>
                          <w:tab w:val="clear" w:pos="720"/>
                          <w:tab w:val="right" w:pos="360" w:leader="none"/>
                        </w:tabs>
                        <w:ind w:left="450" w:hanging="0"/>
                        <w:rPr>
                          <w:rFonts w:ascii="Arial;Arial" w:hAnsi="Arial;Arial" w:cs="Arial;Arial"/>
                          <w:b/>
                          <w:b/>
                          <w:bCs/>
                          <w:sz w:val="18"/>
                        </w:rPr>
                      </w:pPr>
                      <w:r>
                        <w:rPr>
                          <w:rFonts w:cs="Arial;Arial" w:ascii="Arial;Arial" w:hAnsi="Arial;Arial"/>
                          <w:b/>
                          <w:bCs/>
                          <w:sz w:val="18"/>
                        </w:rPr>
                      </w:r>
                    </w:p>
                  </w:txbxContent>
                </v:textbox>
                <w10:wrap type="topAndBottom"/>
              </v:rect>
            </w:pict>
          </mc:Fallback>
        </mc:AlternateContent>
      </w:r>
    </w:p>
    <w:p>
      <w:pPr>
        <w:pStyle w:val="Roman2A1"/>
        <w:rPr/>
      </w:pPr>
      <w:r>
        <w:rPr/>
      </w:r>
    </w:p>
    <w:p>
      <w:pPr>
        <w:pStyle w:val="Roman2A1"/>
        <w:rPr/>
      </w:pPr>
      <w:r>
        <w:rPr/>
        <w:tab/>
        <w:t>3.2</w:t>
        <w:tab/>
        <w:t>Record gender of the respondent and of each other age-eligible resident.</w:t>
      </w:r>
    </w:p>
    <w:p>
      <w:pPr>
        <w:pStyle w:val="Roman2A1"/>
        <w:rPr/>
      </w:pPr>
      <w:r>
        <w:rPr/>
      </w:r>
    </w:p>
    <w:p>
      <w:pPr>
        <w:pStyle w:val="Roman2A1"/>
        <w:rPr/>
      </w:pPr>
      <w:r>
        <w:rPr/>
        <w:t xml:space="preserve"> </w:t>
      </w:r>
      <w:r>
        <w:rPr/>
        <w:tab/>
        <w:t>3.3</w:t>
        <w:tab/>
        <w:t xml:space="preserve">Record age of the respondent and of each other age-eligible resident. </w:t>
      </w:r>
      <w:r>
        <w:rPr>
          <w:u w:val="single"/>
        </w:rPr>
        <w:t xml:space="preserve">If the stated age is not between 45 and 84, the resident is </w:t>
      </w:r>
      <w:r>
        <w:rPr>
          <w:smallCaps/>
          <w:u w:val="single"/>
        </w:rPr>
        <w:t>ineligible</w:t>
      </w:r>
      <w:r>
        <w:rPr>
          <w:smallCaps/>
        </w:rPr>
        <w:t xml:space="preserve">. </w:t>
      </w:r>
      <w:r>
        <w:rPr/>
        <w:t>(A respondent who is 44 may be recruited, if not part of an over-sampled group, after he/she turns 45.) Record the information but do not administer the screening questionnaire to that person.</w:t>
      </w:r>
    </w:p>
    <w:p>
      <w:pPr>
        <w:pStyle w:val="Roman2A1"/>
        <w:rPr/>
      </w:pPr>
      <w:r>
        <w:rPr/>
      </w:r>
    </w:p>
    <w:p>
      <w:pPr>
        <w:pStyle w:val="Roman2A1"/>
        <w:rPr/>
      </w:pPr>
      <w:r>
        <w:rPr/>
        <w:t xml:space="preserve"> </w:t>
      </w:r>
      <w:r>
        <w:rPr/>
        <w:tab/>
        <w:t>3.4</w:t>
        <w:tab/>
        <w:t xml:space="preserve">Record the relationship to the respondent of each resident, using the relation codes in the box. Fill in the boxes </w:t>
      </w:r>
      <w:r>
        <w:rPr>
          <w:i/>
          <w:iCs/>
        </w:rPr>
        <w:t>from left to right.</w:t>
      </w:r>
      <w:r>
        <w:rPr/>
        <w:t xml:space="preserve"> The respondent’s relationship is recorded as </w:t>
      </w:r>
      <w:r>
        <w:rPr>
          <w:smallCaps/>
        </w:rPr>
        <w:t>self</w:t>
      </w:r>
      <w:r>
        <w:rPr/>
        <w:t xml:space="preserve">.  A relative not otherwise specified should be recorded as </w:t>
      </w:r>
      <w:r>
        <w:rPr>
          <w:smallCaps/>
        </w:rPr>
        <w:t>or</w:t>
      </w:r>
      <w:r>
        <w:rPr/>
        <w:t xml:space="preserve"> (other relative); a non-relative should be recorded</w:t>
      </w:r>
      <w:r>
        <w:rPr>
          <w:smallCaps/>
        </w:rPr>
        <w:t xml:space="preserve"> o</w:t>
      </w:r>
      <w:r>
        <w:rPr/>
        <w:t xml:space="preserve"> (other).</w:t>
      </w:r>
    </w:p>
    <w:p>
      <w:pPr>
        <w:pStyle w:val="Roman2A1"/>
        <w:rPr/>
      </w:pPr>
      <w:r>
        <w:rPr/>
      </w:r>
    </w:p>
    <w:p>
      <w:pPr>
        <w:sectPr>
          <w:headerReference w:type="even" r:id="rId28"/>
          <w:headerReference w:type="default" r:id="rId29"/>
          <w:footerReference w:type="even" r:id="rId30"/>
          <w:footerReference w:type="default" r:id="rId31"/>
          <w:type w:val="oddPage"/>
          <w:pgSz w:w="12240" w:h="15840"/>
          <w:pgMar w:left="2880" w:right="1080" w:gutter="0" w:header="720" w:top="1440" w:footer="720" w:bottom="1440"/>
          <w:pgNumType w:fmt="decimal"/>
          <w:formProt w:val="false"/>
          <w:textDirection w:val="lrTb"/>
          <w:docGrid w:type="default" w:linePitch="360" w:charSpace="0"/>
        </w:sectPr>
        <w:pStyle w:val="Roman2A1"/>
        <w:rPr/>
      </w:pPr>
      <w:r>
        <w:rPr/>
        <w:tab/>
        <w:t>3.5</w:t>
        <w:tab/>
        <w:t>Record pertinent comments, explanations, etc., on the lines at the bottom of the form.</w:t>
      </w:r>
    </w:p>
    <w:p>
      <w:pPr>
        <w:pStyle w:val="Subsubsub"/>
        <w:rPr/>
      </w:pPr>
      <w:bookmarkStart w:id="8" w:name="__RefHeading___Toc503858964"/>
      <w:bookmarkEnd w:id="8"/>
      <w:r>
        <w:rPr/>
        <w:t>2.1.1.3  Non-Participant/Ineligible</w:t>
      </w:r>
    </w:p>
    <w:p>
      <w:pPr>
        <w:pStyle w:val="Normal"/>
        <w:tabs>
          <w:tab w:val="clear" w:pos="720"/>
          <w:tab w:val="left" w:pos="1800" w:leader="none"/>
          <w:tab w:val="left" w:pos="3780" w:leader="none"/>
        </w:tabs>
        <w:ind w:left="720" w:hanging="720"/>
        <w:jc w:val="center"/>
        <w:rPr/>
      </w:pPr>
      <w:r>
        <w:rPr/>
      </w:r>
    </w:p>
    <w:p>
      <w:pPr>
        <w:pStyle w:val="Romanbold"/>
        <w:rPr/>
      </w:pPr>
      <w:r>
        <w:rPr/>
      </w:r>
    </w:p>
    <w:p>
      <w:pPr>
        <w:pStyle w:val="Romanbold"/>
        <w:rPr/>
      </w:pPr>
      <w:r>
        <w:rPr/>
        <w:tab/>
        <w:t>I.</w:t>
        <w:tab/>
        <w:t>Purpose</w:t>
      </w:r>
    </w:p>
    <w:p>
      <w:pPr>
        <w:pStyle w:val="Romanbold"/>
        <w:rPr/>
      </w:pPr>
      <w:r>
        <w:rPr/>
      </w:r>
    </w:p>
    <w:p>
      <w:pPr>
        <w:pStyle w:val="Romanbody"/>
        <w:rPr/>
      </w:pPr>
      <w:r>
        <w:rPr/>
        <w:t xml:space="preserve">The purpose of the Non-Participant/Ineligible Form is to gather information on persons who are either ineligible to participate or refused participation in MESA. </w:t>
      </w:r>
    </w:p>
    <w:p>
      <w:pPr>
        <w:pStyle w:val="Romanbold"/>
        <w:rPr/>
      </w:pPr>
      <w:r>
        <w:rPr/>
      </w:r>
    </w:p>
    <w:p>
      <w:pPr>
        <w:pStyle w:val="Romanbold"/>
        <w:rPr/>
      </w:pPr>
      <w:r>
        <w:rPr/>
        <w:tab/>
        <w:t>II.</w:t>
        <w:tab/>
        <w:t>Materials/Equipment</w:t>
      </w:r>
    </w:p>
    <w:p>
      <w:pPr>
        <w:pStyle w:val="Romanbold"/>
        <w:rPr/>
      </w:pPr>
      <w:r>
        <w:rPr/>
      </w:r>
    </w:p>
    <w:p>
      <w:pPr>
        <w:pStyle w:val="Romanbody"/>
        <w:rPr/>
      </w:pPr>
      <w:r>
        <w:rPr/>
        <w:t>No special equipment/materials needed.</w:t>
      </w:r>
    </w:p>
    <w:p>
      <w:pPr>
        <w:pStyle w:val="Romanbold"/>
        <w:rPr/>
      </w:pPr>
      <w:r>
        <w:rPr/>
      </w:r>
    </w:p>
    <w:p>
      <w:pPr>
        <w:pStyle w:val="Romanbold"/>
        <w:rPr/>
      </w:pPr>
      <w:r>
        <w:rPr/>
        <w:tab/>
        <w:t>III.</w:t>
        <w:tab/>
        <w:t>Definitions</w:t>
      </w:r>
    </w:p>
    <w:p>
      <w:pPr>
        <w:pStyle w:val="Romanbold"/>
        <w:rPr/>
      </w:pPr>
      <w:r>
        <w:rPr/>
      </w:r>
    </w:p>
    <w:p>
      <w:pPr>
        <w:pStyle w:val="Romanbody"/>
        <w:rPr/>
      </w:pPr>
      <w:r>
        <w:rPr/>
        <w:t>None.</w:t>
      </w:r>
    </w:p>
    <w:p>
      <w:pPr>
        <w:pStyle w:val="Romanbody"/>
        <w:rPr/>
      </w:pPr>
      <w:r>
        <w:rPr/>
      </w:r>
    </w:p>
    <w:p>
      <w:pPr>
        <w:pStyle w:val="Romanbold"/>
        <w:rPr/>
      </w:pPr>
      <w:r>
        <w:rPr/>
        <w:tab/>
        <w:t>IV.</w:t>
        <w:tab/>
        <w:t>Methods</w:t>
      </w:r>
    </w:p>
    <w:p>
      <w:pPr>
        <w:pStyle w:val="Normal"/>
        <w:rPr>
          <w:b/>
          <w:b/>
        </w:rPr>
      </w:pPr>
      <w:r>
        <w:rPr>
          <w:b/>
        </w:rPr>
      </w:r>
    </w:p>
    <w:p>
      <w:pPr>
        <w:pStyle w:val="Number1"/>
        <w:rPr/>
      </w:pPr>
      <w:r>
        <w:rPr/>
        <w:tab/>
        <w:t>1.</w:t>
        <w:tab/>
      </w:r>
      <w:r>
        <w:rPr>
          <w:u w:val="single"/>
        </w:rPr>
        <w:t>General instructions</w:t>
      </w:r>
      <w:r>
        <w:rPr/>
        <w:t xml:space="preserve">  </w:t>
      </w:r>
    </w:p>
    <w:p>
      <w:pPr>
        <w:pStyle w:val="Number1body"/>
        <w:rPr/>
      </w:pPr>
      <w:r>
        <w:rPr/>
      </w:r>
    </w:p>
    <w:p>
      <w:pPr>
        <w:pStyle w:val="Number1body"/>
        <w:rPr/>
      </w:pPr>
      <w:r>
        <w:rPr/>
        <w:t>The Non-Participant/Ineligible Form is printed in English, Spanish and Chinese (Mandarin or Cantonese). Complete this form using a black ink pen. In order to facilitate scanning, please write legibly and make sure all circles are completely filled in. Do not repeat a question that was previously asked on the Recruitment/Screening Form.</w:t>
      </w:r>
    </w:p>
    <w:p>
      <w:pPr>
        <w:pStyle w:val="Number1body"/>
        <w:rPr/>
      </w:pPr>
      <w:r>
        <w:rPr/>
      </w:r>
    </w:p>
    <w:p>
      <w:pPr>
        <w:pStyle w:val="Number1"/>
        <w:rPr/>
      </w:pPr>
      <w:r>
        <w:rPr/>
        <w:tab/>
        <w:t>2.</w:t>
        <w:tab/>
      </w:r>
      <w:r>
        <w:rPr>
          <w:u w:val="single"/>
        </w:rPr>
        <w:t>Specific instructions</w:t>
      </w:r>
    </w:p>
    <w:p>
      <w:pPr>
        <w:pStyle w:val="Normal"/>
        <w:rPr/>
      </w:pPr>
      <w:r>
        <w:rPr/>
      </w:r>
    </w:p>
    <w:p>
      <w:pPr>
        <w:pStyle w:val="Number1body"/>
        <w:rPr>
          <w:b/>
          <w:b/>
          <w:bCs/>
        </w:rPr>
      </w:pPr>
      <w:r>
        <w:rPr>
          <w:b/>
          <w:bCs/>
        </w:rPr>
        <w:t>Header Information</w:t>
      </w:r>
    </w:p>
    <w:p>
      <w:pPr>
        <w:pStyle w:val="Normal"/>
        <w:rPr>
          <w:b/>
          <w:b/>
          <w:bCs/>
        </w:rPr>
      </w:pPr>
      <w:r>
        <w:rPr>
          <w:b/>
          <w:bCs/>
        </w:rPr>
      </w:r>
    </w:p>
    <w:p>
      <w:pPr>
        <w:pStyle w:val="Number1bodybullet"/>
        <w:rPr/>
      </w:pPr>
      <w:r>
        <w:rPr>
          <w:rFonts w:eastAsia="Symbol" w:cs="Symbol" w:ascii="Symbol" w:hAnsi="Symbol"/>
        </w:rPr>
        <w:t></w:t>
      </w:r>
      <w:r>
        <w:rPr/>
        <w:tab/>
        <w:t xml:space="preserve">For </w:t>
      </w:r>
      <w:r>
        <w:rPr>
          <w:b/>
          <w:i/>
          <w:iCs/>
        </w:rPr>
        <w:t xml:space="preserve">date </w:t>
      </w:r>
      <w:r>
        <w:rPr/>
        <w:t>enter date of the call. For example, July 7, 2000 would be entered 07/07/2000.</w:t>
      </w:r>
    </w:p>
    <w:p>
      <w:pPr>
        <w:pStyle w:val="Number1bodybullet"/>
        <w:rPr/>
      </w:pPr>
      <w:r>
        <w:rPr>
          <w:rFonts w:eastAsia="Symbol" w:cs="Symbol" w:ascii="Symbol" w:hAnsi="Symbol"/>
        </w:rPr>
        <w:t></w:t>
      </w:r>
      <w:r>
        <w:rPr/>
        <w:tab/>
        <w:t xml:space="preserve">For </w:t>
      </w:r>
      <w:r>
        <w:rPr>
          <w:b/>
          <w:i/>
          <w:iCs/>
        </w:rPr>
        <w:t>Recruitment ID #</w:t>
      </w:r>
      <w:r>
        <w:rPr>
          <w:i/>
          <w:iCs/>
        </w:rPr>
        <w:t xml:space="preserve"> </w:t>
      </w:r>
      <w:r>
        <w:rPr/>
        <w:t>enter recruitment ID number.</w:t>
      </w:r>
    </w:p>
    <w:p>
      <w:pPr>
        <w:pStyle w:val="Number1bodybullet"/>
        <w:rPr/>
      </w:pPr>
      <w:r>
        <w:rPr/>
      </w:r>
    </w:p>
    <w:p>
      <w:pPr>
        <w:pStyle w:val="Number1"/>
        <w:rPr/>
      </w:pPr>
      <w:r>
        <w:rPr/>
        <w:tab/>
        <w:t>3.</w:t>
        <w:tab/>
      </w:r>
      <w:r>
        <w:rPr>
          <w:u w:val="single"/>
        </w:rPr>
        <w:t>Item Instructions</w:t>
      </w:r>
      <w:r>
        <w:rPr/>
        <w:t xml:space="preserve">. </w:t>
      </w:r>
      <w:r>
        <w:rPr>
          <w:i/>
          <w:iCs/>
        </w:rPr>
        <w:t>Do not repeat a previously asked question.</w:t>
      </w:r>
    </w:p>
    <w:p>
      <w:pPr>
        <w:pStyle w:val="Normal"/>
        <w:ind w:left="3600" w:hanging="2880"/>
        <w:rPr/>
      </w:pPr>
      <w:r>
        <w:rPr/>
      </w:r>
    </w:p>
    <w:p>
      <w:pPr>
        <w:pStyle w:val="Roman2A1"/>
        <w:rPr/>
      </w:pPr>
      <w:r>
        <w:rPr/>
        <w:t xml:space="preserve"> </w:t>
      </w:r>
      <w:r>
        <w:rPr/>
        <w:tab/>
        <w:t>3.1</w:t>
        <w:tab/>
      </w:r>
      <w:r>
        <w:rPr>
          <w:rFonts w:cs="Arial;Arial" w:ascii="Arial;Arial" w:hAnsi="Arial;Arial"/>
          <w:b/>
          <w:bCs/>
          <w:sz w:val="20"/>
        </w:rPr>
        <w:t>“Would you say, in general, your health is…”</w:t>
      </w:r>
      <w:r>
        <w:rPr/>
        <w:t xml:space="preserve"> Read the list and fill in the appropriate circle.</w:t>
      </w:r>
    </w:p>
    <w:p>
      <w:pPr>
        <w:pStyle w:val="Roman2A1"/>
        <w:rPr/>
      </w:pPr>
      <w:r>
        <w:rPr/>
      </w:r>
    </w:p>
    <w:p>
      <w:pPr>
        <w:pStyle w:val="Roman2A1"/>
        <w:rPr/>
      </w:pPr>
      <w:r>
        <w:rPr/>
        <w:t xml:space="preserve"> </w:t>
      </w:r>
      <w:r>
        <w:rPr/>
        <w:tab/>
        <w:t>3.2</w:t>
        <w:tab/>
      </w:r>
      <w:r>
        <w:rPr>
          <w:rFonts w:cs="Arial;Arial" w:ascii="Arial;Arial" w:hAnsi="Arial;Arial"/>
          <w:b/>
          <w:bCs/>
          <w:sz w:val="20"/>
        </w:rPr>
        <w:t>“How tall are you?”</w:t>
      </w:r>
      <w:r>
        <w:rPr>
          <w:sz w:val="18"/>
        </w:rPr>
        <w:t xml:space="preserve"> </w:t>
      </w:r>
      <w:r>
        <w:rPr/>
        <w:t xml:space="preserve"> </w:t>
      </w:r>
      <w:r>
        <w:rPr>
          <w:i/>
          <w:iCs/>
        </w:rPr>
        <w:t>Record height in feet and inches.</w:t>
      </w:r>
    </w:p>
    <w:p>
      <w:pPr>
        <w:pStyle w:val="Roman2A1"/>
        <w:rPr/>
      </w:pPr>
      <w:r>
        <w:rPr/>
        <w:t xml:space="preserve"> </w:t>
      </w:r>
    </w:p>
    <w:p>
      <w:pPr>
        <w:pStyle w:val="Roman2A1"/>
        <w:rPr/>
      </w:pPr>
      <w:r>
        <w:rPr/>
        <w:tab/>
        <w:t>3.3</w:t>
        <w:tab/>
      </w:r>
      <w:r>
        <w:rPr>
          <w:rFonts w:cs="Arial;Arial" w:ascii="Arial;Arial" w:hAnsi="Arial;Arial"/>
          <w:b/>
          <w:bCs/>
          <w:sz w:val="20"/>
        </w:rPr>
        <w:t>“How much do you weigh?”</w:t>
      </w:r>
      <w:r>
        <w:rPr/>
        <w:t xml:space="preserve"> </w:t>
      </w:r>
      <w:r>
        <w:rPr>
          <w:i/>
          <w:iCs/>
        </w:rPr>
        <w:t>Record weight in pounds.</w:t>
      </w:r>
    </w:p>
    <w:p>
      <w:pPr>
        <w:pStyle w:val="Roman2A1"/>
        <w:rPr/>
      </w:pPr>
      <w:r>
        <w:rPr/>
        <w:t xml:space="preserve"> </w:t>
      </w:r>
    </w:p>
    <w:p>
      <w:pPr>
        <w:pStyle w:val="Roman2A1"/>
        <w:rPr/>
      </w:pPr>
      <w:r>
        <w:rPr/>
        <w:tab/>
        <w:t xml:space="preserve">3.4 </w:t>
        <w:tab/>
      </w:r>
      <w:r>
        <w:rPr>
          <w:rFonts w:cs="Arial;Arial" w:ascii="Arial;Arial" w:hAnsi="Arial;Arial"/>
          <w:b/>
          <w:bCs/>
          <w:sz w:val="20"/>
        </w:rPr>
        <w:t>“Are you Spanish, Hispanic, or Latino?”</w:t>
      </w:r>
    </w:p>
    <w:p>
      <w:pPr>
        <w:pStyle w:val="Roman2A1"/>
        <w:rPr/>
      </w:pPr>
      <w:r>
        <w:rPr/>
        <w:tab/>
        <w:tab/>
      </w:r>
      <w:r>
        <w:rPr>
          <w:u w:val="single"/>
        </w:rPr>
        <w:t>If no, continue to question 5</w:t>
      </w:r>
      <w:r>
        <w:rPr/>
        <w:t>.</w:t>
      </w:r>
    </w:p>
    <w:p>
      <w:pPr>
        <w:pStyle w:val="Roman2A1"/>
        <w:rPr/>
      </w:pPr>
      <w:r>
        <w:rPr/>
        <w:tab/>
        <w:tab/>
      </w:r>
      <w:r>
        <w:rPr>
          <w:u w:val="single"/>
        </w:rPr>
        <w:t>If yes, ask</w:t>
      </w:r>
      <w:r>
        <w:rPr/>
        <w:t xml:space="preserve">, </w:t>
      </w:r>
      <w:r>
        <w:rPr>
          <w:rFonts w:cs="Arial;Arial" w:ascii="Arial;Arial" w:hAnsi="Arial;Arial"/>
          <w:b/>
          <w:bCs/>
          <w:sz w:val="20"/>
        </w:rPr>
        <w:t>“Which of the following best describes you?”</w:t>
      </w:r>
      <w:r>
        <w:rPr>
          <w:b/>
          <w:bCs/>
        </w:rPr>
        <w:t xml:space="preserve"> </w:t>
      </w:r>
      <w:r>
        <w:rPr/>
        <w:t>Read the list, fill in the appropriate circle, and continue to question 5.</w:t>
      </w:r>
    </w:p>
    <w:p>
      <w:pPr>
        <w:pStyle w:val="Roman2A1"/>
        <w:rPr/>
      </w:pPr>
      <w:r>
        <w:rPr/>
        <w:tab/>
        <w:tab/>
      </w:r>
    </w:p>
    <w:p>
      <w:pPr>
        <w:pStyle w:val="Roman2A1"/>
        <w:rPr/>
      </w:pPr>
      <w:r>
        <w:rPr/>
        <w:tab/>
        <w:t>3.5</w:t>
        <w:tab/>
      </w:r>
      <w:r>
        <w:rPr>
          <w:rFonts w:cs="Arial;Arial" w:ascii="Arial;Arial" w:hAnsi="Arial;Arial"/>
          <w:b/>
          <w:bCs/>
          <w:sz w:val="20"/>
        </w:rPr>
        <w:t>“Which of the following best describes you?”</w:t>
      </w:r>
      <w:r>
        <w:rPr>
          <w:b/>
          <w:bCs/>
        </w:rPr>
        <w:t xml:space="preserve"> </w:t>
      </w:r>
      <w:r>
        <w:rPr/>
        <w:t xml:space="preserve">Respondent may select more than one. Read the list, fill in the appropriate circle (s), and then continue to question 6. </w:t>
      </w:r>
    </w:p>
    <w:p>
      <w:pPr>
        <w:pStyle w:val="Roman2A1"/>
        <w:rPr/>
      </w:pPr>
      <w:r>
        <w:rPr/>
      </w:r>
    </w:p>
    <w:p>
      <w:pPr>
        <w:pStyle w:val="Roman2A1"/>
        <w:rPr/>
      </w:pPr>
      <w:r>
        <w:rPr/>
        <w:t xml:space="preserve"> </w:t>
      </w:r>
      <w:r>
        <w:rPr/>
        <w:tab/>
        <w:t>3.6</w:t>
        <w:tab/>
      </w:r>
      <w:r>
        <w:rPr>
          <w:rFonts w:cs="Arial;Arial" w:ascii="Arial;Arial" w:hAnsi="Arial;Arial"/>
          <w:b/>
          <w:bCs/>
          <w:sz w:val="20"/>
        </w:rPr>
        <w:t>“What is your marital status?”</w:t>
      </w:r>
      <w:r>
        <w:rPr/>
        <w:t xml:space="preserve"> Read the list, fill in the appropriate circle, and then continue to question 7. Only one answer is allowed.</w:t>
      </w:r>
    </w:p>
    <w:p>
      <w:pPr>
        <w:pStyle w:val="Roman2A1"/>
        <w:rPr/>
      </w:pPr>
      <w:r>
        <w:rPr/>
      </w:r>
    </w:p>
    <w:p>
      <w:pPr>
        <w:pStyle w:val="Roman2A1"/>
        <w:rPr/>
      </w:pPr>
      <w:r>
        <w:rPr/>
        <w:t xml:space="preserve"> </w:t>
      </w:r>
      <w:r>
        <w:rPr/>
        <w:tab/>
        <w:t>3.7</w:t>
        <w:tab/>
      </w:r>
      <w:r>
        <w:rPr>
          <w:rFonts w:cs="Arial;Arial" w:ascii="Arial;Arial" w:hAnsi="Arial;Arial"/>
          <w:b/>
          <w:bCs/>
          <w:sz w:val="20"/>
        </w:rPr>
        <w:t>“What is the highest degree or level of school you have completed?”</w:t>
      </w:r>
      <w:r>
        <w:rPr/>
        <w:t xml:space="preserve"> Read the list, fill in the appropriate circle, and then continue to question 8. If respondent is currently enrolled in school, record the highest grade completed or highest degree received.</w:t>
      </w:r>
    </w:p>
    <w:p>
      <w:pPr>
        <w:pStyle w:val="Roman2A1"/>
        <w:rPr/>
      </w:pPr>
      <w:r>
        <w:rPr/>
      </w:r>
    </w:p>
    <w:p>
      <w:pPr>
        <w:pStyle w:val="Roman2A1"/>
        <w:rPr/>
      </w:pPr>
      <w:r>
        <w:rPr/>
        <w:t xml:space="preserve"> </w:t>
      </w:r>
      <w:r>
        <w:rPr/>
        <w:tab/>
        <w:t>3.8</w:t>
        <w:tab/>
      </w:r>
      <w:r>
        <w:rPr>
          <w:rFonts w:cs="Arial;Arial" w:ascii="Arial;Arial" w:hAnsi="Arial;Arial"/>
          <w:b/>
          <w:bCs/>
          <w:sz w:val="20"/>
        </w:rPr>
        <w:t>“Have you smoked more than 100 cigarettes in your lifetime?”</w:t>
      </w:r>
      <w:r>
        <w:rPr/>
        <w:t xml:space="preserve"> Possible answers are Yes/No/Don’t know. If respondent makes some type of qualifying statement (“I don’t smoke cigarettes” or “I smoke only cigars”), restate the question, making certain you are asking about </w:t>
      </w:r>
      <w:r>
        <w:rPr>
          <w:i/>
          <w:iCs/>
        </w:rPr>
        <w:t xml:space="preserve">any </w:t>
      </w:r>
      <w:r>
        <w:rPr/>
        <w:t>time in the respondent’s life.</w:t>
      </w:r>
    </w:p>
    <w:p>
      <w:pPr>
        <w:pStyle w:val="Roman2A1"/>
        <w:rPr/>
      </w:pPr>
      <w:r>
        <w:rPr/>
      </w:r>
    </w:p>
    <w:p>
      <w:pPr>
        <w:pStyle w:val="Roman2A1"/>
        <w:rPr/>
      </w:pPr>
      <w:r>
        <w:rPr/>
        <w:tab/>
        <w:t>3.9</w:t>
        <w:tab/>
      </w:r>
      <w:r>
        <w:rPr>
          <w:rFonts w:cs="Arial;Arial" w:ascii="Arial;Arial" w:hAnsi="Arial;Arial"/>
          <w:b/>
          <w:bCs/>
          <w:sz w:val="20"/>
        </w:rPr>
        <w:t>“Have you smoked any cigarettes in the last 30 days?”</w:t>
      </w:r>
      <w:r>
        <w:rPr>
          <w:rFonts w:cs="Arial;Arial" w:ascii="Arial;Arial" w:hAnsi="Arial;Arial"/>
          <w:b/>
          <w:bCs/>
          <w:sz w:val="18"/>
        </w:rPr>
        <w:t xml:space="preserve"> </w:t>
      </w:r>
      <w:r>
        <w:rPr/>
        <w:t>Possible answers are Yes/No/Don’t know.</w:t>
      </w:r>
    </w:p>
    <w:p>
      <w:pPr>
        <w:pStyle w:val="Roman2A1"/>
        <w:rPr>
          <w:sz w:val="22"/>
        </w:rPr>
      </w:pPr>
      <w:r>
        <w:rPr>
          <w:sz w:val="22"/>
        </w:rPr>
      </w:r>
    </w:p>
    <w:p>
      <w:pPr>
        <w:pStyle w:val="Roman2A1"/>
        <w:rPr/>
      </w:pPr>
      <w:r>
        <w:rPr>
          <w:sz w:val="22"/>
        </w:rPr>
        <w:tab/>
        <w:tab/>
      </w:r>
      <w:r>
        <w:rPr>
          <w:sz w:val="22"/>
          <w:u w:val="single"/>
        </w:rPr>
        <w:t>Proceed to next question</w:t>
      </w:r>
      <w:r>
        <w:rPr>
          <w:sz w:val="22"/>
        </w:rPr>
        <w:t>:</w:t>
      </w:r>
    </w:p>
    <w:p>
      <w:pPr>
        <w:pStyle w:val="Roman2A1"/>
        <w:rPr>
          <w:sz w:val="22"/>
        </w:rPr>
      </w:pPr>
      <w:r>
        <w:rPr>
          <w:sz w:val="22"/>
        </w:rPr>
      </w:r>
    </w:p>
    <w:p>
      <w:pPr>
        <w:pStyle w:val="Arialbold9"/>
        <w:rPr/>
      </w:pPr>
      <w:r>
        <w:rPr>
          <w:sz w:val="22"/>
        </w:rPr>
        <w:tab/>
      </w:r>
      <w:r>
        <w:rPr/>
        <w:t xml:space="preserve">“Do you think that [name of other age-eligible resident] might be interested in participating? </w:t>
      </w:r>
    </w:p>
    <w:p>
      <w:pPr>
        <w:pStyle w:val="Roman2A1"/>
        <w:rPr/>
      </w:pPr>
      <w:r>
        <w:rPr>
          <w:rFonts w:cs="Arial;Arial" w:ascii="Arial;Arial" w:hAnsi="Arial;Arial"/>
          <w:b/>
          <w:bCs/>
          <w:sz w:val="18"/>
        </w:rPr>
        <w:tab/>
        <w:tab/>
      </w:r>
      <w:r>
        <w:rPr>
          <w:u w:val="single"/>
        </w:rPr>
        <w:t>If yes, ask</w:t>
      </w:r>
      <w:r>
        <w:rPr/>
        <w:t xml:space="preserve">, </w:t>
      </w:r>
      <w:r>
        <w:rPr>
          <w:rFonts w:cs="Arial;Arial" w:ascii="Arial;Arial" w:hAnsi="Arial;Arial"/>
          <w:b/>
          <w:bCs/>
          <w:sz w:val="20"/>
        </w:rPr>
        <w:t>May I speak with him (her)?”</w:t>
      </w:r>
      <w:r>
        <w:rPr/>
        <w:t xml:space="preserve"> Begin a new Screening/Recruitment Form for the next respondent.</w:t>
      </w:r>
    </w:p>
    <w:p>
      <w:pPr>
        <w:pStyle w:val="Roman2A1"/>
        <w:rPr/>
      </w:pPr>
      <w:r>
        <w:rPr/>
        <w:tab/>
        <w:tab/>
      </w:r>
      <w:r>
        <w:rPr>
          <w:u w:val="single"/>
        </w:rPr>
        <w:t>If no, thank respondent for his/her time and end the call</w:t>
      </w:r>
      <w:r>
        <w:rPr/>
        <w:t>. Complete question 10.</w:t>
      </w:r>
    </w:p>
    <w:p>
      <w:pPr>
        <w:pStyle w:val="Roman2A1"/>
        <w:rPr/>
      </w:pPr>
      <w:r>
        <w:rPr/>
      </w:r>
    </w:p>
    <w:p>
      <w:pPr>
        <w:pStyle w:val="Roman2A1"/>
        <w:rPr/>
      </w:pPr>
      <w:r>
        <w:rPr/>
        <w:tab/>
        <w:tab/>
      </w:r>
      <w:r>
        <w:rPr>
          <w:u w:val="single"/>
        </w:rPr>
        <w:t>At this point the interview is concluded. Proceed to question 10 (to be completed by the interviewer)</w:t>
      </w:r>
      <w:r>
        <w:rPr/>
        <w:t>.</w:t>
      </w:r>
    </w:p>
    <w:p>
      <w:pPr>
        <w:pStyle w:val="Roman2A1"/>
        <w:rPr/>
      </w:pPr>
      <w:r>
        <w:rPr/>
      </w:r>
    </w:p>
    <w:p>
      <w:pPr>
        <w:pStyle w:val="Roman2A1"/>
        <w:rPr/>
      </w:pPr>
      <w:r>
        <w:rPr/>
        <w:tab/>
        <w:t>3.10</w:t>
        <w:tab/>
        <w:t>Final disposition of interview (Fill in the appropriate circle)</w:t>
      </w:r>
    </w:p>
    <w:p>
      <w:pPr>
        <w:pStyle w:val="Roman2A1"/>
        <w:rPr/>
      </w:pPr>
      <w:r>
        <w:rPr/>
      </w:r>
    </w:p>
    <w:p>
      <w:pPr>
        <w:pStyle w:val="Roman2A1"/>
        <w:rPr/>
      </w:pPr>
      <w:r>
        <w:rPr/>
        <w:tab/>
        <w:t>3.11</w:t>
        <w:tab/>
        <w:t xml:space="preserve">Record pertinent comments, explanations, etc., in the </w:t>
      </w:r>
      <w:r>
        <w:rPr>
          <w:rFonts w:cs="Arial;Arial" w:ascii="Arial;Arial" w:hAnsi="Arial;Arial"/>
          <w:b/>
          <w:smallCaps/>
          <w:sz w:val="20"/>
        </w:rPr>
        <w:t>comments</w:t>
      </w:r>
      <w:r>
        <w:rPr/>
        <w:t xml:space="preserve"> section at the bottom of the form.</w:t>
      </w:r>
    </w:p>
    <w:p>
      <w:pPr>
        <w:sectPr>
          <w:headerReference w:type="even" r:id="rId32"/>
          <w:headerReference w:type="default" r:id="rId33"/>
          <w:footerReference w:type="even" r:id="rId34"/>
          <w:footerReference w:type="default" r:id="rId35"/>
          <w:type w:val="oddPage"/>
          <w:pgSz w:w="12240" w:h="15840"/>
          <w:pgMar w:left="2880" w:right="1080" w:gutter="0" w:header="720" w:top="1440" w:footer="720" w:bottom="1440"/>
          <w:pgNumType w:fmt="decimal"/>
          <w:formProt w:val="false"/>
          <w:textDirection w:val="lrTb"/>
          <w:docGrid w:type="default" w:linePitch="360" w:charSpace="0"/>
        </w:sectPr>
        <w:pStyle w:val="Roman2A1"/>
        <w:rPr/>
      </w:pPr>
      <w:r>
        <w:rPr/>
      </w:r>
    </w:p>
    <w:p>
      <w:pPr>
        <w:pStyle w:val="Subsubsub"/>
        <w:rPr/>
      </w:pPr>
      <w:bookmarkStart w:id="9" w:name="__RefHeading___Toc503858965"/>
      <w:bookmarkEnd w:id="9"/>
      <w:r>
        <w:rPr/>
        <w:t>2.1.1.4  Quick Tips for Recruitment Calls and Codes</w:t>
      </w:r>
    </w:p>
    <w:p>
      <w:pPr>
        <w:pStyle w:val="Subsubsub"/>
        <w:rPr>
          <w:b w:val="false"/>
          <w:b w:val="false"/>
          <w:bCs w:val="false"/>
        </w:rPr>
      </w:pPr>
      <w:r>
        <w:rPr>
          <w:b w:val="false"/>
          <w:bCs w:val="false"/>
        </w:rPr>
      </w:r>
    </w:p>
    <w:p>
      <w:pPr>
        <w:pStyle w:val="Normal"/>
        <w:jc w:val="center"/>
        <w:rPr>
          <w:b/>
          <w:b/>
          <w:bCs/>
        </w:rPr>
      </w:pPr>
      <w:r>
        <w:rPr>
          <w:b/>
          <w:bCs/>
        </w:rPr>
      </w:r>
    </w:p>
    <w:p>
      <w:pPr>
        <w:pStyle w:val="Normal"/>
        <w:rPr/>
      </w:pPr>
      <w:r>
        <w:rPr/>
        <w:t>A status code must be entered into the contact form for each attempted contact.</w:t>
      </w:r>
    </w:p>
    <w:p>
      <w:pPr>
        <w:pStyle w:val="Normal"/>
        <w:rPr/>
      </w:pPr>
      <w:r>
        <w:rPr/>
      </w:r>
    </w:p>
    <w:p>
      <w:pPr>
        <w:pStyle w:val="Normal"/>
        <w:rPr/>
      </w:pPr>
      <w:r>
        <w:rPr/>
        <w:t xml:space="preserve">There are 2 "types " of contacts: household contacts and person contacts. The status codes labeled "Contact Status Codes" apply to </w:t>
      </w:r>
      <w:r>
        <w:rPr>
          <w:b/>
        </w:rPr>
        <w:t>households</w:t>
      </w:r>
      <w:r>
        <w:rPr/>
        <w:t xml:space="preserve">. The ones labeled "Screening Status Codes" apply to </w:t>
      </w:r>
      <w:r>
        <w:rPr>
          <w:b/>
        </w:rPr>
        <w:t>persons</w:t>
      </w:r>
      <w:r>
        <w:rPr/>
        <w:t xml:space="preserve">.  For each there are temporary codes (single digit codes e.g. 1-7) and final codes (two digits, e.g. 20-25). </w:t>
      </w:r>
    </w:p>
    <w:p>
      <w:pPr>
        <w:pStyle w:val="Normal"/>
        <w:rPr/>
      </w:pPr>
      <w:r>
        <w:rPr/>
      </w:r>
    </w:p>
    <w:p>
      <w:pPr>
        <w:pStyle w:val="Normal"/>
        <w:rPr/>
      </w:pPr>
      <w:r>
        <w:rPr/>
        <w:t>Before calling you should have:</w:t>
      </w:r>
    </w:p>
    <w:p>
      <w:pPr>
        <w:pStyle w:val="Normal"/>
        <w:rPr/>
      </w:pPr>
      <w:r>
        <w:rPr/>
      </w:r>
    </w:p>
    <w:p>
      <w:pPr>
        <w:pStyle w:val="Normal"/>
        <w:rPr/>
      </w:pPr>
      <w:r>
        <w:rPr/>
        <w:t>- The household folder with the contact form in it</w:t>
      </w:r>
    </w:p>
    <w:p>
      <w:pPr>
        <w:pStyle w:val="Normal"/>
        <w:rPr/>
      </w:pPr>
      <w:r>
        <w:rPr/>
        <w:t>- A pile of household enumeration forms nearby to be used as needed</w:t>
      </w:r>
    </w:p>
    <w:p>
      <w:pPr>
        <w:pStyle w:val="Normal"/>
        <w:rPr/>
      </w:pPr>
      <w:r>
        <w:rPr/>
        <w:t>- A pile of screening forms nearby to be used as needed</w:t>
      </w:r>
    </w:p>
    <w:p>
      <w:pPr>
        <w:pStyle w:val="Normal"/>
        <w:rPr/>
      </w:pPr>
      <w:r>
        <w:rPr/>
        <w:t>- Lists of both types of codes.</w:t>
      </w:r>
    </w:p>
    <w:p>
      <w:pPr>
        <w:pStyle w:val="Normal"/>
        <w:rPr/>
      </w:pPr>
      <w:r>
        <w:rPr/>
      </w:r>
    </w:p>
    <w:p>
      <w:pPr>
        <w:pStyle w:val="Normal"/>
        <w:rPr/>
      </w:pPr>
      <w:r>
        <w:rPr/>
      </w:r>
    </w:p>
    <w:p>
      <w:pPr>
        <w:pStyle w:val="Normal"/>
        <w:rPr>
          <w:b/>
          <w:b/>
        </w:rPr>
      </w:pPr>
      <w:r>
        <w:rPr>
          <w:b/>
        </w:rPr>
        <w:t>A. HOUSEHOLD CONTACTS</w:t>
      </w:r>
    </w:p>
    <w:p>
      <w:pPr>
        <w:pStyle w:val="Normal"/>
        <w:rPr>
          <w:b/>
          <w:b/>
        </w:rPr>
      </w:pPr>
      <w:r>
        <w:rPr>
          <w:b/>
        </w:rPr>
      </w:r>
    </w:p>
    <w:p>
      <w:pPr>
        <w:pStyle w:val="Normal"/>
        <w:rPr/>
      </w:pPr>
      <w:r>
        <w:rPr/>
        <w:t xml:space="preserve">The process begins by calling </w:t>
      </w:r>
      <w:r>
        <w:rPr>
          <w:i/>
        </w:rPr>
        <w:t>households</w:t>
      </w:r>
      <w:r>
        <w:rPr/>
        <w:t xml:space="preserve">. The objective is first to enumerate the household (i.e. fill in the enumeration form for that household).  </w:t>
      </w:r>
    </w:p>
    <w:p>
      <w:pPr>
        <w:pStyle w:val="Normal"/>
        <w:rPr/>
      </w:pPr>
      <w:r>
        <w:rPr/>
      </w:r>
    </w:p>
    <w:p>
      <w:pPr>
        <w:pStyle w:val="Normal"/>
        <w:rPr/>
      </w:pPr>
      <w:r>
        <w:rPr/>
        <w:t>All household contacts should be recorded on the TOP half of the contact form, continue on the back if necessary, labeling "Household Contacts" at the top.</w:t>
      </w:r>
    </w:p>
    <w:p>
      <w:pPr>
        <w:pStyle w:val="Normal"/>
        <w:rPr/>
      </w:pPr>
      <w:r>
        <w:rPr/>
      </w:r>
    </w:p>
    <w:p>
      <w:pPr>
        <w:pStyle w:val="Normal"/>
        <w:rPr/>
      </w:pPr>
      <w:r>
        <w:rPr/>
        <w:t>The temporary or initial status codes should be assigned after each attempted household contact as follows:</w:t>
      </w:r>
    </w:p>
    <w:p>
      <w:pPr>
        <w:pStyle w:val="Normal"/>
        <w:rPr/>
      </w:pPr>
      <w:r>
        <w:rPr/>
      </w:r>
    </w:p>
    <w:p>
      <w:pPr>
        <w:pStyle w:val="Normal"/>
        <w:rPr/>
      </w:pPr>
      <w:r>
        <w:rPr/>
        <w:t>1= wrong phone  (households sampled but with no phone available will also be assigned this code but these will be separated out and not given to the recruiters because there is no phone to eve attempt).</w:t>
      </w:r>
    </w:p>
    <w:p>
      <w:pPr>
        <w:pStyle w:val="Normal"/>
        <w:rPr/>
      </w:pPr>
      <w:r>
        <w:rPr/>
        <w:t>2= phone disconnected or out of service</w:t>
      </w:r>
    </w:p>
    <w:p>
      <w:pPr>
        <w:pStyle w:val="Normal"/>
        <w:rPr/>
      </w:pPr>
      <w:r>
        <w:rPr/>
        <w:t>3= busy signal, no answer</w:t>
      </w:r>
    </w:p>
    <w:p>
      <w:pPr>
        <w:pStyle w:val="Normal"/>
        <w:rPr/>
      </w:pPr>
      <w:r>
        <w:rPr/>
        <w:t>4= message on answering machine</w:t>
      </w:r>
    </w:p>
    <w:p>
      <w:pPr>
        <w:pStyle w:val="Normal"/>
        <w:rPr/>
      </w:pPr>
      <w:r>
        <w:rPr/>
        <w:t>5= busy, call back on........</w:t>
      </w:r>
    </w:p>
    <w:p>
      <w:pPr>
        <w:pStyle w:val="Normal"/>
        <w:rPr/>
      </w:pPr>
      <w:r>
        <w:rPr/>
      </w:r>
    </w:p>
    <w:p>
      <w:pPr>
        <w:pStyle w:val="Normal"/>
        <w:rPr/>
      </w:pPr>
      <w:r>
        <w:rPr/>
        <w:t>After 20 contacts with codes 3,4, or 5 (10 calls per week with a two week interval) a code 1 should be assigned.</w:t>
      </w:r>
    </w:p>
    <w:p>
      <w:pPr>
        <w:pStyle w:val="Normal"/>
        <w:rPr/>
      </w:pPr>
      <w:r>
        <w:rPr/>
      </w:r>
    </w:p>
    <w:p>
      <w:pPr>
        <w:pStyle w:val="Normal"/>
        <w:rPr/>
      </w:pPr>
      <w:r>
        <w:rPr/>
        <w:t>Codes 3, 4, 5 will be circulated back to the recruiters for more calls. Codes 1 and 2 will be filed by the Data Manager and later searched to see if we can get a correct phone number.</w:t>
      </w:r>
    </w:p>
    <w:p>
      <w:pPr>
        <w:pStyle w:val="Normal"/>
        <w:rPr/>
      </w:pPr>
      <w:r>
        <w:rPr/>
      </w:r>
      <w:r>
        <w:br w:type="page"/>
      </w:r>
    </w:p>
    <w:p>
      <w:pPr>
        <w:pStyle w:val="Normal"/>
        <w:rPr/>
      </w:pPr>
      <w:r>
        <w:rPr/>
        <w:t>Final household codes should be assigned as follows:</w:t>
      </w:r>
    </w:p>
    <w:p>
      <w:pPr>
        <w:pStyle w:val="Normal"/>
        <w:rPr/>
      </w:pPr>
      <w:r>
        <w:rPr/>
      </w:r>
    </w:p>
    <w:p>
      <w:pPr>
        <w:pStyle w:val="Normal"/>
        <w:rPr/>
      </w:pPr>
      <w:r>
        <w:rPr/>
        <w:t xml:space="preserve">- If  you speak to a person and enumerate the household assign code </w:t>
      </w:r>
      <w:r>
        <w:rPr>
          <w:b/>
        </w:rPr>
        <w:t>20</w:t>
      </w:r>
      <w:r>
        <w:rPr/>
        <w:t>.  REMEMBER to completely fill out the household enumeration form, including the relationship of each enumerated person to the person to whom you are speaking. BE CAREFUL to assign the correct recruitment ID to each person. The recruitment ID is the household id listed on the enumeration form plus A, B, C etc. at the end to distinguish different people.</w:t>
      </w:r>
    </w:p>
    <w:p>
      <w:pPr>
        <w:pStyle w:val="Normal"/>
        <w:rPr/>
      </w:pPr>
      <w:r>
        <w:rPr/>
      </w:r>
    </w:p>
    <w:p>
      <w:pPr>
        <w:pStyle w:val="Normal"/>
        <w:rPr/>
      </w:pPr>
      <w:r>
        <w:rPr/>
        <w:t xml:space="preserve">- If you speak to a person but this person refuses to enumerate, assign final code </w:t>
      </w:r>
      <w:r>
        <w:rPr>
          <w:b/>
        </w:rPr>
        <w:t>23</w:t>
      </w:r>
      <w:r>
        <w:rPr/>
        <w:t xml:space="preserve"> to the household.</w:t>
      </w:r>
    </w:p>
    <w:p>
      <w:pPr>
        <w:pStyle w:val="Normal"/>
        <w:rPr/>
      </w:pPr>
      <w:r>
        <w:rPr/>
      </w:r>
    </w:p>
    <w:p>
      <w:pPr>
        <w:pStyle w:val="Normal"/>
        <w:rPr/>
      </w:pPr>
      <w:r>
        <w:rPr/>
        <w:t xml:space="preserve">- If the person you speak to tells you that  EVERYONE in the household is age-ineligible assign code </w:t>
      </w:r>
      <w:r>
        <w:rPr>
          <w:b/>
        </w:rPr>
        <w:t>25</w:t>
      </w:r>
      <w:r>
        <w:rPr/>
        <w:t>. (If at least one person is age-eligible they should be listed on the enumeration form and code 20 should be assigned to the household).</w:t>
      </w:r>
    </w:p>
    <w:p>
      <w:pPr>
        <w:pStyle w:val="Normal"/>
        <w:rPr/>
      </w:pPr>
      <w:r>
        <w:rPr/>
      </w:r>
    </w:p>
    <w:p>
      <w:pPr>
        <w:pStyle w:val="Normal"/>
        <w:rPr/>
      </w:pPr>
      <w:r>
        <w:rPr/>
        <w:t xml:space="preserve">- If the person you speak to tells you that  EVERYONE in the household is language-ineligible assign code </w:t>
      </w:r>
      <w:r>
        <w:rPr>
          <w:b/>
        </w:rPr>
        <w:t>24</w:t>
      </w:r>
      <w:r>
        <w:rPr/>
        <w:t>. (If at least one person is language-eligible they should be listed on the enumeration form and code 20 should be assigned to the household).</w:t>
      </w:r>
    </w:p>
    <w:p>
      <w:pPr>
        <w:pStyle w:val="Normal"/>
        <w:rPr/>
      </w:pPr>
      <w:r>
        <w:rPr/>
      </w:r>
    </w:p>
    <w:p>
      <w:pPr>
        <w:pStyle w:val="Normal"/>
        <w:rPr/>
      </w:pPr>
      <w:r>
        <w:rPr/>
        <w:t>- If you get through but it is a non-residential phone (e.g. a business) assign code</w:t>
      </w:r>
      <w:r>
        <w:rPr>
          <w:b/>
        </w:rPr>
        <w:t xml:space="preserve"> 23.</w:t>
      </w:r>
    </w:p>
    <w:p>
      <w:pPr>
        <w:pStyle w:val="Normal"/>
        <w:rPr/>
      </w:pPr>
      <w:r>
        <w:rPr/>
      </w:r>
    </w:p>
    <w:p>
      <w:pPr>
        <w:pStyle w:val="Normal"/>
        <w:rPr/>
      </w:pPr>
      <w:r>
        <w:rPr/>
        <w:t>- If you get through and are told that the person you want to speak to is deceased, assign code</w:t>
      </w:r>
      <w:r>
        <w:rPr>
          <w:b/>
        </w:rPr>
        <w:t xml:space="preserve"> 25</w:t>
      </w:r>
      <w:r>
        <w:rPr/>
        <w:t xml:space="preserve"> (although this code is also for age ineligible households we are also using it for this purpose).</w:t>
      </w:r>
    </w:p>
    <w:p>
      <w:pPr>
        <w:pStyle w:val="Normal"/>
        <w:rPr/>
      </w:pPr>
      <w:r>
        <w:rPr/>
      </w:r>
    </w:p>
    <w:p>
      <w:pPr>
        <w:pStyle w:val="Normal"/>
        <w:rPr/>
      </w:pPr>
      <w:r>
        <w:rPr/>
        <w:t xml:space="preserve">- Code </w:t>
      </w:r>
      <w:r>
        <w:rPr>
          <w:b/>
        </w:rPr>
        <w:t>21 (</w:t>
      </w:r>
      <w:r>
        <w:rPr/>
        <w:t>unable to locate) will be assigned to:</w:t>
      </w:r>
    </w:p>
    <w:p>
      <w:pPr>
        <w:pStyle w:val="Normal"/>
        <w:rPr/>
      </w:pPr>
      <w:r>
        <w:rPr/>
      </w:r>
    </w:p>
    <w:p>
      <w:pPr>
        <w:pStyle w:val="Normal"/>
        <w:rPr/>
      </w:pPr>
      <w:r>
        <w:rPr/>
        <w:tab/>
        <w:t xml:space="preserve">- households with codes 1 and 2 for which NO phone was found after the search </w:t>
        <w:tab/>
        <w:t xml:space="preserve">(the person in </w:t>
        <w:tab/>
        <w:t>charge of the Search will automatically do this)</w:t>
      </w:r>
    </w:p>
    <w:p>
      <w:pPr>
        <w:pStyle w:val="Normal"/>
        <w:rPr/>
      </w:pPr>
      <w:r>
        <w:rPr/>
        <w:tab/>
        <w:t xml:space="preserve">- households for which a phone was found after the search BUT 20 new attempts </w:t>
        <w:tab/>
        <w:t>at calling (10 calls per week with a 2 week interval) still did not yield a result.</w:t>
      </w:r>
    </w:p>
    <w:p>
      <w:pPr>
        <w:pStyle w:val="Normal"/>
        <w:rPr/>
      </w:pPr>
      <w:r>
        <w:rPr/>
      </w:r>
    </w:p>
    <w:p>
      <w:pPr>
        <w:pStyle w:val="Normal"/>
        <w:rPr/>
      </w:pPr>
      <w:r>
        <w:rPr/>
      </w:r>
    </w:p>
    <w:p>
      <w:pPr>
        <w:pStyle w:val="Normal"/>
        <w:rPr>
          <w:b/>
          <w:b/>
        </w:rPr>
      </w:pPr>
      <w:r>
        <w:rPr>
          <w:b/>
        </w:rPr>
        <w:t>REMEMBER:</w:t>
      </w:r>
    </w:p>
    <w:p>
      <w:pPr>
        <w:pStyle w:val="Normal"/>
        <w:rPr>
          <w:b/>
          <w:b/>
        </w:rPr>
      </w:pPr>
      <w:r>
        <w:rPr>
          <w:b/>
        </w:rPr>
      </w:r>
    </w:p>
    <w:p>
      <w:pPr>
        <w:pStyle w:val="Normal"/>
        <w:rPr>
          <w:b/>
          <w:b/>
        </w:rPr>
      </w:pPr>
      <w:r>
        <w:rPr>
          <w:b/>
        </w:rPr>
        <w:t>Ultimately , ALL contact forms should have a final household contact status code assigned to them.</w:t>
      </w:r>
    </w:p>
    <w:p>
      <w:pPr>
        <w:pStyle w:val="Normal"/>
        <w:rPr>
          <w:b/>
          <w:b/>
        </w:rPr>
      </w:pPr>
      <w:r>
        <w:rPr>
          <w:b/>
        </w:rPr>
      </w:r>
    </w:p>
    <w:p>
      <w:pPr>
        <w:pStyle w:val="Normal"/>
        <w:rPr/>
      </w:pPr>
      <w:r>
        <w:rPr/>
        <w:t xml:space="preserve">If the final household code is 21, 22, 24 or 25 the process for this household ENDS here. </w:t>
      </w:r>
    </w:p>
    <w:p>
      <w:pPr>
        <w:pStyle w:val="Normal"/>
        <w:rPr/>
      </w:pPr>
      <w:r>
        <w:rPr/>
      </w:r>
    </w:p>
    <w:p>
      <w:pPr>
        <w:pStyle w:val="Normal"/>
        <w:rPr/>
      </w:pPr>
      <w:r>
        <w:rPr/>
        <w:t xml:space="preserve">If the final household code is 23, ask the person if they are willing to answer a few more questions. If they agree to continue, fill in an enumeration form with just that person's name on it.  In the relationship column write </w:t>
      </w:r>
      <w:r>
        <w:rPr>
          <w:b/>
        </w:rPr>
        <w:t>"NE".</w:t>
      </w:r>
      <w:r>
        <w:rPr/>
        <w:t xml:space="preserve">  Continue with the screening form including question 3 (just the birth date information), and questions 6-17. (Skip all the text that describes the study or asks about participation since the objective is just to get some information on the refusing person). Then continue with the </w:t>
      </w:r>
      <w:r>
        <w:rPr>
          <w:b/>
        </w:rPr>
        <w:t>second</w:t>
      </w:r>
      <w:r>
        <w:rPr/>
        <w:t xml:space="preserve"> page of the non-participant form. Remember to select the right option at the end of the screening form (eligible and refused, ineligible, or uncertain eligibility) and the same option at the end of the non-participant form (eligible and refused, ineligible, or uncertain eligibility). [When filling out the non-participant form, don't ask about other age-eligibles since the person has already indicated that they do not want to tell you this.] The process for this household ends here.</w:t>
      </w:r>
    </w:p>
    <w:p>
      <w:pPr>
        <w:pStyle w:val="Normal"/>
        <w:rPr/>
      </w:pPr>
      <w:r>
        <w:rPr/>
      </w:r>
    </w:p>
    <w:p>
      <w:pPr>
        <w:pStyle w:val="Normal"/>
        <w:rPr/>
      </w:pPr>
      <w:r>
        <w:rPr/>
        <w:t>If the final household code is 20, the next task is to complete a screening form for EACH person enumerated. Continue as described below in PERSON CONTACTS.</w:t>
      </w:r>
    </w:p>
    <w:p>
      <w:pPr>
        <w:pStyle w:val="Normal"/>
        <w:rPr/>
      </w:pPr>
      <w:r>
        <w:rPr/>
      </w:r>
    </w:p>
    <w:p>
      <w:pPr>
        <w:pStyle w:val="Normal"/>
        <w:rPr/>
      </w:pPr>
      <w:r>
        <w:rPr/>
      </w:r>
    </w:p>
    <w:p>
      <w:pPr>
        <w:pStyle w:val="Normal"/>
        <w:rPr>
          <w:b/>
          <w:b/>
        </w:rPr>
      </w:pPr>
      <w:r>
        <w:rPr>
          <w:b/>
        </w:rPr>
        <w:t>B. PERSON CONTACTS</w:t>
      </w:r>
    </w:p>
    <w:p>
      <w:pPr>
        <w:pStyle w:val="Normal"/>
        <w:rPr>
          <w:b/>
          <w:b/>
        </w:rPr>
      </w:pPr>
      <w:r>
        <w:rPr>
          <w:b/>
        </w:rPr>
      </w:r>
    </w:p>
    <w:p>
      <w:pPr>
        <w:pStyle w:val="Normal"/>
        <w:rPr/>
      </w:pPr>
      <w:r>
        <w:rPr/>
        <w:t xml:space="preserve">Person contacts begin IF the final household code is 20, that is, the household has been ENUMERATED. </w:t>
      </w:r>
    </w:p>
    <w:p>
      <w:pPr>
        <w:pStyle w:val="Normal"/>
        <w:rPr/>
      </w:pPr>
      <w:r>
        <w:rPr/>
      </w:r>
    </w:p>
    <w:p>
      <w:pPr>
        <w:pStyle w:val="Normal"/>
        <w:rPr/>
      </w:pPr>
      <w:r>
        <w:rPr/>
        <w:t xml:space="preserve">All person contacts should be recorded on the BOTTOM half of the contact form, continue on the back if necessary, labeling "Person Contacts" above the list . You will need a separate list on the back of the form for EACH enumerated person (because each person will have a separate sets of codes as you attempt to speak to each of them).  Just like the household codes, there are temporary (single digit) and final (double digit) codes.  </w:t>
      </w:r>
    </w:p>
    <w:p>
      <w:pPr>
        <w:pStyle w:val="Normal"/>
        <w:rPr/>
      </w:pPr>
      <w:r>
        <w:rPr/>
      </w:r>
    </w:p>
    <w:p>
      <w:pPr>
        <w:pStyle w:val="Normal"/>
        <w:rPr/>
      </w:pPr>
      <w:r>
        <w:rPr/>
        <w:t>Usually, after enumerating, you will continue with the person you are speaking to and attempt to complete the screening form for them.</w:t>
      </w:r>
    </w:p>
    <w:p>
      <w:pPr>
        <w:pStyle w:val="Normal"/>
        <w:rPr/>
      </w:pPr>
      <w:r>
        <w:rPr/>
      </w:r>
    </w:p>
    <w:p>
      <w:pPr>
        <w:pStyle w:val="Normal"/>
        <w:rPr/>
      </w:pPr>
      <w:r>
        <w:rPr/>
        <w:t xml:space="preserve">- If you complete the screening form for that person assign screening code 20. REMEMBER to complete the final disposition of the interview at the END of the screening form (select eligible and agreed, eligible and refused, ineligible or eligible but not recruited, or uncertain eligibility). If the screening form is complete, you should almost ALWAYS be able to determine if the person is or is not eligible (unless there are some eligibility questions the person cannot answer).  If , at any time while completing the screener, a person gives a response which makes her or him </w:t>
      </w:r>
      <w:r>
        <w:rPr>
          <w:b/>
        </w:rPr>
        <w:t>ineligible</w:t>
      </w:r>
      <w:r>
        <w:rPr/>
        <w:t xml:space="preserve">, you can end the screener at that point. Read the corresponding ineligible text (in Section III of the screener) and mark </w:t>
      </w:r>
      <w:r>
        <w:rPr>
          <w:b/>
        </w:rPr>
        <w:t>ineligible</w:t>
      </w:r>
      <w:r>
        <w:rPr/>
        <w:t xml:space="preserve"> for item 24 at the end of the screener. [Be sure you are familiar with the change in the eligibility question related to cancer, question 9 on the screener. The change is described in the attached note]</w:t>
      </w:r>
    </w:p>
    <w:p>
      <w:pPr>
        <w:pStyle w:val="Normal"/>
        <w:rPr/>
      </w:pPr>
      <w:r>
        <w:rPr/>
      </w:r>
    </w:p>
    <w:p>
      <w:pPr>
        <w:pStyle w:val="Normal"/>
        <w:rPr/>
      </w:pPr>
      <w:r>
        <w:rPr/>
        <w:t>- If the person refuses to complete the screening form assign screening code 21.</w:t>
      </w:r>
    </w:p>
    <w:p>
      <w:pPr>
        <w:pStyle w:val="Normal"/>
        <w:rPr/>
      </w:pPr>
      <w:r>
        <w:rPr/>
      </w:r>
    </w:p>
    <w:p>
      <w:pPr>
        <w:pStyle w:val="Normal"/>
        <w:rPr/>
      </w:pPr>
      <w:r>
        <w:rPr/>
        <w:t>- If the person partially completed the screening form but refused to finish assign code 23. REMEMBER to mark "uncertain eligibility/incomplete interview" at the end of the screening form.</w:t>
      </w:r>
    </w:p>
    <w:p>
      <w:pPr>
        <w:pStyle w:val="Normal"/>
        <w:rPr/>
      </w:pPr>
      <w:r>
        <w:rPr/>
      </w:r>
    </w:p>
    <w:p>
      <w:pPr>
        <w:pStyle w:val="Normal"/>
        <w:rPr/>
      </w:pPr>
      <w:r>
        <w:rPr/>
        <w:t>Whenever you initiate a Screening Form, REMEMBER to transcribe the correct recruitment id from the enumeration form to the top of the screening form.</w:t>
      </w:r>
    </w:p>
    <w:p>
      <w:pPr>
        <w:pStyle w:val="Normal"/>
        <w:rPr/>
      </w:pPr>
      <w:r>
        <w:rPr/>
      </w:r>
    </w:p>
    <w:p>
      <w:pPr>
        <w:pStyle w:val="Normal"/>
        <w:rPr/>
      </w:pPr>
      <w:r>
        <w:rPr/>
        <w:t>After finishing with the first person ask to speak to the second person enumerated and go through the whole process again.</w:t>
      </w:r>
    </w:p>
    <w:p>
      <w:pPr>
        <w:pStyle w:val="Normal"/>
        <w:rPr/>
      </w:pPr>
      <w:r>
        <w:rPr/>
      </w:r>
    </w:p>
    <w:p>
      <w:pPr>
        <w:pStyle w:val="Normal"/>
        <w:rPr/>
      </w:pPr>
      <w:r>
        <w:rPr/>
        <w:t>If at any time, the person asks you to call back later, assign temporary codes 1, 2, or 5 for that person.</w:t>
      </w:r>
    </w:p>
    <w:p>
      <w:pPr>
        <w:pStyle w:val="Normal"/>
        <w:rPr/>
      </w:pPr>
      <w:r>
        <w:rPr/>
      </w:r>
    </w:p>
    <w:p>
      <w:pPr>
        <w:pStyle w:val="Normal"/>
        <w:rPr/>
      </w:pPr>
      <w:r>
        <w:rPr/>
        <w:t xml:space="preserve"> </w:t>
      </w:r>
      <w:r>
        <w:rPr/>
        <w:t xml:space="preserve">If you call back and are unable to speak to the person, assign the appropriate temporary code (3: busy signal/no answer; 4: left message). </w:t>
      </w:r>
    </w:p>
    <w:p>
      <w:pPr>
        <w:pStyle w:val="Normal"/>
        <w:rPr/>
      </w:pPr>
      <w:r>
        <w:rPr/>
      </w:r>
    </w:p>
    <w:p>
      <w:pPr>
        <w:pStyle w:val="Normal"/>
        <w:rPr/>
      </w:pPr>
      <w:r>
        <w:rPr/>
        <w:t>If you make 5 attempts to contact the person and cannot do so, assign code 22. [Note, we are trying 5 times and not 3 as stated in the code list].</w:t>
      </w:r>
    </w:p>
    <w:p>
      <w:pPr>
        <w:pStyle w:val="Normal"/>
        <w:rPr/>
      </w:pPr>
      <w:r>
        <w:rPr/>
      </w:r>
    </w:p>
    <w:p>
      <w:pPr>
        <w:pStyle w:val="Normal"/>
        <w:rPr/>
      </w:pPr>
      <w:r>
        <w:rPr/>
        <w:t xml:space="preserve">If you make 5 attempts to complete an incomplete screening form and cannot do so, assign code 23. </w:t>
      </w:r>
    </w:p>
    <w:p>
      <w:pPr>
        <w:pStyle w:val="Normal"/>
        <w:rPr/>
      </w:pPr>
      <w:r>
        <w:rPr/>
      </w:r>
    </w:p>
    <w:p>
      <w:pPr>
        <w:pStyle w:val="Normal"/>
        <w:rPr>
          <w:b/>
          <w:b/>
        </w:rPr>
      </w:pPr>
      <w:r>
        <w:rPr>
          <w:b/>
        </w:rPr>
      </w:r>
    </w:p>
    <w:p>
      <w:pPr>
        <w:pStyle w:val="Normal"/>
        <w:rPr>
          <w:b/>
          <w:b/>
        </w:rPr>
      </w:pPr>
      <w:r>
        <w:rPr>
          <w:b/>
        </w:rPr>
        <w:t>REMEMBER:</w:t>
      </w:r>
    </w:p>
    <w:p>
      <w:pPr>
        <w:pStyle w:val="Normal"/>
        <w:rPr>
          <w:b/>
          <w:b/>
        </w:rPr>
      </w:pPr>
      <w:r>
        <w:rPr>
          <w:b/>
        </w:rPr>
      </w:r>
    </w:p>
    <w:p>
      <w:pPr>
        <w:pStyle w:val="Normal"/>
        <w:rPr>
          <w:b/>
          <w:b/>
        </w:rPr>
      </w:pPr>
      <w:r>
        <w:rPr>
          <w:b/>
        </w:rPr>
        <w:t xml:space="preserve">Ultimately, all persons enumerated should have a final screening status code assigned to them. </w:t>
      </w:r>
    </w:p>
    <w:p>
      <w:pPr>
        <w:pStyle w:val="Normal"/>
        <w:rPr>
          <w:b/>
          <w:b/>
        </w:rPr>
      </w:pPr>
      <w:r>
        <w:rPr>
          <w:b/>
        </w:rPr>
      </w:r>
    </w:p>
    <w:p>
      <w:pPr>
        <w:pStyle w:val="Normal"/>
        <w:rPr>
          <w:b/>
          <w:b/>
        </w:rPr>
      </w:pPr>
      <w:r>
        <w:rPr>
          <w:b/>
        </w:rPr>
        <w:t>When the final screening code is 20 or 23, the final disposition at the end of the Screening Form (question 24) should also be selected.</w:t>
      </w:r>
    </w:p>
    <w:p>
      <w:pPr>
        <w:pStyle w:val="Normal"/>
        <w:rPr>
          <w:b/>
          <w:b/>
        </w:rPr>
      </w:pPr>
      <w:r>
        <w:rPr>
          <w:b/>
        </w:rPr>
      </w:r>
    </w:p>
    <w:p>
      <w:pPr>
        <w:pStyle w:val="Normal"/>
        <w:rPr/>
      </w:pPr>
      <w:r>
        <w:rPr/>
      </w:r>
    </w:p>
    <w:p>
      <w:pPr>
        <w:sectPr>
          <w:headerReference w:type="even" r:id="rId36"/>
          <w:headerReference w:type="default" r:id="rId37"/>
          <w:footerReference w:type="even" r:id="rId38"/>
          <w:footerReference w:type="default" r:id="rId39"/>
          <w:type w:val="oddPage"/>
          <w:pgSz w:w="12240" w:h="15840"/>
          <w:pgMar w:left="2880" w:right="1080" w:gutter="0" w:header="720" w:top="1440" w:footer="720" w:bottom="1440"/>
          <w:pgNumType w:fmt="decimal"/>
          <w:formProt w:val="false"/>
          <w:textDirection w:val="lrTb"/>
          <w:docGrid w:type="default" w:linePitch="360" w:charSpace="0"/>
        </w:sectPr>
        <w:pStyle w:val="Subsubsub"/>
        <w:rPr>
          <w:sz w:val="22"/>
        </w:rPr>
      </w:pPr>
      <w:r>
        <w:rPr>
          <w:b w:val="false"/>
          <w:bCs w:val="false"/>
        </w:rPr>
        <w:tab/>
      </w:r>
    </w:p>
    <w:p>
      <w:pPr>
        <w:sectPr>
          <w:headerReference w:type="even" r:id="rId40"/>
          <w:headerReference w:type="default" r:id="rId41"/>
          <w:footerReference w:type="even" r:id="rId42"/>
          <w:footerReference w:type="default" r:id="rId43"/>
          <w:type w:val="oddPage"/>
          <w:pgSz w:w="12240" w:h="15840"/>
          <w:pgMar w:left="2880" w:right="1080" w:gutter="0" w:header="720" w:top="1440" w:footer="720" w:bottom="1440"/>
          <w:pgNumType w:fmt="decimal"/>
          <w:formProt w:val="false"/>
          <w:textDirection w:val="lrTb"/>
          <w:docGrid w:type="default" w:linePitch="360" w:charSpace="0"/>
        </w:sectPr>
        <w:pStyle w:val="Sectionheading"/>
        <w:rPr/>
      </w:pPr>
      <w:bookmarkStart w:id="10" w:name="__RefHeading___Toc503858966"/>
      <w:r>
        <w:rPr/>
        <w:t>Section 3:  Clinic Examination</w:t>
      </w:r>
      <w:bookmarkEnd w:id="10"/>
      <w:r>
        <w:rPr/>
        <w:t>Number range CHAPTER</w:t>
      </w:r>
    </w:p>
    <w:p>
      <w:pPr>
        <w:pStyle w:val="Subsectionheading"/>
        <w:rPr/>
      </w:pPr>
      <w:bookmarkStart w:id="11" w:name="__RefHeading___Toc503858967"/>
      <w:bookmarkEnd w:id="11"/>
      <w:r>
        <w:rPr/>
        <w:t>3.1  Pre-Exam Activities</w:t>
      </w:r>
    </w:p>
    <w:p>
      <w:pPr>
        <w:pStyle w:val="Romanbold"/>
        <w:rPr/>
      </w:pPr>
      <w:r>
        <w:rPr/>
      </w:r>
    </w:p>
    <w:p>
      <w:pPr>
        <w:pStyle w:val="Romanbody"/>
        <w:rPr/>
      </w:pPr>
      <w:r>
        <w:rPr/>
        <w:t>Make the following preparations prior to clinic visits:</w:t>
      </w:r>
    </w:p>
    <w:p>
      <w:pPr>
        <w:pStyle w:val="Normal"/>
        <w:tabs>
          <w:tab w:val="clear" w:pos="720"/>
          <w:tab w:val="left" w:pos="7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s>
        <w:ind w:left="780" w:hanging="0"/>
        <w:rPr/>
      </w:pPr>
      <w:r>
        <w:rPr/>
      </w:r>
    </w:p>
    <w:p>
      <w:pPr>
        <w:pStyle w:val="Number1"/>
        <w:rPr/>
      </w:pPr>
      <w:r>
        <w:rPr/>
        <w:tab/>
        <w:t>1.</w:t>
        <w:tab/>
      </w:r>
      <w:r>
        <w:rPr>
          <w:u w:val="single"/>
        </w:rPr>
        <w:t>Forms and Calendars</w:t>
      </w:r>
    </w:p>
    <w:p>
      <w:pPr>
        <w:pStyle w:val="Number1"/>
        <w:rPr/>
      </w:pPr>
      <w:r>
        <w:rPr/>
      </w:r>
    </w:p>
    <w:p>
      <w:pPr>
        <w:pStyle w:val="Number11"/>
        <w:rPr/>
      </w:pPr>
      <w:r>
        <w:rPr/>
        <w:tab/>
        <w:t>1.1</w:t>
        <w:tab/>
        <w:t>The data manager should print out the Daily Calendar showing clinic visits scheduled for the following day. The Calendar lists the preferred language of each person scheduled for a clinic visit, which will help you to determine how many sets of each language-specific forms you will need for the day.</w:t>
      </w:r>
    </w:p>
    <w:p>
      <w:pPr>
        <w:pStyle w:val="Number11"/>
        <w:rPr/>
      </w:pPr>
      <w:r>
        <w:rPr/>
      </w:r>
    </w:p>
    <w:p>
      <w:pPr>
        <w:pStyle w:val="Number11"/>
        <w:rPr/>
      </w:pPr>
      <w:r>
        <w:rPr/>
        <w:tab/>
        <w:t>1.2</w:t>
        <w:tab/>
        <w:t xml:space="preserve">Print several sets of the forms that will be completed for interviews and procedures. These will be pre-printed with participant IDs, which will be matched to an individual when he/she begins the exam. Forms can be printed as far in advance as you would like, and it is advisable to have enough printed forms on hand for at least several days of clinic visits. Forms will be printed in English, Chinese, or Spanish. For each participant, gather all the forms required for a visit, including the informed consent, medical release, and screening (telephone interview) form, and place into a binder labeled with his/her ID. </w:t>
      </w:r>
    </w:p>
    <w:p>
      <w:pPr>
        <w:pStyle w:val="Number11"/>
        <w:rPr/>
      </w:pPr>
      <w:r>
        <w:rPr/>
      </w:r>
    </w:p>
    <w:p>
      <w:pPr>
        <w:pStyle w:val="Number1"/>
        <w:rPr/>
      </w:pPr>
      <w:r>
        <w:rPr/>
        <w:tab/>
        <w:t>2.</w:t>
        <w:tab/>
      </w:r>
      <w:r>
        <w:rPr>
          <w:u w:val="single"/>
        </w:rPr>
        <w:t>Supplies and Equipment</w:t>
      </w:r>
    </w:p>
    <w:p>
      <w:pPr>
        <w:pStyle w:val="Number1"/>
        <w:rPr>
          <w:u w:val="single"/>
        </w:rPr>
      </w:pPr>
      <w:r>
        <w:rPr>
          <w:u w:val="single"/>
        </w:rPr>
      </w:r>
    </w:p>
    <w:p>
      <w:pPr>
        <w:pStyle w:val="Number11"/>
        <w:rPr/>
      </w:pPr>
      <w:r>
        <w:rPr/>
        <w:tab/>
        <w:t>2.1</w:t>
        <w:tab/>
        <w:t>Set up vacutainer and aliquoting tubes on the racks and attach the pre-printed labels to the tubes. Place all phlebotomy supplies on the blood drawing table (21 g, luer adaptor, vacutainer barrel, tourniquet, alcohol pad, gauze 2x2, surgical tape, Band-Aid).</w:t>
      </w:r>
    </w:p>
    <w:p>
      <w:pPr>
        <w:pStyle w:val="Number11"/>
        <w:rPr/>
      </w:pPr>
      <w:r>
        <w:rPr/>
      </w:r>
    </w:p>
    <w:p>
      <w:pPr>
        <w:pStyle w:val="Number11"/>
        <w:rPr/>
      </w:pPr>
      <w:r>
        <w:rPr/>
        <w:tab/>
        <w:t>2.2</w:t>
        <w:tab/>
        <w:t xml:space="preserve">Make sure that the examination rooms are clean and have clean linen (sheets, pillow cases, wash cloth, blankets).  </w:t>
      </w:r>
    </w:p>
    <w:p>
      <w:pPr>
        <w:pStyle w:val="Number11"/>
        <w:rPr/>
      </w:pPr>
      <w:r>
        <w:rPr/>
      </w:r>
    </w:p>
    <w:p>
      <w:pPr>
        <w:pStyle w:val="Number11"/>
        <w:rPr/>
      </w:pPr>
      <w:r>
        <w:rPr/>
        <w:tab/>
        <w:t>2.3</w:t>
        <w:tab/>
        <w:t xml:space="preserve">Prepare the participants’ gowns or (scrubs) and slippers. </w:t>
      </w:r>
    </w:p>
    <w:p>
      <w:pPr>
        <w:pStyle w:val="Number11"/>
        <w:rPr/>
      </w:pPr>
      <w:r>
        <w:rPr/>
      </w:r>
    </w:p>
    <w:p>
      <w:pPr>
        <w:pStyle w:val="Number11"/>
        <w:rPr/>
      </w:pPr>
      <w:r>
        <w:rPr/>
        <w:tab/>
        <w:t>2.4</w:t>
        <w:tab/>
        <w:t xml:space="preserve"> Prepare the examination room for the ECG, anthropometry measurement, Doppler, and seated BP. Check all instruments that will be used for the examination.</w:t>
      </w:r>
    </w:p>
    <w:p>
      <w:pPr>
        <w:pStyle w:val="Number11"/>
        <w:rPr/>
      </w:pPr>
      <w:r>
        <w:rPr/>
      </w:r>
    </w:p>
    <w:p>
      <w:pPr>
        <w:pStyle w:val="Number11"/>
        <w:rPr/>
      </w:pPr>
      <w:r>
        <w:rPr/>
        <w:tab/>
        <w:t>2.5</w:t>
        <w:tab/>
        <w:t>Make sure breakfast will be available for the participants.</w:t>
      </w:r>
    </w:p>
    <w:p>
      <w:pPr>
        <w:pStyle w:val="Number11"/>
        <w:rPr/>
      </w:pPr>
      <w:r>
        <w:rPr/>
      </w:r>
    </w:p>
    <w:p>
      <w:pPr>
        <w:pStyle w:val="Number1"/>
        <w:rPr/>
      </w:pPr>
      <w:r>
        <w:rPr/>
        <w:tab/>
        <w:t>3.</w:t>
        <w:tab/>
      </w:r>
      <w:r>
        <w:rPr>
          <w:u w:val="single"/>
        </w:rPr>
        <w:t>Staffing</w:t>
      </w:r>
    </w:p>
    <w:p>
      <w:pPr>
        <w:pStyle w:val="Number1"/>
        <w:rPr/>
      </w:pPr>
      <w:r>
        <w:rPr/>
      </w:r>
    </w:p>
    <w:p>
      <w:pPr>
        <w:pStyle w:val="Number11"/>
        <w:rPr/>
      </w:pPr>
      <w:r>
        <w:rPr/>
        <w:tab/>
        <w:t>3.1</w:t>
        <w:tab/>
        <w:t>Prepare staff assignment sheet and make sure everyone knows his/her responsibilities. This is particularly important if you schedule a large number of participants on a given day.</w:t>
      </w:r>
    </w:p>
    <w:p>
      <w:pPr>
        <w:pStyle w:val="Number11"/>
        <w:rPr/>
      </w:pPr>
      <w:r>
        <w:rPr/>
      </w:r>
    </w:p>
    <w:p>
      <w:pPr>
        <w:sectPr>
          <w:headerReference w:type="even" r:id="rId44"/>
          <w:headerReference w:type="default" r:id="rId45"/>
          <w:footerReference w:type="even" r:id="rId46"/>
          <w:footerReference w:type="default" r:id="rId47"/>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3.2</w:t>
        <w:tab/>
        <w:t>If participants have been scheduled for ultrasound, endothelial function, CT, or MRI, make sure that the respective technicians have the participant schedule and forms.</w:t>
      </w:r>
    </w:p>
    <w:p>
      <w:pPr>
        <w:pStyle w:val="Subsectionheading"/>
        <w:rPr/>
      </w:pPr>
      <w:bookmarkStart w:id="12" w:name="__RefHeading___Toc503858968"/>
      <w:bookmarkEnd w:id="12"/>
      <w:r>
        <w:rPr/>
        <w:t>3.2  Examination Guidelines</w:t>
      </w:r>
    </w:p>
    <w:p>
      <w:pPr>
        <w:pStyle w:val="Normal"/>
        <w:keepNext w:val="true"/>
        <w:jc w:val="both"/>
        <w:rPr>
          <w:sz w:val="22"/>
        </w:rPr>
      </w:pPr>
      <w:r>
        <w:rPr>
          <w:sz w:val="22"/>
        </w:rPr>
      </w:r>
    </w:p>
    <w:p>
      <w:pPr>
        <w:pStyle w:val="Romanbold"/>
        <w:rPr/>
      </w:pPr>
      <w:r>
        <w:rPr>
          <w:b w:val="false"/>
        </w:rPr>
        <w:tab/>
      </w:r>
      <w:r>
        <w:rPr>
          <w:bCs w:val="false"/>
        </w:rPr>
        <w:t>I.</w:t>
        <w:tab/>
      </w:r>
      <w:r>
        <w:rPr/>
        <w:t xml:space="preserve">MESA FIRST EXAMINATION GUIDELINES </w:t>
      </w:r>
    </w:p>
    <w:p>
      <w:pPr>
        <w:pStyle w:val="Normal"/>
        <w:keepNext w:val="true"/>
        <w:jc w:val="both"/>
        <w:rPr>
          <w:b/>
          <w:b/>
          <w:bCs/>
          <w:sz w:val="22"/>
          <w:szCs w:val="22"/>
        </w:rPr>
      </w:pPr>
      <w:r>
        <w:rPr>
          <w:b/>
          <w:bCs/>
          <w:sz w:val="22"/>
          <w:szCs w:val="22"/>
        </w:rPr>
      </w:r>
    </w:p>
    <w:p>
      <w:pPr>
        <w:pStyle w:val="Romanbody"/>
        <w:rPr/>
      </w:pPr>
      <w:r>
        <w:rPr/>
        <w:t>The first MESA examinations will be scheduled over a two-year period, beginning July 1999. The  examination will include several questionnaires, anthropometry, blood pressure measurement, ECG, ankle-arm ratio by Doppler, fasting blood and urine collections, carotid wall thickness and endothelial function by ultrasound, coronary calcium determination with EBCT or helical CT, and cardiac MRI. We estimate that the complete examination will require about six to eight hours. The examination may be performed on one day or over several days. However, every effort should be made to perform all the components of the examination within a four-week period. Clinics may vary the exam sequence to some degree, if needed; but the requirements listed below may not be altered.</w:t>
      </w:r>
    </w:p>
    <w:p>
      <w:pPr>
        <w:pStyle w:val="Normal"/>
        <w:keepNext w:val="true"/>
        <w:jc w:val="both"/>
        <w:rPr>
          <w:sz w:val="22"/>
          <w:szCs w:val="22"/>
        </w:rPr>
      </w:pPr>
      <w:r>
        <w:rPr>
          <w:sz w:val="22"/>
          <w:szCs w:val="22"/>
        </w:rPr>
      </w:r>
    </w:p>
    <w:p>
      <w:pPr>
        <w:pStyle w:val="Number1"/>
        <w:rPr/>
      </w:pPr>
      <w:r>
        <w:rPr/>
        <w:tab/>
        <w:t>1.</w:t>
        <w:tab/>
        <w:t>Questionnaires, anthropometry, blood pressure measurement, ECG, ankle-arm ratio, and fasting blood and urine collection should be performed before the cardiac CT and MRI.  This allows excluding subjects who are not eligible for participation. If a subject is found ineligible during the clinic examination, the examinations should be completed. At the conclusion of the exam, give the participant the results of the clinic examination and inform him/her (in a nice way) that he/she will not have the cardiac CT or MRI.</w:t>
      </w:r>
    </w:p>
    <w:p>
      <w:pPr>
        <w:pStyle w:val="Number1"/>
        <w:rPr>
          <w:szCs w:val="22"/>
        </w:rPr>
      </w:pPr>
      <w:r>
        <w:rPr>
          <w:szCs w:val="22"/>
        </w:rPr>
      </w:r>
    </w:p>
    <w:p>
      <w:pPr>
        <w:pStyle w:val="Number1"/>
        <w:rPr/>
      </w:pPr>
      <w:r>
        <w:rPr>
          <w:szCs w:val="22"/>
        </w:rPr>
        <w:tab/>
        <w:t>2.</w:t>
        <w:tab/>
      </w:r>
      <w:r>
        <w:rPr/>
        <w:t>Anthropometry, ECG, and blood collection should be performed while the  participant is fasting. Blood pressure measurement should be done before venipuncture. Coronary CT, cardiac MRI, carotid ultrasound, ankle-arm ratio, questionnaires, and urine collection do not require fasting.</w:t>
      </w:r>
    </w:p>
    <w:p>
      <w:pPr>
        <w:pStyle w:val="Number1"/>
        <w:rPr/>
      </w:pPr>
      <w:r>
        <w:rPr/>
      </w:r>
    </w:p>
    <w:p>
      <w:pPr>
        <w:pStyle w:val="Number1"/>
        <w:rPr/>
      </w:pPr>
      <w:r>
        <w:rPr/>
        <w:tab/>
        <w:t>3.</w:t>
        <w:tab/>
        <w:t xml:space="preserve">Endothelial function should be done before or at least 30 minutes after venipuncture, while the participant is fasting or at least 90 minutes after ingesting a non-fatty meal. </w:t>
      </w:r>
    </w:p>
    <w:p>
      <w:pPr>
        <w:pStyle w:val="Number1"/>
        <w:rPr/>
      </w:pPr>
      <w:r>
        <w:rPr/>
      </w:r>
    </w:p>
    <w:p>
      <w:pPr>
        <w:pStyle w:val="Number1"/>
        <w:rPr/>
      </w:pPr>
      <w:r>
        <w:rPr/>
        <w:tab/>
        <w:t>4.</w:t>
        <w:tab/>
        <w:t xml:space="preserve">Coronary CT, cardiac MRI, and carotid ultrasound may be done any time of the day and do not require fasting. </w:t>
      </w:r>
    </w:p>
    <w:p>
      <w:pPr>
        <w:pStyle w:val="Number1"/>
        <w:rPr/>
      </w:pPr>
      <w:r>
        <w:rPr/>
      </w:r>
    </w:p>
    <w:p>
      <w:pPr>
        <w:pStyle w:val="Number1"/>
        <w:rPr/>
      </w:pPr>
      <w:r>
        <w:rPr/>
        <w:tab/>
        <w:t>5.</w:t>
        <w:tab/>
        <w:t xml:space="preserve">Blood drawing should be done after a 12-hour fast and before 10:30 am. </w:t>
      </w:r>
    </w:p>
    <w:p>
      <w:pPr>
        <w:pStyle w:val="Number1"/>
        <w:rPr/>
      </w:pPr>
      <w:r>
        <w:rPr/>
      </w:r>
    </w:p>
    <w:p>
      <w:pPr>
        <w:pStyle w:val="Number1"/>
        <w:rPr/>
      </w:pPr>
      <w:r>
        <w:rPr/>
        <w:tab/>
        <w:t>6.</w:t>
        <w:tab/>
        <w:t xml:space="preserve">A pregnancy test should be performed in all women of child-bearing potential within 48 hours of the  CT for coronary calcium. This could be done in the clinic or in the Radiology Department. </w:t>
      </w:r>
    </w:p>
    <w:p>
      <w:pPr>
        <w:pStyle w:val="Romanbold"/>
        <w:rPr/>
      </w:pPr>
      <w:r>
        <w:rPr/>
        <w:tab/>
      </w:r>
    </w:p>
    <w:p>
      <w:pPr>
        <w:pStyle w:val="Romanbold"/>
        <w:rPr/>
      </w:pPr>
      <w:r>
        <w:rPr/>
        <w:tab/>
      </w:r>
      <w:r>
        <w:rPr>
          <w:caps w:val="false"/>
          <w:smallCaps w:val="false"/>
        </w:rPr>
        <w:t>II.</w:t>
        <w:tab/>
        <w:t>EX</w:t>
      </w:r>
      <w:r>
        <w:rPr/>
        <w:t>AMINATION ORDER</w:t>
      </w:r>
    </w:p>
    <w:p>
      <w:pPr>
        <w:pStyle w:val="Normal"/>
        <w:rPr/>
      </w:pPr>
      <w:r>
        <w:rPr/>
      </w:r>
    </w:p>
    <w:p>
      <w:pPr>
        <w:pStyle w:val="Romanbody"/>
        <w:rPr/>
      </w:pPr>
      <w:r>
        <w:rPr/>
        <w:t>The following guidelines identify elements of clinic order.  Many elements are left to the discretion of the individual center.</w:t>
      </w:r>
    </w:p>
    <w:p>
      <w:pPr>
        <w:pStyle w:val="Romanbody"/>
        <w:rPr/>
      </w:pPr>
      <w:r>
        <w:rPr/>
      </w:r>
    </w:p>
    <w:p>
      <w:pPr>
        <w:pStyle w:val="Number1"/>
        <w:rPr/>
      </w:pPr>
      <w:r>
        <w:rPr/>
        <w:tab/>
        <w:t>1.</w:t>
        <w:tab/>
        <w:t xml:space="preserve">Anthropometry, blood pressure, and urine collection could be done immediately following the greeting and informed consent, and </w:t>
      </w:r>
      <w:r>
        <w:rPr>
          <w:i/>
          <w:iCs/>
        </w:rPr>
        <w:t xml:space="preserve">before </w:t>
      </w:r>
      <w:r>
        <w:rPr/>
        <w:t xml:space="preserve">venipuncture. These components may be done in any order, but the resting blood pressures should be obtained after the subject has been in the seated position for at least five minutes.  </w:t>
      </w:r>
    </w:p>
    <w:p>
      <w:pPr>
        <w:pStyle w:val="Number1"/>
        <w:rPr/>
      </w:pPr>
      <w:r>
        <w:rPr/>
      </w:r>
    </w:p>
    <w:p>
      <w:pPr>
        <w:pStyle w:val="Number1"/>
        <w:rPr/>
      </w:pPr>
      <w:r>
        <w:rPr/>
        <w:tab/>
        <w:t>2.</w:t>
        <w:tab/>
        <w:t xml:space="preserve">Venipuncture should be performed in the fasting state after blood pressure measurement. If a participant comes to the clinic non-fasting, perform exam components that do not require fasting, and schedule the participant for another clinic visit for fasting blood collection. </w:t>
      </w:r>
    </w:p>
    <w:p>
      <w:pPr>
        <w:pStyle w:val="Number1"/>
        <w:rPr/>
      </w:pPr>
      <w:r>
        <w:rPr/>
      </w:r>
    </w:p>
    <w:p>
      <w:pPr>
        <w:pStyle w:val="Number1"/>
        <w:rPr/>
      </w:pPr>
      <w:r>
        <w:rPr/>
        <w:tab/>
        <w:t>3.</w:t>
        <w:tab/>
        <w:t>Questionnaires may be administered at any time during the examination. During the interviews make every effort to avoid distractions, ensure privacy, and maintain confidentiality.   Do not conduct interviews during the snack or in the waiting area in the clinic.</w:t>
      </w:r>
    </w:p>
    <w:p>
      <w:pPr>
        <w:pStyle w:val="Number1"/>
        <w:rPr/>
      </w:pPr>
      <w:r>
        <w:rPr/>
      </w:r>
    </w:p>
    <w:p>
      <w:pPr>
        <w:pStyle w:val="Number1"/>
        <w:rPr/>
      </w:pPr>
      <w:r>
        <w:rPr/>
        <w:tab/>
        <w:t>4.</w:t>
        <w:tab/>
        <w:t>Provide a snack after completing the blood draws and, if possible, the endothelial function. Alternatively, endothelial function may be performed 90 minutes after a non-fatty snack.</w:t>
      </w:r>
    </w:p>
    <w:p>
      <w:pPr>
        <w:pStyle w:val="Number1"/>
        <w:rPr>
          <w:sz w:val="22"/>
          <w:szCs w:val="22"/>
        </w:rPr>
      </w:pPr>
      <w:r>
        <w:rPr>
          <w:sz w:val="22"/>
          <w:szCs w:val="22"/>
        </w:rPr>
      </w:r>
    </w:p>
    <w:p>
      <w:pPr>
        <w:pStyle w:val="Romanbold"/>
        <w:rPr/>
      </w:pPr>
      <w:r>
        <w:rPr/>
        <w:tab/>
        <w:t>III.</w:t>
        <w:tab/>
        <w:t>INSTRUCTIONS TO PARTICIPANTS BEFORE THE CLINIC VISIT</w:t>
      </w:r>
    </w:p>
    <w:p>
      <w:pPr>
        <w:pStyle w:val="Normal"/>
        <w:keepNext w:val="true"/>
        <w:jc w:val="both"/>
        <w:rPr>
          <w:sz w:val="22"/>
          <w:szCs w:val="22"/>
        </w:rPr>
      </w:pPr>
      <w:r>
        <w:rPr>
          <w:sz w:val="22"/>
          <w:szCs w:val="22"/>
        </w:rPr>
      </w:r>
    </w:p>
    <w:p>
      <w:pPr>
        <w:pStyle w:val="Romanbody"/>
        <w:rPr/>
      </w:pPr>
      <w:r>
        <w:rPr/>
        <w:t xml:space="preserve">Mail these instructions to the participant 10–14 days before the clinic visit and explain them over the telephone when you schedule the visit. If possible, make a reminder call to the participant the day before the clinic visit and reiterate the instructions. (If the participant is acutely ill—e.g. “flu” or bronchitis—when you make this reminder call, </w:t>
      </w:r>
      <w:r>
        <w:rPr>
          <w:i/>
          <w:iCs/>
        </w:rPr>
        <w:t xml:space="preserve">tell him/her not to come to the clinic. </w:t>
      </w:r>
      <w:r>
        <w:rPr/>
        <w:t>Arrange to contact him/her again to reschedule when he/she has recovered.) Before the examination, make sure the participants understand the following instructions.</w:t>
      </w:r>
    </w:p>
    <w:p>
      <w:pPr>
        <w:pStyle w:val="Romanbody"/>
        <w:rPr/>
      </w:pPr>
      <w:r>
        <w:rPr/>
        <w:t xml:space="preserve"> </w:t>
      </w:r>
    </w:p>
    <w:p>
      <w:pPr>
        <w:pStyle w:val="Number1"/>
        <w:rPr/>
      </w:pPr>
      <w:r>
        <w:rPr/>
        <w:tab/>
        <w:t>1.</w:t>
        <w:tab/>
        <w:t xml:space="preserve">Participants must fast for at least 12 hours before the examination. This restriction applies to all food and beverages (except water), including alcohol. Instruct them to consume dinner at least 12 hours before their scheduled appointment at the clinic. Only water and prescription medications are allowed from dinner until the start of the examination the next morning. Diabetic patients should </w:t>
      </w:r>
      <w:r>
        <w:rPr>
          <w:i/>
          <w:iCs/>
        </w:rPr>
        <w:t>not</w:t>
      </w:r>
      <w:r>
        <w:rPr/>
        <w:t xml:space="preserve"> take their hypoglycemic medications the morning of the clinic visit; they should </w:t>
      </w:r>
      <w:r>
        <w:rPr>
          <w:i/>
          <w:iCs/>
        </w:rPr>
        <w:t>bring the morning dose to the clinic</w:t>
      </w:r>
      <w:r>
        <w:rPr/>
        <w:t xml:space="preserve"> to be taken after venipuncture.</w:t>
      </w:r>
    </w:p>
    <w:p>
      <w:pPr>
        <w:pStyle w:val="Number1"/>
        <w:rPr/>
      </w:pPr>
      <w:r>
        <w:rPr/>
        <w:t xml:space="preserve"> </w:t>
      </w:r>
    </w:p>
    <w:p>
      <w:pPr>
        <w:pStyle w:val="Number1"/>
        <w:rPr/>
      </w:pPr>
      <w:r>
        <w:rPr/>
        <w:tab/>
        <w:t>2.</w:t>
        <w:tab/>
        <w:t xml:space="preserve">Participants should avoid heavy exercise during the 12 hours before the visit.  </w:t>
      </w:r>
    </w:p>
    <w:p>
      <w:pPr>
        <w:pStyle w:val="Number1"/>
        <w:rPr/>
      </w:pPr>
      <w:r>
        <w:rPr/>
      </w:r>
    </w:p>
    <w:p>
      <w:pPr>
        <w:pStyle w:val="Number1"/>
        <w:rPr/>
      </w:pPr>
      <w:r>
        <w:rPr/>
        <w:tab/>
        <w:t>3.</w:t>
        <w:tab/>
        <w:t>Participants should not smoke on the morning of the visit.</w:t>
      </w:r>
    </w:p>
    <w:p>
      <w:pPr>
        <w:pStyle w:val="Number1"/>
        <w:rPr/>
      </w:pPr>
      <w:r>
        <w:rPr/>
        <w:t xml:space="preserve">   </w:t>
      </w:r>
    </w:p>
    <w:p>
      <w:pPr>
        <w:pStyle w:val="Number1"/>
        <w:rPr/>
      </w:pPr>
      <w:r>
        <w:rPr/>
        <w:tab/>
        <w:t>4.</w:t>
        <w:tab/>
        <w:t>Participants should bring all current medications, both prescription and over-the-counter, including vitamin preparations and dietary supplements, to the clinic. If the participant forgets to bring the medications, schedule another clinic visit to obtain this information or collect the information when the participant returns for imaging procedures.</w:t>
      </w:r>
    </w:p>
    <w:p>
      <w:pPr>
        <w:pStyle w:val="Number1"/>
        <w:rPr/>
      </w:pPr>
      <w:r>
        <w:rPr/>
      </w:r>
    </w:p>
    <w:p>
      <w:pPr>
        <w:pStyle w:val="Number1"/>
        <w:rPr/>
      </w:pPr>
      <w:r>
        <w:rPr/>
        <w:tab/>
        <w:t>5.</w:t>
        <w:tab/>
        <w:t xml:space="preserve">Participants should bring the name and complete address of their personal physician or health plan, particularly if they wish to have examination results sent to that provider.  </w:t>
      </w:r>
    </w:p>
    <w:p>
      <w:pPr>
        <w:pStyle w:val="Number1"/>
        <w:rPr/>
      </w:pPr>
      <w:r>
        <w:rPr/>
      </w:r>
    </w:p>
    <w:p>
      <w:pPr>
        <w:pStyle w:val="Number1"/>
        <w:rPr>
          <w:sz w:val="22"/>
          <w:szCs w:val="22"/>
        </w:rPr>
      </w:pPr>
      <w:r>
        <w:rPr/>
        <w:tab/>
        <w:t>6.</w:t>
        <w:tab/>
        <w:t>Participants should wear or bring loose-fitting clothes, preferably t-shirt, sweat pants, and slip-on shoes or sneakers.</w:t>
      </w:r>
    </w:p>
    <w:p>
      <w:pPr>
        <w:pStyle w:val="Normal"/>
        <w:keepNext w:val="true"/>
        <w:jc w:val="both"/>
        <w:rPr>
          <w:sz w:val="22"/>
          <w:szCs w:val="22"/>
        </w:rPr>
      </w:pPr>
      <w:r>
        <w:rPr>
          <w:sz w:val="22"/>
          <w:szCs w:val="22"/>
        </w:rPr>
      </w:r>
    </w:p>
    <w:p>
      <w:pPr>
        <w:pStyle w:val="Romanbold"/>
        <w:rPr/>
      </w:pPr>
      <w:r>
        <w:rPr/>
        <w:tab/>
        <w:t>IV.</w:t>
        <w:tab/>
        <w:t>GUIDELINES FOR EXAMINATION OF DIABETIC PARTICIPANTS</w:t>
      </w:r>
    </w:p>
    <w:p>
      <w:pPr>
        <w:pStyle w:val="Number1"/>
        <w:rPr/>
      </w:pPr>
      <w:r>
        <w:rPr/>
      </w:r>
    </w:p>
    <w:p>
      <w:pPr>
        <w:pStyle w:val="Number1"/>
        <w:rPr/>
      </w:pPr>
      <w:r>
        <w:rPr/>
        <w:tab/>
        <w:t>1.</w:t>
        <w:tab/>
        <w:t xml:space="preserve">Diet-controlled diabetics must fast overnight and are treated the same as non-diabetics.  </w:t>
      </w:r>
    </w:p>
    <w:p>
      <w:pPr>
        <w:pStyle w:val="Number1"/>
        <w:rPr/>
      </w:pPr>
      <w:r>
        <w:rPr/>
      </w:r>
    </w:p>
    <w:p>
      <w:pPr>
        <w:sectPr>
          <w:headerReference w:type="even" r:id="rId48"/>
          <w:headerReference w:type="default" r:id="rId49"/>
          <w:footerReference w:type="even" r:id="rId50"/>
          <w:footerReference w:type="default" r:id="rId51"/>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2.</w:t>
        <w:tab/>
        <w:t xml:space="preserve">Diabetics taking oral hypoglycemic medications or insulin must fast overnight (unless a bedtime snack was prescribed by their physician) and to come to the clinic without taking their hypoglycemic medication. They should bring their morning medication dose with them to the clinic. Schedule all known diabetics taking oral hypoglycemic medications or insulin for examination as early as possible (before 9 a.m.). Draw fasting blood samples promptly on arrival at the clinic (after measuring blood pressure). Immediately following venipuncture, serve breakfast and instruct participants to take hypoglycemic medication as prescribed.  </w:t>
      </w:r>
    </w:p>
    <w:p>
      <w:pPr>
        <w:pStyle w:val="Subsectionheading"/>
        <w:rPr>
          <w:sz w:val="32"/>
        </w:rPr>
      </w:pPr>
      <w:bookmarkStart w:id="13" w:name="__RefHeading___Toc503858969"/>
      <w:bookmarkEnd w:id="13"/>
      <w:r>
        <w:rPr/>
        <w:t>3.3  Clinic Reception Form</w:t>
      </w:r>
    </w:p>
    <w:p>
      <w:pPr>
        <w:pStyle w:val="Normal"/>
        <w:rPr>
          <w:sz w:val="32"/>
        </w:rPr>
      </w:pPr>
      <w:r>
        <w:rPr>
          <w:sz w:val="32"/>
        </w:rPr>
      </w:r>
    </w:p>
    <w:p>
      <w:pPr>
        <w:pStyle w:val="Romanbold"/>
        <w:rPr/>
      </w:pPr>
      <w:r>
        <w:rPr/>
        <w:tab/>
        <w:t xml:space="preserve">I. </w:t>
        <w:tab/>
        <w:t>Purpose</w:t>
      </w:r>
    </w:p>
    <w:p>
      <w:pPr>
        <w:pStyle w:val="Normal"/>
        <w:rPr>
          <w:sz w:val="22"/>
        </w:rPr>
      </w:pPr>
      <w:r>
        <w:rPr>
          <w:sz w:val="22"/>
        </w:rPr>
      </w:r>
    </w:p>
    <w:p>
      <w:pPr>
        <w:pStyle w:val="Romanbody"/>
        <w:rPr/>
      </w:pPr>
      <w:r>
        <w:rPr/>
        <w:t>The Clinic Reception Form is the means by which important information collected during the reception process is recorded for scanning into the clinic database. This form must be completed accurately to allow for the tracking of the participant’s progress through the study and to provide a link to the sampling and recruitment data.</w:t>
      </w:r>
    </w:p>
    <w:p>
      <w:pPr>
        <w:pStyle w:val="Normal"/>
        <w:ind w:left="270" w:hanging="0"/>
        <w:rPr>
          <w:sz w:val="22"/>
        </w:rPr>
      </w:pPr>
      <w:r>
        <w:rPr>
          <w:sz w:val="22"/>
        </w:rPr>
      </w:r>
    </w:p>
    <w:p>
      <w:pPr>
        <w:pStyle w:val="Romanbold"/>
        <w:rPr/>
      </w:pPr>
      <w:r>
        <w:rPr/>
        <w:tab/>
        <w:t xml:space="preserve">II. </w:t>
        <w:tab/>
        <w:t>Materials/Equipment</w:t>
      </w:r>
    </w:p>
    <w:p>
      <w:pPr>
        <w:pStyle w:val="Normal"/>
        <w:rPr>
          <w:sz w:val="22"/>
        </w:rPr>
      </w:pPr>
      <w:r>
        <w:rPr>
          <w:sz w:val="22"/>
        </w:rPr>
      </w:r>
    </w:p>
    <w:p>
      <w:pPr>
        <w:pStyle w:val="Romanbody"/>
        <w:rPr/>
      </w:pPr>
      <w:r>
        <w:rPr/>
        <w:t>The Clinic Reception Form is generated by a computer with scanning software installed, so access to this computer is necessary to obtain the form. In addition, the following materials are required:</w:t>
      </w:r>
    </w:p>
    <w:p>
      <w:pPr>
        <w:pStyle w:val="Normal"/>
        <w:rPr>
          <w:sz w:val="22"/>
        </w:rPr>
      </w:pPr>
      <w:r>
        <w:rPr>
          <w:sz w:val="22"/>
        </w:rPr>
      </w:r>
    </w:p>
    <w:p>
      <w:pPr>
        <w:pStyle w:val="Romanbodybullet"/>
        <w:rPr/>
      </w:pPr>
      <w:r>
        <w:rPr>
          <w:rFonts w:eastAsia="Symbol" w:cs="Symbol" w:ascii="Symbol" w:hAnsi="Symbol"/>
        </w:rPr>
        <w:t></w:t>
      </w:r>
      <w:r>
        <w:rPr/>
        <w:tab/>
        <w:t>A black ink pen (for best results when form is scanned)</w:t>
      </w:r>
    </w:p>
    <w:p>
      <w:pPr>
        <w:pStyle w:val="Romanbodybullet"/>
        <w:rPr/>
      </w:pPr>
      <w:r>
        <w:rPr>
          <w:rFonts w:eastAsia="Symbol" w:cs="Symbol" w:ascii="Symbol" w:hAnsi="Symbol"/>
        </w:rPr>
        <w:t></w:t>
      </w:r>
      <w:r>
        <w:rPr/>
        <w:tab/>
        <w:t>The list of participants scheduled for the day (produced by the MESA Recruitment system)</w:t>
      </w:r>
    </w:p>
    <w:p>
      <w:pPr>
        <w:pStyle w:val="Romanbodybullet"/>
        <w:rPr/>
      </w:pPr>
      <w:r>
        <w:rPr>
          <w:rFonts w:eastAsia="Symbol" w:cs="Symbol" w:ascii="Symbol" w:hAnsi="Symbol"/>
        </w:rPr>
        <w:t></w:t>
      </w:r>
      <w:r>
        <w:rPr/>
        <w:tab/>
        <w:t>Informed consent document and pen</w:t>
      </w:r>
    </w:p>
    <w:p>
      <w:pPr>
        <w:pStyle w:val="Romanbodybullet"/>
        <w:rPr/>
      </w:pPr>
      <w:r>
        <w:rPr>
          <w:rFonts w:eastAsia="Symbol" w:cs="Symbol" w:ascii="Symbol" w:hAnsi="Symbol"/>
        </w:rPr>
        <w:t></w:t>
      </w:r>
      <w:r>
        <w:rPr/>
        <w:tab/>
        <w:t>Gown (or robe) and slippers</w:t>
      </w:r>
    </w:p>
    <w:p>
      <w:pPr>
        <w:pStyle w:val="Normal"/>
        <w:rPr>
          <w:sz w:val="22"/>
        </w:rPr>
      </w:pPr>
      <w:r>
        <w:rPr>
          <w:sz w:val="22"/>
        </w:rPr>
      </w:r>
    </w:p>
    <w:p>
      <w:pPr>
        <w:pStyle w:val="Romanbold"/>
        <w:rPr/>
      </w:pPr>
      <w:r>
        <w:rPr/>
        <w:tab/>
        <w:t xml:space="preserve">III. </w:t>
        <w:tab/>
        <w:t>Definitions</w:t>
      </w:r>
    </w:p>
    <w:p>
      <w:pPr>
        <w:pStyle w:val="Normal"/>
        <w:rPr>
          <w:sz w:val="22"/>
        </w:rPr>
      </w:pPr>
      <w:r>
        <w:rPr>
          <w:sz w:val="22"/>
        </w:rPr>
      </w:r>
    </w:p>
    <w:p>
      <w:pPr>
        <w:pStyle w:val="Romanbodybullet"/>
        <w:rPr/>
      </w:pPr>
      <w:r>
        <w:rPr>
          <w:rFonts w:eastAsia="Symbol" w:cs="Symbol" w:ascii="Symbol" w:hAnsi="Symbol"/>
        </w:rPr>
        <w:t></w:t>
      </w:r>
      <w:r>
        <w:rPr/>
        <w:tab/>
      </w:r>
      <w:r>
        <w:rPr>
          <w:u w:val="single"/>
        </w:rPr>
        <w:t>Exclusion criteria</w:t>
      </w:r>
      <w:r>
        <w:rPr/>
        <w:t xml:space="preserve">: A list of medical conditions, procedures, events, and medications that exclude participation in the study. These are first applied to the respondent during the recruitment/screening process, and respondents who respond affirmatively to any of them are excluded from the study.  </w:t>
      </w:r>
    </w:p>
    <w:p>
      <w:pPr>
        <w:pStyle w:val="Romanbodybullet"/>
        <w:rPr/>
      </w:pPr>
      <w:r>
        <w:rPr/>
      </w:r>
    </w:p>
    <w:p>
      <w:pPr>
        <w:pStyle w:val="Romanbodybullet"/>
        <w:rPr/>
      </w:pPr>
      <w:r>
        <w:rPr>
          <w:rFonts w:eastAsia="Symbol" w:cs="Symbol" w:ascii="Symbol" w:hAnsi="Symbol"/>
        </w:rPr>
        <w:t></w:t>
      </w:r>
      <w:r>
        <w:rPr/>
        <w:tab/>
      </w:r>
      <w:r>
        <w:rPr>
          <w:u w:val="single"/>
        </w:rPr>
        <w:t>Daily calendar</w:t>
      </w:r>
      <w:r>
        <w:rPr/>
        <w:t>: The list of participants scheduled for a given day. It lists the name, acrostic, recruitment/household ID, preferred language, and time of appointment. There is also a field to record participant status.</w:t>
      </w:r>
    </w:p>
    <w:p>
      <w:pPr>
        <w:pStyle w:val="Romanbodybullet"/>
        <w:rPr/>
      </w:pPr>
      <w:r>
        <w:rPr/>
      </w:r>
    </w:p>
    <w:p>
      <w:pPr>
        <w:pStyle w:val="Romanbodybullet"/>
        <w:rPr/>
      </w:pPr>
      <w:r>
        <w:rPr>
          <w:rFonts w:eastAsia="Symbol" w:cs="Symbol" w:ascii="Symbol" w:hAnsi="Symbol"/>
        </w:rPr>
        <w:t></w:t>
      </w:r>
      <w:r>
        <w:rPr/>
        <w:tab/>
      </w:r>
      <w:r>
        <w:rPr>
          <w:u w:val="single"/>
        </w:rPr>
        <w:t>Acrostic</w:t>
      </w:r>
      <w:r>
        <w:rPr/>
        <w:t>: A code used instead of the name for confidentiality reasons.  It is composed of the first four letters of the last name, the first two letters of the first name, and gender indicator (F/M).</w:t>
      </w:r>
    </w:p>
    <w:p>
      <w:pPr>
        <w:pStyle w:val="Normal"/>
        <w:rPr>
          <w:sz w:val="22"/>
        </w:rPr>
      </w:pPr>
      <w:r>
        <w:rPr>
          <w:sz w:val="22"/>
        </w:rPr>
      </w:r>
    </w:p>
    <w:p>
      <w:pPr>
        <w:pStyle w:val="Romanbold"/>
        <w:rPr/>
      </w:pPr>
      <w:r>
        <w:rPr/>
        <w:tab/>
        <w:t>IV.</w:t>
        <w:tab/>
        <w:t>Methods</w:t>
      </w:r>
    </w:p>
    <w:p>
      <w:pPr>
        <w:pStyle w:val="Normal"/>
        <w:rPr>
          <w:sz w:val="22"/>
        </w:rPr>
      </w:pPr>
      <w:r>
        <w:rPr>
          <w:sz w:val="22"/>
        </w:rPr>
      </w:r>
    </w:p>
    <w:p>
      <w:pPr>
        <w:pStyle w:val="Number1"/>
        <w:rPr/>
      </w:pPr>
      <w:r>
        <w:rPr/>
        <w:tab/>
        <w:t xml:space="preserve">1. </w:t>
        <w:tab/>
      </w:r>
      <w:r>
        <w:rPr>
          <w:u w:val="single"/>
        </w:rPr>
        <w:t>General Instructions</w:t>
      </w:r>
    </w:p>
    <w:p>
      <w:pPr>
        <w:pStyle w:val="Normal"/>
        <w:ind w:left="720" w:hanging="0"/>
        <w:rPr/>
      </w:pPr>
      <w:r>
        <w:rPr/>
      </w:r>
    </w:p>
    <w:p>
      <w:pPr>
        <w:pStyle w:val="Number1body"/>
        <w:tabs>
          <w:tab w:val="clear" w:pos="720"/>
          <w:tab w:val="right" w:pos="1170" w:leader="none"/>
        </w:tabs>
        <w:ind w:left="1350" w:hanging="1350"/>
        <w:rPr/>
      </w:pPr>
      <w:r>
        <w:rPr/>
        <w:tab/>
        <w:t>1.1</w:t>
        <w:tab/>
        <w:t>The clinic reception process is the participant’s first introduction to the MESA clinic staff and procedures. Greet each participant warmly as soon as he/she arrives at the clinic. (If a participant arrives at the clinic acutely ill—e.g., “flu” or bronchitis—do not continue with the clinic examination. Make arrangements to contact him/her to reschedule the appointment after he/she has recovered.) Begin the clinic visit by reviewing the responses to the exclusion criteria from the potential participant’s completed Screening Form to be sure that the participant is truly eligible for the study. If any of the criteria are positive, explain the reason for exclusion and then thank and excuse the participant. Record the ineligibility on the calendar so that the recruitment database can be updated.</w:t>
      </w:r>
    </w:p>
    <w:p>
      <w:pPr>
        <w:pStyle w:val="Number11"/>
        <w:rPr/>
      </w:pPr>
      <w:r>
        <w:rPr/>
      </w:r>
    </w:p>
    <w:p>
      <w:pPr>
        <w:pStyle w:val="Number11"/>
        <w:rPr/>
      </w:pPr>
      <w:r>
        <w:rPr/>
        <w:tab/>
        <w:t>1.2</w:t>
        <w:tab/>
        <w:t>Once you confirm that the participant is eligible, give him/her the informed consent document. Instruct the participant to read it carefully, answer the questions at the end, and sign it (see section on informed consent). Once the participant has completed and signed the informed consent, the clinic visit will begin.</w:t>
      </w:r>
    </w:p>
    <w:p>
      <w:pPr>
        <w:pStyle w:val="Number11"/>
        <w:rPr/>
      </w:pPr>
      <w:r>
        <w:rPr/>
        <w:t xml:space="preserve"> </w:t>
      </w:r>
    </w:p>
    <w:p>
      <w:pPr>
        <w:pStyle w:val="Number11"/>
        <w:rPr/>
      </w:pPr>
      <w:r>
        <w:rPr/>
        <w:tab/>
        <w:t>1.3</w:t>
        <w:tab/>
        <w:t>Ask the participant if he/she has any questions. After you have answered any questions, give the participant a gown (or robe) and slippers and take him/her to a dressing room to change. Provide a locker or other safe place for the participant’s clothing and any other items that need to be stored. This concludes the Clinic Reception phase of the clinic visit.</w:t>
      </w:r>
    </w:p>
    <w:p>
      <w:pPr>
        <w:pStyle w:val="Number11"/>
        <w:rPr/>
      </w:pPr>
      <w:r>
        <w:rPr/>
      </w:r>
    </w:p>
    <w:p>
      <w:pPr>
        <w:pStyle w:val="Number1"/>
        <w:rPr/>
      </w:pPr>
      <w:r>
        <w:rPr/>
        <w:tab/>
        <w:t>2.</w:t>
        <w:tab/>
      </w:r>
      <w:r>
        <w:rPr>
          <w:u w:val="single"/>
        </w:rPr>
        <w:t>Specific Instructions for Completing the Clinic Reception Form</w:t>
      </w:r>
    </w:p>
    <w:p>
      <w:pPr>
        <w:pStyle w:val="Number1"/>
        <w:rPr>
          <w:u w:val="single"/>
        </w:rPr>
      </w:pPr>
      <w:r>
        <w:rPr>
          <w:u w:val="single"/>
        </w:rPr>
      </w:r>
    </w:p>
    <w:p>
      <w:pPr>
        <w:pStyle w:val="Number11"/>
        <w:rPr/>
      </w:pPr>
      <w:r>
        <w:rPr/>
        <w:tab/>
        <w:t>2.1</w:t>
        <w:tab/>
        <w:t>Because the Clinic Reception Form serves several important functions, a second staff member must review it before scanning. This reviewer should be absolutely sure that the recruitment ID and acrostic have been correctly transcribed into the appropriate fields.</w:t>
      </w:r>
    </w:p>
    <w:p>
      <w:pPr>
        <w:pStyle w:val="Number11"/>
        <w:rPr/>
      </w:pPr>
      <w:r>
        <w:rPr/>
      </w:r>
    </w:p>
    <w:p>
      <w:pPr>
        <w:pStyle w:val="Number11"/>
        <w:rPr/>
      </w:pPr>
      <w:r>
        <w:rPr/>
        <w:tab/>
        <w:t>2.2</w:t>
        <w:tab/>
        <w:t xml:space="preserve">The </w:t>
      </w:r>
      <w:r>
        <w:rPr>
          <w:b/>
          <w:bCs/>
          <w:i/>
          <w:iCs/>
        </w:rPr>
        <w:t>participant ID</w:t>
      </w:r>
      <w:r>
        <w:rPr>
          <w:i/>
          <w:iCs/>
        </w:rPr>
        <w:t>,</w:t>
      </w:r>
      <w:r>
        <w:rPr>
          <w:b/>
          <w:bCs/>
          <w:i/>
          <w:iCs/>
        </w:rPr>
        <w:t xml:space="preserve"> </w:t>
      </w:r>
      <w:r>
        <w:rPr/>
        <w:t xml:space="preserve">the </w:t>
      </w:r>
      <w:r>
        <w:rPr>
          <w:b/>
          <w:bCs/>
          <w:i/>
          <w:iCs/>
        </w:rPr>
        <w:t>QC ID</w:t>
      </w:r>
      <w:r>
        <w:rPr>
          <w:i/>
          <w:iCs/>
        </w:rPr>
        <w:t>,</w:t>
      </w:r>
      <w:r>
        <w:rPr/>
        <w:t xml:space="preserve"> and the </w:t>
      </w:r>
      <w:r>
        <w:rPr>
          <w:b/>
          <w:bCs/>
          <w:i/>
          <w:iCs/>
        </w:rPr>
        <w:t xml:space="preserve">language </w:t>
      </w:r>
      <w:r>
        <w:rPr/>
        <w:t>are preprinted on the form in the upper right corner.</w:t>
      </w:r>
    </w:p>
    <w:p>
      <w:pPr>
        <w:pStyle w:val="Number11"/>
        <w:rPr/>
      </w:pPr>
      <w:r>
        <w:rPr/>
      </w:r>
    </w:p>
    <w:p>
      <w:pPr>
        <w:pStyle w:val="Number11"/>
        <w:rPr/>
      </w:pPr>
      <w:r>
        <w:rPr/>
        <w:tab/>
        <w:t>2.3</w:t>
        <w:tab/>
        <w:t xml:space="preserve">In the </w:t>
      </w:r>
      <w:r>
        <w:rPr>
          <w:b/>
          <w:bCs/>
          <w:i/>
          <w:iCs/>
        </w:rPr>
        <w:t xml:space="preserve">visit date </w:t>
      </w:r>
      <w:r>
        <w:rPr/>
        <w:t>fields</w:t>
      </w:r>
      <w:r>
        <w:rPr>
          <w:b/>
          <w:bCs/>
          <w:i/>
          <w:iCs/>
        </w:rPr>
        <w:t xml:space="preserve"> </w:t>
      </w:r>
      <w:r>
        <w:rPr/>
        <w:t>record a two-digit month and date and a four-digit year (e.g. 07/25/2000). Whenever possible the second appointment date, if any, should be entered on the form before scanning. If the second appointment cannot be scheduled before the form is scanned, the data manager should update the database as soon as the information is available.</w:t>
      </w:r>
    </w:p>
    <w:p>
      <w:pPr>
        <w:pStyle w:val="Number11"/>
        <w:rPr/>
      </w:pPr>
      <w:r>
        <w:rPr/>
      </w:r>
    </w:p>
    <w:p>
      <w:pPr>
        <w:pStyle w:val="Number11"/>
        <w:rPr/>
      </w:pPr>
      <w:r>
        <w:rPr/>
        <w:tab/>
        <w:t>2.4</w:t>
        <w:tab/>
        <w:t xml:space="preserve">In the </w:t>
      </w:r>
      <w:r>
        <w:rPr>
          <w:b/>
          <w:bCs/>
          <w:i/>
          <w:iCs/>
        </w:rPr>
        <w:t xml:space="preserve">recruitment ID </w:t>
      </w:r>
      <w:r>
        <w:rPr/>
        <w:t>field</w:t>
      </w:r>
      <w:r>
        <w:rPr>
          <w:b/>
          <w:bCs/>
          <w:i/>
          <w:iCs/>
        </w:rPr>
        <w:t xml:space="preserve"> </w:t>
      </w:r>
      <w:r>
        <w:rPr/>
        <w:t>record the recruitment ID number that is printed on the daily calendar.</w:t>
      </w:r>
    </w:p>
    <w:p>
      <w:pPr>
        <w:pStyle w:val="Number11"/>
        <w:rPr/>
      </w:pPr>
      <w:r>
        <w:rPr/>
      </w:r>
    </w:p>
    <w:p>
      <w:pPr>
        <w:pStyle w:val="Number11"/>
        <w:rPr/>
      </w:pPr>
      <w:r>
        <w:rPr/>
        <w:tab/>
        <w:t>2.5</w:t>
        <w:tab/>
        <w:t xml:space="preserve">In the </w:t>
      </w:r>
      <w:r>
        <w:rPr>
          <w:b/>
          <w:bCs/>
          <w:i/>
          <w:iCs/>
        </w:rPr>
        <w:t xml:space="preserve">acrostic </w:t>
      </w:r>
      <w:r>
        <w:rPr/>
        <w:t>field</w:t>
      </w:r>
      <w:r>
        <w:rPr>
          <w:b/>
          <w:bCs/>
          <w:i/>
          <w:iCs/>
        </w:rPr>
        <w:t xml:space="preserve"> </w:t>
      </w:r>
      <w:r>
        <w:rPr/>
        <w:t>record the acrostic that is printed on the daily calendar. Ask the participant for his/her birthday and record it in the appropriate box.</w:t>
      </w:r>
    </w:p>
    <w:p>
      <w:pPr>
        <w:pStyle w:val="Number11"/>
        <w:rPr/>
      </w:pPr>
      <w:r>
        <w:rPr/>
        <w:tab/>
      </w:r>
    </w:p>
    <w:p>
      <w:pPr>
        <w:pStyle w:val="Number11"/>
        <w:rPr/>
      </w:pPr>
      <w:r>
        <w:rPr/>
        <w:tab/>
        <w:t>2.6</w:t>
        <w:tab/>
        <w:t xml:space="preserve">In the </w:t>
      </w:r>
      <w:r>
        <w:rPr>
          <w:b/>
          <w:bCs/>
          <w:i/>
          <w:iCs/>
        </w:rPr>
        <w:t xml:space="preserve">hospital/medical number </w:t>
      </w:r>
      <w:r>
        <w:rPr/>
        <w:t>field record the participant’s local hospital or medical record number. This number is not required, however.</w:t>
      </w:r>
    </w:p>
    <w:p>
      <w:pPr>
        <w:pStyle w:val="Number11"/>
        <w:rPr/>
      </w:pPr>
      <w:r>
        <w:rPr/>
      </w:r>
    </w:p>
    <w:p>
      <w:pPr>
        <w:pStyle w:val="Number11"/>
        <w:rPr/>
      </w:pPr>
      <w:r>
        <w:rPr/>
        <w:tab/>
        <w:t>2.7</w:t>
        <w:tab/>
      </w:r>
      <w:r>
        <w:rPr>
          <w:b/>
          <w:bCs/>
          <w:i/>
          <w:iCs/>
        </w:rPr>
        <w:t>Informed Consent Responses</w:t>
      </w:r>
      <w:r>
        <w:rPr>
          <w:i/>
          <w:iCs/>
        </w:rPr>
        <w:t>.</w:t>
      </w:r>
      <w:r>
        <w:rPr/>
        <w:t xml:space="preserve"> Transcribe the responses from the participant’s consent form by filling the appropriate bubble.</w:t>
      </w:r>
    </w:p>
    <w:p>
      <w:pPr>
        <w:pStyle w:val="Number11"/>
        <w:rPr/>
      </w:pPr>
      <w:r>
        <w:rPr/>
        <w:t xml:space="preserve"> </w:t>
      </w:r>
    </w:p>
    <w:p>
      <w:pPr>
        <w:pStyle w:val="Number11"/>
        <w:rPr/>
      </w:pPr>
      <w:r>
        <w:rPr/>
        <w:tab/>
        <w:t>2.8</w:t>
        <w:tab/>
        <w:t xml:space="preserve">In the </w:t>
      </w:r>
      <w:r>
        <w:rPr>
          <w:b/>
          <w:bCs/>
          <w:i/>
          <w:iCs/>
        </w:rPr>
        <w:t>Reception Interviewer ID</w:t>
      </w:r>
      <w:r>
        <w:rPr/>
        <w:t xml:space="preserve"> field, record the ID number of the person who administered the Clinic Reception Form. </w:t>
      </w:r>
    </w:p>
    <w:p>
      <w:pPr>
        <w:pStyle w:val="Number11"/>
        <w:rPr/>
      </w:pPr>
      <w:r>
        <w:rPr/>
      </w:r>
    </w:p>
    <w:p>
      <w:pPr>
        <w:sectPr>
          <w:headerReference w:type="even" r:id="rId52"/>
          <w:headerReference w:type="default" r:id="rId53"/>
          <w:footerReference w:type="even" r:id="rId54"/>
          <w:footerReference w:type="default" r:id="rId55"/>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2.9</w:t>
        <w:tab/>
        <w:t xml:space="preserve">In the </w:t>
      </w:r>
      <w:r>
        <w:rPr>
          <w:b/>
          <w:bCs/>
          <w:i/>
          <w:iCs/>
        </w:rPr>
        <w:t>Reviewer ID</w:t>
      </w:r>
      <w:r>
        <w:rPr/>
        <w:t xml:space="preserve"> field, record the ID number of the person who reviewed the Clinic Reception Form.</w:t>
      </w:r>
    </w:p>
    <w:p>
      <w:pPr>
        <w:pStyle w:val="Subsectionheading"/>
        <w:rPr/>
      </w:pPr>
      <w:bookmarkStart w:id="14" w:name="__RefHeading___Toc503858970"/>
      <w:bookmarkEnd w:id="14"/>
      <w:r>
        <w:rPr/>
        <w:t>3.4  Interviews</w:t>
      </w:r>
    </w:p>
    <w:p>
      <w:pPr>
        <w:sectPr>
          <w:headerReference w:type="even" r:id="rId56"/>
          <w:headerReference w:type="default" r:id="rId57"/>
          <w:footerReference w:type="even" r:id="rId58"/>
          <w:footerReference w:type="default" r:id="rId59"/>
          <w:type w:val="oddPage"/>
          <w:pgSz w:w="12240" w:h="15840"/>
          <w:pgMar w:left="2880" w:right="1080" w:gutter="0" w:header="720" w:top="1440" w:footer="720" w:bottom="1440"/>
          <w:pgNumType w:fmt="decimal"/>
          <w:formProt w:val="false"/>
          <w:textDirection w:val="lrTb"/>
          <w:docGrid w:type="default" w:linePitch="360" w:charSpace="0"/>
        </w:sectPr>
        <w:pStyle w:val="Normal"/>
        <w:ind w:left="720" w:hanging="0"/>
        <w:jc w:val="center"/>
        <w:rPr>
          <w:sz w:val="22"/>
        </w:rPr>
      </w:pPr>
      <w:r>
        <w:rPr>
          <w:sz w:val="22"/>
        </w:rPr>
      </w:r>
    </w:p>
    <w:p>
      <w:pPr>
        <w:pStyle w:val="Subsub"/>
        <w:rPr/>
      </w:pPr>
      <w:bookmarkStart w:id="15" w:name="__RefHeading___Toc503858971"/>
      <w:bookmarkEnd w:id="15"/>
      <w:r>
        <w:rPr/>
        <w:t>3.4.1  Interviewing Guidelines and Techniques</w:t>
      </w:r>
    </w:p>
    <w:p>
      <w:pPr>
        <w:pStyle w:val="Normal"/>
        <w:ind w:left="720" w:hanging="0"/>
        <w:rPr>
          <w:sz w:val="22"/>
        </w:rPr>
      </w:pPr>
      <w:r>
        <w:rPr>
          <w:sz w:val="22"/>
        </w:rPr>
      </w:r>
    </w:p>
    <w:p>
      <w:pPr>
        <w:pStyle w:val="Normal"/>
        <w:ind w:left="720" w:hanging="0"/>
        <w:rPr>
          <w:sz w:val="22"/>
        </w:rPr>
      </w:pPr>
      <w:r>
        <w:rPr>
          <w:sz w:val="22"/>
        </w:rPr>
      </w:r>
    </w:p>
    <w:p>
      <w:pPr>
        <w:pStyle w:val="Romanbold"/>
        <w:rPr/>
      </w:pPr>
      <w:r>
        <w:rPr/>
        <w:tab/>
        <w:t>I.</w:t>
        <w:tab/>
        <w:t>GENERAL INTERVIEW INFORMATION</w:t>
      </w:r>
    </w:p>
    <w:p>
      <w:pPr>
        <w:pStyle w:val="Normal"/>
        <w:ind w:left="720" w:hanging="0"/>
        <w:rPr/>
      </w:pPr>
      <w:r>
        <w:rPr/>
      </w:r>
    </w:p>
    <w:p>
      <w:pPr>
        <w:pStyle w:val="Number1"/>
        <w:rPr/>
      </w:pPr>
      <w:r>
        <w:rPr/>
        <w:tab/>
        <w:t>1.</w:t>
        <w:tab/>
      </w:r>
      <w:r>
        <w:rPr>
          <w:u w:val="single"/>
        </w:rPr>
        <w:t>Interviewer bias</w:t>
      </w:r>
      <w:r>
        <w:rPr/>
        <w:t xml:space="preserve"> is any preference or inclination that creates a systematic difference between responses obtained by different interviewers. It can be affected by:</w:t>
      </w:r>
    </w:p>
    <w:p>
      <w:pPr>
        <w:pStyle w:val="Number1bodybullet"/>
        <w:rPr/>
      </w:pPr>
      <w:r>
        <w:rPr>
          <w:rFonts w:eastAsia="Symbol" w:cs="Symbol" w:ascii="Symbol" w:hAnsi="Symbol"/>
        </w:rPr>
        <w:t></w:t>
      </w:r>
      <w:r>
        <w:rPr/>
        <w:tab/>
        <w:t>respondent's perception of the interviewer and his/her reaction to that</w:t>
      </w:r>
    </w:p>
    <w:p>
      <w:pPr>
        <w:pStyle w:val="Number1bodybullet"/>
        <w:rPr/>
      </w:pPr>
      <w:r>
        <w:rPr>
          <w:rFonts w:eastAsia="Symbol" w:cs="Symbol" w:ascii="Symbol" w:hAnsi="Symbol"/>
        </w:rPr>
        <w:t></w:t>
      </w:r>
      <w:r>
        <w:rPr/>
        <w:tab/>
        <w:t>interviewer's perception of the respondent and his/her reaction to that</w:t>
      </w:r>
    </w:p>
    <w:p>
      <w:pPr>
        <w:pStyle w:val="Number1bodybullet"/>
        <w:rPr/>
      </w:pPr>
      <w:r>
        <w:rPr/>
      </w:r>
    </w:p>
    <w:p>
      <w:pPr>
        <w:pStyle w:val="Number1"/>
        <w:rPr/>
      </w:pPr>
      <w:r>
        <w:rPr/>
        <w:tab/>
        <w:t>2.</w:t>
        <w:tab/>
      </w:r>
      <w:r>
        <w:rPr>
          <w:u w:val="single"/>
        </w:rPr>
        <w:t>Characteristics of a good interview</w:t>
      </w:r>
    </w:p>
    <w:p>
      <w:pPr>
        <w:pStyle w:val="Normal"/>
        <w:ind w:left="1440" w:hanging="0"/>
        <w:rPr/>
      </w:pPr>
      <w:r>
        <w:rPr/>
      </w:r>
    </w:p>
    <w:p>
      <w:pPr>
        <w:pStyle w:val="Number11"/>
        <w:rPr/>
      </w:pPr>
      <w:r>
        <w:rPr/>
        <w:tab/>
        <w:t>2.1</w:t>
        <w:tab/>
        <w:t>The interviewer creates a friendly, but businesslike atmosphere.</w:t>
      </w:r>
    </w:p>
    <w:p>
      <w:pPr>
        <w:pStyle w:val="Number11"/>
        <w:rPr/>
      </w:pPr>
      <w:r>
        <w:rPr/>
      </w:r>
    </w:p>
    <w:p>
      <w:pPr>
        <w:pStyle w:val="Number11"/>
        <w:rPr/>
      </w:pPr>
      <w:r>
        <w:rPr/>
        <w:tab/>
        <w:t>2.2</w:t>
        <w:tab/>
        <w:t>The respondent is at ease. Keep these factors in mind:</w:t>
      </w:r>
    </w:p>
    <w:p>
      <w:pPr>
        <w:pStyle w:val="Number11bodybullet"/>
        <w:rPr/>
      </w:pPr>
      <w:r>
        <w:rPr/>
        <w:tab/>
      </w:r>
      <w:r>
        <w:rPr>
          <w:rFonts w:eastAsia="Symbol" w:cs="Symbol" w:ascii="Symbol" w:hAnsi="Symbol"/>
        </w:rPr>
        <w:t></w:t>
      </w:r>
      <w:r>
        <w:rPr/>
        <w:t xml:space="preserve"> </w:t>
        <w:tab/>
        <w:t>The respondent may view a female interviewer as less threatening.</w:t>
      </w:r>
    </w:p>
    <w:p>
      <w:pPr>
        <w:pStyle w:val="Number11bodybullet"/>
        <w:rPr/>
      </w:pPr>
      <w:r>
        <w:rPr/>
        <w:tab/>
      </w:r>
      <w:r>
        <w:rPr>
          <w:rFonts w:eastAsia="Symbol" w:cs="Symbol" w:ascii="Symbol" w:hAnsi="Symbol"/>
        </w:rPr>
        <w:t></w:t>
      </w:r>
      <w:r>
        <w:rPr/>
        <w:tab/>
        <w:t>The respondent may view a much older interviewer as judgmental.</w:t>
      </w:r>
    </w:p>
    <w:p>
      <w:pPr>
        <w:pStyle w:val="Number11bodybullet"/>
        <w:rPr/>
      </w:pPr>
      <w:r>
        <w:rPr/>
      </w:r>
    </w:p>
    <w:p>
      <w:pPr>
        <w:pStyle w:val="Number11"/>
        <w:rPr/>
      </w:pPr>
      <w:r>
        <w:rPr/>
        <w:tab/>
        <w:t>2.3</w:t>
        <w:tab/>
        <w:t>The interviewer obtains the answer to the question that is asked by:</w:t>
      </w:r>
    </w:p>
    <w:p>
      <w:pPr>
        <w:pStyle w:val="Number11bodybullet"/>
        <w:rPr/>
      </w:pPr>
      <w:r>
        <w:rPr/>
        <w:tab/>
      </w:r>
      <w:r>
        <w:rPr>
          <w:rFonts w:eastAsia="Symbol" w:cs="Symbol" w:ascii="Symbol" w:hAnsi="Symbol"/>
        </w:rPr>
        <w:t></w:t>
      </w:r>
      <w:r>
        <w:rPr/>
        <w:tab/>
        <w:t>Proper use of probes.</w:t>
      </w:r>
    </w:p>
    <w:p>
      <w:pPr>
        <w:pStyle w:val="Number11bodybullet"/>
        <w:rPr/>
      </w:pPr>
      <w:r>
        <w:rPr/>
        <w:tab/>
      </w:r>
      <w:r>
        <w:rPr>
          <w:rFonts w:eastAsia="Symbol" w:cs="Symbol" w:ascii="Symbol" w:hAnsi="Symbol"/>
        </w:rPr>
        <w:t></w:t>
      </w:r>
      <w:r>
        <w:rPr/>
        <w:tab/>
        <w:t>Repeating a question rather than interpreting it.</w:t>
      </w:r>
    </w:p>
    <w:p>
      <w:pPr>
        <w:pStyle w:val="Number11bodybullet"/>
        <w:rPr/>
      </w:pPr>
      <w:r>
        <w:rPr/>
      </w:r>
    </w:p>
    <w:p>
      <w:pPr>
        <w:pStyle w:val="Number11"/>
        <w:rPr/>
      </w:pPr>
      <w:r>
        <w:rPr/>
        <w:tab/>
        <w:t>2.4</w:t>
        <w:tab/>
        <w:t>The interviewer obtains clarification of confusing answers.</w:t>
      </w:r>
    </w:p>
    <w:p>
      <w:pPr>
        <w:pStyle w:val="Number11"/>
        <w:rPr/>
      </w:pPr>
      <w:r>
        <w:rPr/>
      </w:r>
    </w:p>
    <w:p>
      <w:pPr>
        <w:pStyle w:val="Number11"/>
        <w:rPr/>
      </w:pPr>
      <w:r>
        <w:rPr/>
        <w:tab/>
        <w:t>2.5</w:t>
        <w:tab/>
        <w:t>The interviewer gives only neutral responses to the respondent's answers.</w:t>
      </w:r>
    </w:p>
    <w:p>
      <w:pPr>
        <w:pStyle w:val="Number11"/>
        <w:rPr/>
      </w:pPr>
      <w:r>
        <w:rPr/>
      </w:r>
    </w:p>
    <w:p>
      <w:pPr>
        <w:pStyle w:val="Number11"/>
        <w:rPr/>
      </w:pPr>
      <w:r>
        <w:rPr/>
        <w:tab/>
        <w:t>2.6</w:t>
        <w:tab/>
        <w:t>The interviewer accurately records responses.</w:t>
      </w:r>
    </w:p>
    <w:p>
      <w:pPr>
        <w:pStyle w:val="Number11"/>
        <w:rPr/>
      </w:pPr>
      <w:r>
        <w:rPr/>
      </w:r>
    </w:p>
    <w:p>
      <w:pPr>
        <w:pStyle w:val="Number1"/>
        <w:rPr/>
      </w:pPr>
      <w:r>
        <w:rPr/>
        <w:tab/>
        <w:t>3.0</w:t>
        <w:tab/>
      </w:r>
      <w:r>
        <w:rPr>
          <w:u w:val="single"/>
        </w:rPr>
        <w:t>Specific skills required for interviewers</w:t>
      </w:r>
    </w:p>
    <w:p>
      <w:pPr>
        <w:pStyle w:val="Number11"/>
        <w:rPr/>
      </w:pPr>
      <w:r>
        <w:rPr/>
      </w:r>
    </w:p>
    <w:p>
      <w:pPr>
        <w:pStyle w:val="Number11"/>
        <w:rPr/>
      </w:pPr>
      <w:r>
        <w:rPr/>
        <w:tab/>
        <w:t>3.1</w:t>
        <w:tab/>
        <w:t>The ability to ask questions at the correct pace and in a conversational tone.</w:t>
      </w:r>
    </w:p>
    <w:p>
      <w:pPr>
        <w:pStyle w:val="Number11"/>
        <w:rPr/>
      </w:pPr>
      <w:r>
        <w:rPr/>
      </w:r>
    </w:p>
    <w:p>
      <w:pPr>
        <w:pStyle w:val="Number11"/>
        <w:rPr/>
      </w:pPr>
      <w:r>
        <w:rPr/>
        <w:tab/>
        <w:t>3.2</w:t>
        <w:tab/>
        <w:t>A thorough knowledge of the questions and response categories (this will keep the interview flowing smoothly).</w:t>
      </w:r>
    </w:p>
    <w:p>
      <w:pPr>
        <w:pStyle w:val="Number11"/>
        <w:rPr/>
      </w:pPr>
      <w:r>
        <w:rPr/>
      </w:r>
    </w:p>
    <w:p>
      <w:pPr>
        <w:pStyle w:val="Number11"/>
        <w:rPr/>
      </w:pPr>
      <w:r>
        <w:rPr/>
        <w:tab/>
        <w:t>3.3</w:t>
        <w:tab/>
        <w:t>Knowledge of how and when to use probes.</w:t>
      </w:r>
    </w:p>
    <w:p>
      <w:pPr>
        <w:pStyle w:val="Number11"/>
        <w:rPr/>
      </w:pPr>
      <w:r>
        <w:rPr/>
      </w:r>
    </w:p>
    <w:p>
      <w:pPr>
        <w:pStyle w:val="Number11"/>
        <w:rPr/>
      </w:pPr>
      <w:r>
        <w:rPr/>
        <w:tab/>
        <w:t>3.4</w:t>
        <w:tab/>
        <w:t>The ability to think as an interviewer and to temporarily put aside other roles (e.g., researcher, health care provider).</w:t>
      </w:r>
    </w:p>
    <w:p>
      <w:pPr>
        <w:pStyle w:val="Number11"/>
        <w:rPr/>
      </w:pPr>
      <w:r>
        <w:rPr/>
      </w:r>
    </w:p>
    <w:p>
      <w:pPr>
        <w:pStyle w:val="Number11"/>
        <w:rPr/>
      </w:pPr>
      <w:r>
        <w:rPr/>
        <w:tab/>
        <w:t>3.5</w:t>
        <w:tab/>
        <w:t>The ability to maintain a positive attitude about the interview (this lets the respondent know that the interview is important).</w:t>
      </w:r>
    </w:p>
    <w:p>
      <w:pPr>
        <w:pStyle w:val="Number11"/>
        <w:rPr/>
      </w:pPr>
      <w:r>
        <w:rPr/>
      </w:r>
    </w:p>
    <w:p>
      <w:pPr>
        <w:pStyle w:val="Number11"/>
        <w:rPr/>
      </w:pPr>
      <w:r>
        <w:rPr/>
        <w:tab/>
        <w:t>3.6</w:t>
        <w:tab/>
        <w:t>The ability to keep some level of control over the interview process (e.g., by rewarding the respondent for answering questions but not for other behavior).</w:t>
      </w:r>
    </w:p>
    <w:p>
      <w:pPr>
        <w:pStyle w:val="Number11"/>
        <w:rPr/>
      </w:pPr>
      <w:r>
        <w:rPr/>
      </w:r>
    </w:p>
    <w:p>
      <w:pPr>
        <w:pStyle w:val="Number11"/>
        <w:rPr/>
      </w:pPr>
      <w:r>
        <w:rPr/>
        <w:tab/>
        <w:t>3.7</w:t>
        <w:tab/>
        <w:t>Additional interviewer attributes:</w:t>
      </w:r>
    </w:p>
    <w:p>
      <w:pPr>
        <w:pStyle w:val="Number11bodybullet"/>
        <w:rPr/>
      </w:pPr>
      <w:r>
        <w:rPr/>
        <w:tab/>
      </w:r>
      <w:r>
        <w:rPr>
          <w:rFonts w:eastAsia="Symbol" w:cs="Symbol" w:ascii="Symbol" w:hAnsi="Symbol"/>
        </w:rPr>
        <w:t></w:t>
      </w:r>
      <w:r>
        <w:rPr/>
        <w:tab/>
        <w:t>Mobility (for personal interviews)</w:t>
      </w:r>
    </w:p>
    <w:p>
      <w:pPr>
        <w:pStyle w:val="Number11bodybullet"/>
        <w:rPr/>
      </w:pPr>
      <w:r>
        <w:rPr/>
        <w:tab/>
      </w:r>
      <w:r>
        <w:rPr>
          <w:rFonts w:eastAsia="Symbol" w:cs="Symbol" w:ascii="Symbol" w:hAnsi="Symbol"/>
        </w:rPr>
        <w:t></w:t>
      </w:r>
      <w:r>
        <w:rPr/>
        <w:tab/>
        <w:t>Flexibility over schedule</w:t>
      </w:r>
    </w:p>
    <w:p>
      <w:pPr>
        <w:pStyle w:val="Number11bodybullet"/>
        <w:rPr/>
      </w:pPr>
      <w:r>
        <w:rPr/>
        <w:tab/>
      </w:r>
      <w:r>
        <w:rPr>
          <w:rFonts w:eastAsia="Symbol" w:cs="Symbol" w:ascii="Symbol" w:hAnsi="Symbol"/>
        </w:rPr>
        <w:t></w:t>
      </w:r>
      <w:r>
        <w:rPr/>
        <w:tab/>
        <w:t>Neat, pleasant, professional appearance</w:t>
      </w:r>
    </w:p>
    <w:p>
      <w:pPr>
        <w:pStyle w:val="Number11bodybullet"/>
        <w:rPr/>
      </w:pPr>
      <w:r>
        <w:rPr/>
        <w:tab/>
      </w:r>
      <w:r>
        <w:rPr>
          <w:rFonts w:eastAsia="Symbol" w:cs="Symbol" w:ascii="Symbol" w:hAnsi="Symbol"/>
        </w:rPr>
        <w:t></w:t>
      </w:r>
      <w:r>
        <w:rPr/>
        <w:tab/>
        <w:t>Not too timid, not too aggressive</w:t>
      </w:r>
    </w:p>
    <w:p>
      <w:pPr>
        <w:pStyle w:val="Number11bodybullet"/>
        <w:rPr/>
      </w:pPr>
      <w:r>
        <w:rPr/>
      </w:r>
    </w:p>
    <w:p>
      <w:pPr>
        <w:pStyle w:val="Number1"/>
        <w:rPr/>
      </w:pPr>
      <w:r>
        <w:rPr/>
        <w:tab/>
        <w:t>4.0</w:t>
        <w:tab/>
      </w:r>
      <w:r>
        <w:rPr>
          <w:u w:val="single"/>
        </w:rPr>
        <w:t>Interviewer training</w:t>
      </w:r>
    </w:p>
    <w:p>
      <w:pPr>
        <w:pStyle w:val="Normal"/>
        <w:ind w:left="720" w:hanging="0"/>
        <w:rPr/>
      </w:pPr>
      <w:r>
        <w:rPr/>
      </w:r>
    </w:p>
    <w:p>
      <w:pPr>
        <w:pStyle w:val="Number11"/>
        <w:rPr/>
      </w:pPr>
      <w:r>
        <w:rPr/>
        <w:tab/>
        <w:t>4.1</w:t>
        <w:tab/>
        <w:t>Training must cover all aspects of the interview, including:</w:t>
      </w:r>
    </w:p>
    <w:p>
      <w:pPr>
        <w:pStyle w:val="Number11bodybullet"/>
        <w:rPr/>
      </w:pPr>
      <w:r>
        <w:rPr/>
        <w:tab/>
      </w:r>
      <w:r>
        <w:rPr>
          <w:rFonts w:eastAsia="Symbol" w:cs="Symbol" w:ascii="Symbol" w:hAnsi="Symbol"/>
        </w:rPr>
        <w:t></w:t>
      </w:r>
      <w:r>
        <w:rPr/>
        <w:tab/>
        <w:t>Introducing yourself</w:t>
      </w:r>
    </w:p>
    <w:p>
      <w:pPr>
        <w:pStyle w:val="Number11bodybullet"/>
        <w:rPr/>
      </w:pPr>
      <w:r>
        <w:rPr/>
        <w:tab/>
      </w:r>
      <w:r>
        <w:rPr>
          <w:rFonts w:eastAsia="Symbol" w:cs="Symbol" w:ascii="Symbol" w:hAnsi="Symbol"/>
        </w:rPr>
        <w:t></w:t>
      </w:r>
      <w:r>
        <w:rPr/>
        <w:tab/>
        <w:t>Handling people who are reluctant "at the door"</w:t>
      </w:r>
    </w:p>
    <w:p>
      <w:pPr>
        <w:pStyle w:val="Number11bodybullet"/>
        <w:rPr/>
      </w:pPr>
      <w:r>
        <w:rPr/>
        <w:tab/>
      </w:r>
      <w:r>
        <w:rPr>
          <w:rFonts w:eastAsia="Symbol" w:cs="Symbol" w:ascii="Symbol" w:hAnsi="Symbol"/>
        </w:rPr>
        <w:t></w:t>
      </w:r>
      <w:r>
        <w:rPr/>
        <w:tab/>
        <w:t>Following instructions for selection of respondent</w:t>
      </w:r>
    </w:p>
    <w:p>
      <w:pPr>
        <w:pStyle w:val="Number11bodybullet"/>
        <w:rPr/>
      </w:pPr>
      <w:r>
        <w:rPr/>
        <w:tab/>
      </w:r>
      <w:r>
        <w:rPr>
          <w:rFonts w:eastAsia="Symbol" w:cs="Symbol" w:ascii="Symbol" w:hAnsi="Symbol"/>
        </w:rPr>
        <w:t></w:t>
      </w:r>
      <w:r>
        <w:rPr/>
        <w:tab/>
        <w:t>Obtaining consent</w:t>
      </w:r>
    </w:p>
    <w:p>
      <w:pPr>
        <w:pStyle w:val="Number11bodybullet"/>
        <w:rPr/>
      </w:pPr>
      <w:r>
        <w:rPr/>
        <w:tab/>
      </w:r>
      <w:r>
        <w:rPr>
          <w:rFonts w:eastAsia="Symbol" w:cs="Symbol" w:ascii="Symbol" w:hAnsi="Symbol"/>
        </w:rPr>
        <w:t></w:t>
      </w:r>
      <w:r>
        <w:rPr/>
        <w:tab/>
        <w:t>Answering questions</w:t>
      </w:r>
    </w:p>
    <w:p>
      <w:pPr>
        <w:pStyle w:val="Number11bodybullet"/>
        <w:rPr/>
      </w:pPr>
      <w:r>
        <w:rPr/>
        <w:tab/>
      </w:r>
      <w:r>
        <w:rPr>
          <w:rFonts w:eastAsia="Symbol" w:cs="Symbol" w:ascii="Symbol" w:hAnsi="Symbol"/>
        </w:rPr>
        <w:t></w:t>
      </w:r>
      <w:r>
        <w:rPr/>
        <w:tab/>
        <w:t>Obtaining privacy for the interview</w:t>
      </w:r>
    </w:p>
    <w:p>
      <w:pPr>
        <w:pStyle w:val="Number11bodybullet"/>
        <w:rPr/>
      </w:pPr>
      <w:r>
        <w:rPr/>
        <w:tab/>
      </w:r>
      <w:r>
        <w:rPr>
          <w:rFonts w:eastAsia="Symbol" w:cs="Symbol" w:ascii="Symbol" w:hAnsi="Symbol"/>
        </w:rPr>
        <w:t></w:t>
      </w:r>
      <w:r>
        <w:rPr/>
        <w:tab/>
        <w:t>Setting respondent at ease</w:t>
      </w:r>
    </w:p>
    <w:p>
      <w:pPr>
        <w:pStyle w:val="Number11bodybullet"/>
        <w:rPr/>
      </w:pPr>
      <w:r>
        <w:rPr/>
        <w:tab/>
      </w:r>
      <w:r>
        <w:rPr>
          <w:rFonts w:eastAsia="Symbol" w:cs="Symbol" w:ascii="Symbol" w:hAnsi="Symbol"/>
        </w:rPr>
        <w:t></w:t>
      </w:r>
      <w:r>
        <w:rPr/>
        <w:tab/>
        <w:t>Administering the interview</w:t>
      </w:r>
    </w:p>
    <w:p>
      <w:pPr>
        <w:pStyle w:val="Number11bodybullet"/>
        <w:rPr/>
      </w:pPr>
      <w:r>
        <w:rPr/>
        <w:tab/>
      </w:r>
      <w:r>
        <w:rPr>
          <w:rFonts w:eastAsia="Symbol" w:cs="Symbol" w:ascii="Symbol" w:hAnsi="Symbol"/>
        </w:rPr>
        <w:t></w:t>
      </w:r>
      <w:r>
        <w:rPr/>
        <w:tab/>
        <w:t>Ending the interview</w:t>
      </w:r>
    </w:p>
    <w:p>
      <w:pPr>
        <w:pStyle w:val="Number11"/>
        <w:rPr/>
      </w:pPr>
      <w:r>
        <w:rPr/>
      </w:r>
    </w:p>
    <w:p>
      <w:pPr>
        <w:pStyle w:val="Number11"/>
        <w:rPr/>
      </w:pPr>
      <w:r>
        <w:rPr/>
        <w:tab/>
        <w:t>4.2</w:t>
        <w:tab/>
        <w:t>Role playing, using both standard and problematic situations, is an important aspect of training and allows trainees to discuss and solve problem that could arise in an interview with a participant.</w:t>
      </w:r>
    </w:p>
    <w:p>
      <w:pPr>
        <w:pStyle w:val="Normal"/>
        <w:ind w:left="720" w:hanging="0"/>
        <w:rPr/>
      </w:pPr>
      <w:r>
        <w:rPr/>
      </w:r>
    </w:p>
    <w:p>
      <w:pPr>
        <w:pStyle w:val="Romanbold"/>
        <w:rPr/>
      </w:pPr>
      <w:r>
        <w:rPr/>
        <w:tab/>
        <w:t>II.</w:t>
        <w:tab/>
        <w:t>INTERVIEWING TECHNIQUES</w:t>
      </w:r>
    </w:p>
    <w:p>
      <w:pPr>
        <w:pStyle w:val="Normal"/>
        <w:rPr/>
      </w:pPr>
      <w:r>
        <w:rPr/>
      </w:r>
    </w:p>
    <w:p>
      <w:pPr>
        <w:pStyle w:val="Number1"/>
        <w:rPr/>
      </w:pPr>
      <w:r>
        <w:rPr/>
        <w:tab/>
        <w:t>1.</w:t>
        <w:tab/>
      </w:r>
      <w:r>
        <w:rPr>
          <w:u w:val="single"/>
        </w:rPr>
        <w:t>Standardized Interviewing Technique</w:t>
      </w:r>
    </w:p>
    <w:p>
      <w:pPr>
        <w:pStyle w:val="Normal"/>
        <w:ind w:left="720" w:hanging="0"/>
        <w:rPr/>
      </w:pPr>
      <w:r>
        <w:rPr/>
      </w:r>
    </w:p>
    <w:p>
      <w:pPr>
        <w:pStyle w:val="Number11"/>
        <w:rPr/>
      </w:pPr>
      <w:r>
        <w:rPr/>
        <w:tab/>
        <w:t>1.1</w:t>
        <w:tab/>
        <w:t xml:space="preserve">MESA is a collaborative study being conducted through six field centers located throughout the United States. The goal of this collaboration is to produce a study that represents 6600 people throughout the country rather than 1100 from each of six smaller, geographically-scattered areas. </w:t>
      </w:r>
    </w:p>
    <w:p>
      <w:pPr>
        <w:pStyle w:val="Number11"/>
        <w:rPr/>
      </w:pPr>
      <w:r>
        <w:rPr/>
      </w:r>
    </w:p>
    <w:p>
      <w:pPr>
        <w:pStyle w:val="Number11"/>
        <w:rPr/>
      </w:pPr>
      <w:r>
        <w:rPr/>
        <w:tab/>
        <w:t>1.2</w:t>
        <w:tab/>
        <w:t>In order to produce data that can be considered collaborative, MESA study designers must develop and use standardized approaches to train interviewers and collect information about participants. Standardization is achieved by using scripts in training, training supervisors centrally, establishing qualifications for supervisors, reviewing collected data, taping and reviewing interviews, and, finally, observing interviewers in the field.</w:t>
      </w:r>
    </w:p>
    <w:p>
      <w:pPr>
        <w:pStyle w:val="Number11"/>
        <w:rPr/>
      </w:pPr>
      <w:r>
        <w:rPr/>
      </w:r>
    </w:p>
    <w:p>
      <w:pPr>
        <w:pStyle w:val="Number11"/>
        <w:rPr/>
      </w:pPr>
      <w:r>
        <w:rPr/>
        <w:tab/>
        <w:t>1.3</w:t>
        <w:tab/>
        <w:t xml:space="preserve">Trainers will use scripts to teach probing techniques and to determine if interviewers are following skip patterns in the forms and adhering to the protocol. All </w:t>
      </w:r>
      <w:r>
        <w:rPr>
          <w:i/>
          <w:iCs/>
        </w:rPr>
        <w:t>clinic</w:t>
      </w:r>
      <w:r>
        <w:rPr/>
        <w:t xml:space="preserve"> interviews will be taped. Interviewers will be trained to introduce taping to the study respondent and to secure his/her agreement. The Interviewer Supervisor will systematically review tapes to determine if questions are asked as written. Interviewers will be trained to avoid leading or providing answers for the study respondent. </w:t>
      </w:r>
    </w:p>
    <w:p>
      <w:pPr>
        <w:pStyle w:val="Number11"/>
        <w:rPr/>
      </w:pPr>
      <w:r>
        <w:rPr/>
        <w:t xml:space="preserve"> </w:t>
      </w:r>
    </w:p>
    <w:p>
      <w:pPr>
        <w:pStyle w:val="Number11"/>
        <w:rPr/>
      </w:pPr>
      <w:r>
        <w:rPr/>
        <w:tab/>
        <w:t>1.4</w:t>
        <w:tab/>
        <w:t>The study is further standardized by using centralized training for supervisors and, where possible, for interviewers. We will initially train local interviewer supervisors; they, in turn, will train new, on-site personnel as needed. Supervisors will be in touch with each other and will share tapes to determine protocol adherence.</w:t>
      </w:r>
    </w:p>
    <w:p>
      <w:pPr>
        <w:pStyle w:val="Normal"/>
        <w:ind w:left="720" w:hanging="0"/>
        <w:rPr/>
      </w:pPr>
      <w:r>
        <w:rPr/>
      </w:r>
    </w:p>
    <w:p>
      <w:pPr>
        <w:pStyle w:val="Number1"/>
        <w:rPr/>
      </w:pPr>
      <w:r>
        <w:rPr/>
        <w:tab/>
        <w:t>2.</w:t>
        <w:tab/>
      </w:r>
      <w:r>
        <w:rPr>
          <w:u w:val="single"/>
        </w:rPr>
        <w:t>Recruiting the Study Respondent</w:t>
      </w:r>
    </w:p>
    <w:p>
      <w:pPr>
        <w:pStyle w:val="Normal"/>
        <w:ind w:left="720" w:hanging="0"/>
        <w:rPr/>
      </w:pPr>
      <w:r>
        <w:rPr/>
      </w:r>
    </w:p>
    <w:p>
      <w:pPr>
        <w:pStyle w:val="Number1body"/>
        <w:rPr>
          <w:b/>
          <w:b/>
        </w:rPr>
      </w:pPr>
      <w:r>
        <w:rPr/>
        <w:t xml:space="preserve">MESA participants represent a variety of people, ranging in age from 45 to 84. The first contact with the study respondent will be by telephone. Because telephone contact can make it easy for the respondent to decline, interviewers will be trained in effective telephone technique. They will also be taught to overcome respondents’ objections and deal with difficult situations, some of which are described below. </w:t>
      </w:r>
    </w:p>
    <w:p>
      <w:pPr>
        <w:pStyle w:val="Number11"/>
        <w:rPr>
          <w:b/>
          <w:b/>
        </w:rPr>
      </w:pPr>
      <w:r>
        <w:rPr>
          <w:b/>
        </w:rPr>
      </w:r>
    </w:p>
    <w:p>
      <w:pPr>
        <w:pStyle w:val="Number11"/>
        <w:rPr/>
      </w:pPr>
      <w:r>
        <w:rPr/>
        <w:tab/>
        <w:t>2.1</w:t>
        <w:tab/>
      </w:r>
      <w:r>
        <w:rPr>
          <w:u w:val="single"/>
        </w:rPr>
        <w:t>Suspicion about the project</w:t>
      </w:r>
      <w:r>
        <w:rPr/>
        <w:t>. Many people will not be aware that NIH is doing a study in the community and will seem suspicious. Your thorough understanding of the study will help to allay the respondent’s fears or suspicions. You must learn to put the respondent at ease and to establish the legitimacy of your call.</w:t>
      </w:r>
    </w:p>
    <w:p>
      <w:pPr>
        <w:pStyle w:val="Number11body"/>
        <w:rPr/>
      </w:pPr>
      <w:r>
        <w:rPr/>
      </w:r>
    </w:p>
    <w:p>
      <w:pPr>
        <w:pStyle w:val="Number11"/>
        <w:rPr/>
      </w:pPr>
      <w:r>
        <w:rPr/>
        <w:t xml:space="preserve"> </w:t>
      </w:r>
      <w:r>
        <w:rPr/>
        <w:tab/>
        <w:t>2.2</w:t>
        <w:tab/>
      </w:r>
      <w:r>
        <w:rPr>
          <w:u w:val="single"/>
        </w:rPr>
        <w:t>Handicaps</w:t>
      </w:r>
      <w:r>
        <w:rPr/>
        <w:t>. If a respondent has a disability, you must determine its severity and if it will prevent the respondent from participating in the study. If the respondent has a person who can act as a proxy, you will need to secure their agreement to participate with the study respondent.  If no such person exists, thank the study respondent and terminate the interview. Code the result appropriately and provide notes so that your supervisor can evaluate the case.</w:t>
      </w:r>
    </w:p>
    <w:p>
      <w:pPr>
        <w:pStyle w:val="Number11body"/>
        <w:rPr/>
      </w:pPr>
      <w:r>
        <w:rPr/>
      </w:r>
    </w:p>
    <w:p>
      <w:pPr>
        <w:pStyle w:val="Number11"/>
        <w:rPr/>
      </w:pPr>
      <w:r>
        <w:rPr/>
        <w:tab/>
        <w:t>2.3</w:t>
        <w:tab/>
      </w:r>
      <w:r>
        <w:rPr>
          <w:u w:val="single"/>
        </w:rPr>
        <w:t>Difficulty in understanding the questions</w:t>
      </w:r>
      <w:r>
        <w:rPr/>
        <w:t>. Some of your calls will be with persons who have difficulty understanding your questions. Read questions slowly and distinctly and allow the respondent adequate time to answer. Repeat questions, if necessary, but be careful not to insult the respondent by suggesting that he/she does not understand.</w:t>
      </w:r>
    </w:p>
    <w:p>
      <w:pPr>
        <w:pStyle w:val="Number11body"/>
        <w:rPr/>
      </w:pPr>
      <w:r>
        <w:rPr/>
      </w:r>
    </w:p>
    <w:p>
      <w:pPr>
        <w:pStyle w:val="Number11"/>
        <w:rPr/>
      </w:pPr>
      <w:r>
        <w:rPr/>
        <w:tab/>
        <w:t>2.4</w:t>
        <w:tab/>
      </w:r>
      <w:r>
        <w:rPr>
          <w:u w:val="single"/>
        </w:rPr>
        <w:t>Focusing the interview</w:t>
      </w:r>
      <w:r>
        <w:rPr/>
        <w:t>. Some respondents will welcome the opportunity to talk to a neutral person about their health and family problems. In doing so, they may stray from the questions asked. You must know when to allow a respondent time to elaborate and when to re-focus him/her on the question. Control the interview, but do not alienate the respondent.</w:t>
      </w:r>
    </w:p>
    <w:p>
      <w:pPr>
        <w:pStyle w:val="Number11body"/>
        <w:rPr/>
      </w:pPr>
      <w:r>
        <w:rPr/>
      </w:r>
    </w:p>
    <w:p>
      <w:pPr>
        <w:pStyle w:val="Number11"/>
        <w:rPr/>
      </w:pPr>
      <w:r>
        <w:rPr/>
        <w:tab/>
        <w:t>2.5</w:t>
        <w:tab/>
      </w:r>
      <w:r>
        <w:rPr>
          <w:u w:val="single"/>
        </w:rPr>
        <w:t>Leading the respondent</w:t>
      </w:r>
      <w:r>
        <w:rPr/>
        <w:t xml:space="preserve">.  Some respondents will give answers that they believe you and/or the government </w:t>
      </w:r>
      <w:r>
        <w:rPr>
          <w:i/>
          <w:iCs/>
        </w:rPr>
        <w:t xml:space="preserve">expect; </w:t>
      </w:r>
      <w:r>
        <w:rPr/>
        <w:t>and they may expect you to help them with answers rather than give their own opinions or information. We are trying to gather objective data. Reassure the study respondents that there are no wrong or right answers. Encourage them to respond out of their experience and their knowledge.</w:t>
      </w:r>
    </w:p>
    <w:p>
      <w:pPr>
        <w:pStyle w:val="Number11body"/>
        <w:rPr/>
      </w:pPr>
      <w:r>
        <w:rPr/>
      </w:r>
    </w:p>
    <w:p>
      <w:pPr>
        <w:pStyle w:val="Number11"/>
        <w:rPr/>
      </w:pPr>
      <w:r>
        <w:rPr/>
        <w:tab/>
        <w:t>2.6</w:t>
        <w:tab/>
      </w:r>
      <w:r>
        <w:rPr>
          <w:u w:val="single"/>
        </w:rPr>
        <w:t>Diffusing sensitive questions</w:t>
      </w:r>
      <w:r>
        <w:rPr/>
        <w:t xml:space="preserve">.  Some respondents may hesitate or decline to answer questions they consider intrusive or sensitive (e.g., questions about alcohol consumption or income). Your professional handling of a sensitive issue can help to alleviate their fears. The more secure you feel about the confidentiality of the study, the more apt you will be to give a sense of security to the study respondent. However, if all else fails, you may simply offer them the option to decline answering a specific question. </w:t>
      </w:r>
    </w:p>
    <w:p>
      <w:pPr>
        <w:pStyle w:val="Number11body"/>
        <w:rPr/>
      </w:pPr>
      <w:r>
        <w:rPr/>
      </w:r>
    </w:p>
    <w:p>
      <w:pPr>
        <w:pStyle w:val="Number11"/>
        <w:rPr/>
      </w:pPr>
      <w:r>
        <w:rPr/>
        <w:tab/>
        <w:t>2.7</w:t>
        <w:tab/>
      </w:r>
      <w:r>
        <w:rPr>
          <w:u w:val="single"/>
        </w:rPr>
        <w:t>Getting permission from study respondent's family</w:t>
      </w:r>
      <w:r>
        <w:rPr/>
        <w:t>. It is important that the family of the respondent be clear about what is involved in the process of recruitment. Encourage both family members and respondent to raise questions or concerns about the study and the respondent’s participation in it. Encouraging them to ask questions, and your thorough and thoughtful responses to those questions, will help to alleviate their concerns.</w:t>
      </w:r>
    </w:p>
    <w:p>
      <w:pPr>
        <w:pStyle w:val="Number11body"/>
        <w:rPr>
          <w:b/>
          <w:b/>
          <w:sz w:val="22"/>
        </w:rPr>
      </w:pPr>
      <w:r>
        <w:rPr>
          <w:b/>
          <w:sz w:val="22"/>
        </w:rPr>
      </w:r>
    </w:p>
    <w:p>
      <w:pPr>
        <w:pStyle w:val="Romanbold"/>
        <w:rPr/>
      </w:pPr>
      <w:r>
        <w:rPr/>
        <w:tab/>
        <w:t>III.</w:t>
        <w:tab/>
        <w:t>The INTERVIew</w:t>
      </w:r>
    </w:p>
    <w:p>
      <w:pPr>
        <w:pStyle w:val="Normal"/>
        <w:ind w:left="720" w:hanging="0"/>
        <w:rPr/>
      </w:pPr>
      <w:r>
        <w:rPr/>
      </w:r>
    </w:p>
    <w:p>
      <w:pPr>
        <w:pStyle w:val="Romanbody"/>
        <w:rPr/>
      </w:pPr>
      <w:r>
        <w:rPr/>
        <w:t>The following procedures are recommended for a successful interview:</w:t>
      </w:r>
    </w:p>
    <w:p>
      <w:pPr>
        <w:pStyle w:val="Normal"/>
        <w:ind w:left="720" w:hanging="0"/>
        <w:rPr/>
      </w:pPr>
      <w:r>
        <w:rPr/>
      </w:r>
    </w:p>
    <w:p>
      <w:pPr>
        <w:pStyle w:val="Number1"/>
        <w:rPr/>
      </w:pPr>
      <w:r>
        <w:rPr/>
        <w:tab/>
        <w:t>1.</w:t>
        <w:tab/>
        <w:t>Prior to the visit prepare all materials (e.g., appropriate forms, identification, stamped self-addressed envelopes) that will be necessary for the interview.</w:t>
      </w:r>
    </w:p>
    <w:p>
      <w:pPr>
        <w:pStyle w:val="Number1"/>
        <w:rPr/>
      </w:pPr>
      <w:r>
        <w:rPr/>
      </w:r>
    </w:p>
    <w:p>
      <w:pPr>
        <w:pStyle w:val="Number1"/>
        <w:rPr/>
      </w:pPr>
      <w:r>
        <w:rPr/>
        <w:tab/>
        <w:t>2.</w:t>
        <w:tab/>
        <w:t>The interviewer should confirm the appointment with the participant to avoid confusion</w:t>
      </w:r>
    </w:p>
    <w:p>
      <w:pPr>
        <w:pStyle w:val="Number1"/>
        <w:rPr/>
      </w:pPr>
      <w:r>
        <w:rPr/>
      </w:r>
    </w:p>
    <w:p>
      <w:pPr>
        <w:pStyle w:val="Number1"/>
        <w:rPr/>
      </w:pPr>
      <w:r>
        <w:rPr/>
        <w:tab/>
        <w:t>3.</w:t>
        <w:tab/>
        <w:t>Find an area where both you and the participant can talk and write comfortably with minimal distractions.</w:t>
      </w:r>
    </w:p>
    <w:p>
      <w:pPr>
        <w:pStyle w:val="Number1"/>
        <w:rPr/>
      </w:pPr>
      <w:r>
        <w:rPr/>
      </w:r>
    </w:p>
    <w:p>
      <w:pPr>
        <w:pStyle w:val="Number1"/>
        <w:rPr/>
      </w:pPr>
      <w:r>
        <w:rPr/>
        <w:tab/>
        <w:t>4.</w:t>
        <w:tab/>
        <w:t>Make sure that the participant understands the questions and that you are interpreting the responses accurately. Do this by restating what you think the participant is telling you or asking him/her to restate the question you are asking. At the same time, be careful not to impose your interpretations on the interview questions or the participant's comments.</w:t>
      </w:r>
    </w:p>
    <w:p>
      <w:pPr>
        <w:pStyle w:val="Number1"/>
        <w:rPr/>
      </w:pPr>
      <w:r>
        <w:rPr/>
      </w:r>
    </w:p>
    <w:p>
      <w:pPr>
        <w:pStyle w:val="Number1"/>
        <w:rPr/>
      </w:pPr>
      <w:r>
        <w:rPr/>
        <w:tab/>
        <w:t>5.</w:t>
        <w:tab/>
        <w:t>Convey your interest in the participant’s thoughts and feelings, but do your best to keep him/her focused on the interview questions. When the participant strays from a question, try to use what he/she is saying to redirect the conversation back to the interview questions. Give positive reinforcement for direct answers. If necessary, set time limits at the outset of the interview to encourage the participant to stay on track.</w:t>
      </w:r>
    </w:p>
    <w:p>
      <w:pPr>
        <w:pStyle w:val="Number1"/>
        <w:rPr/>
      </w:pPr>
      <w:r>
        <w:rPr/>
      </w:r>
    </w:p>
    <w:p>
      <w:pPr>
        <w:pStyle w:val="Number1"/>
        <w:rPr/>
      </w:pPr>
      <w:r>
        <w:rPr/>
        <w:tab/>
        <w:t>6.</w:t>
        <w:tab/>
        <w:t xml:space="preserve">Participants may try to convince you to answer certain questions for them.  Let the participants know that you are interested in </w:t>
      </w:r>
      <w:r>
        <w:rPr>
          <w:i/>
          <w:iCs/>
        </w:rPr>
        <w:t xml:space="preserve">their </w:t>
      </w:r>
      <w:r>
        <w:rPr/>
        <w:t>answers.</w:t>
      </w:r>
    </w:p>
    <w:p>
      <w:pPr>
        <w:pStyle w:val="Number1"/>
        <w:rPr/>
      </w:pPr>
      <w:r>
        <w:rPr/>
      </w:r>
    </w:p>
    <w:p>
      <w:pPr>
        <w:pStyle w:val="Number1"/>
        <w:rPr/>
      </w:pPr>
      <w:r>
        <w:rPr/>
        <w:tab/>
        <w:t>7.</w:t>
        <w:tab/>
        <w:t>Be aware of any hearing and vision impairments and their effects on the participant's understanding of the interview questions. If necessary, read the interview questions to participants who have visual impairments or limited reading ability.</w:t>
      </w:r>
    </w:p>
    <w:p>
      <w:pPr>
        <w:pStyle w:val="Number1"/>
        <w:rPr/>
      </w:pPr>
      <w:r>
        <w:rPr/>
      </w:r>
    </w:p>
    <w:p>
      <w:pPr>
        <w:pStyle w:val="Number1"/>
        <w:rPr/>
      </w:pPr>
      <w:r>
        <w:rPr/>
        <w:tab/>
        <w:t>8.</w:t>
        <w:tab/>
        <w:t>Communicate with other interviewers and the project director to share ideas about how to deal with difficult situations and to agree on consistent explanations for questions that are frequently misunderstood by participants.</w:t>
      </w:r>
    </w:p>
    <w:p>
      <w:pPr>
        <w:pStyle w:val="Number1"/>
        <w:rPr/>
      </w:pPr>
      <w:r>
        <w:rPr/>
      </w:r>
    </w:p>
    <w:p>
      <w:pPr>
        <w:pStyle w:val="Number1"/>
        <w:rPr/>
      </w:pPr>
      <w:r>
        <w:rPr/>
        <w:tab/>
        <w:t>9.</w:t>
        <w:tab/>
        <w:t>Encourage, but do not force, participants to answer to all questions.</w:t>
      </w:r>
    </w:p>
    <w:p>
      <w:pPr>
        <w:pStyle w:val="Number1"/>
        <w:rPr/>
      </w:pPr>
      <w:r>
        <w:rPr/>
      </w:r>
    </w:p>
    <w:p>
      <w:pPr>
        <w:pStyle w:val="Number1"/>
        <w:rPr/>
      </w:pPr>
      <w:r>
        <w:rPr/>
        <w:tab/>
        <w:t>10.</w:t>
        <w:tab/>
        <w:t>If non-participants are present during the visit, address the participant directly and do not encourage conversation with other parties. If necessary, ask that you and the participant be left alone for a brief time to complete the questionnaire.</w:t>
      </w:r>
    </w:p>
    <w:p>
      <w:pPr>
        <w:pStyle w:val="Number1"/>
        <w:rPr/>
      </w:pPr>
      <w:r>
        <w:rPr/>
      </w:r>
    </w:p>
    <w:p>
      <w:pPr>
        <w:pStyle w:val="Number1"/>
        <w:rPr/>
      </w:pPr>
      <w:r>
        <w:rPr/>
        <w:tab/>
        <w:t>11.</w:t>
        <w:tab/>
        <w:t xml:space="preserve">Be able to adapt to interruptions. Let the participant know that you are willing to continue the interview after the interruptions are completed. </w:t>
      </w:r>
    </w:p>
    <w:p>
      <w:pPr>
        <w:pStyle w:val="Number1"/>
        <w:rPr/>
      </w:pPr>
      <w:r>
        <w:rPr/>
      </w:r>
    </w:p>
    <w:p>
      <w:pPr>
        <w:pStyle w:val="Number1"/>
        <w:rPr/>
      </w:pPr>
      <w:r>
        <w:rPr/>
        <w:tab/>
        <w:t>12.</w:t>
        <w:tab/>
        <w:t>Make the interview a positive experience for the participant. React favorably to answers and give compliments, when appropriate.</w:t>
      </w:r>
    </w:p>
    <w:p>
      <w:pPr>
        <w:pStyle w:val="Number1"/>
        <w:rPr/>
      </w:pPr>
      <w:r>
        <w:rPr/>
      </w:r>
    </w:p>
    <w:p>
      <w:pPr>
        <w:pStyle w:val="Number1"/>
        <w:rPr/>
      </w:pPr>
      <w:r>
        <w:rPr/>
        <w:tab/>
        <w:t>13.</w:t>
        <w:tab/>
        <w:t>Give the participant clear information about when the next clinic visit will be conducted and follow through with the plans that you make. If a change is necessary, be sure the participant is informed and understands the reason for the change.</w:t>
      </w:r>
    </w:p>
    <w:p>
      <w:pPr>
        <w:pStyle w:val="Number1"/>
        <w:rPr/>
      </w:pPr>
      <w:r>
        <w:rPr/>
      </w:r>
    </w:p>
    <w:p>
      <w:pPr>
        <w:pStyle w:val="Romanbold"/>
        <w:rPr/>
      </w:pPr>
      <w:r>
        <w:rPr/>
        <w:tab/>
        <w:t>IV.</w:t>
        <w:tab/>
        <w:t>OVERCOMING DIFFICULT QUESTIONS</w:t>
      </w:r>
    </w:p>
    <w:p>
      <w:pPr>
        <w:pStyle w:val="Normal"/>
        <w:rPr/>
      </w:pPr>
      <w:r>
        <w:rPr/>
      </w:r>
    </w:p>
    <w:p>
      <w:pPr>
        <w:pStyle w:val="Romanbody"/>
        <w:rPr/>
      </w:pPr>
      <w:r>
        <w:rPr/>
        <w:t>The following are examples of, and suggested responses to, questions you may encounter.</w:t>
      </w:r>
    </w:p>
    <w:p>
      <w:pPr>
        <w:pStyle w:val="Romanbodybullet"/>
        <w:rPr/>
      </w:pPr>
      <w:r>
        <w:rPr/>
      </w:r>
    </w:p>
    <w:p>
      <w:pPr>
        <w:pStyle w:val="Romanbodybullet"/>
        <w:rPr/>
      </w:pPr>
      <w:r>
        <w:rPr>
          <w:rFonts w:eastAsia="Symbol" w:cs="Symbol" w:ascii="Symbol" w:hAnsi="Symbol"/>
        </w:rPr>
        <w:t></w:t>
      </w:r>
      <w:r>
        <w:rPr/>
        <w:tab/>
      </w:r>
      <w:r>
        <w:rPr>
          <w:b/>
          <w:bCs/>
          <w:i/>
          <w:iCs/>
        </w:rPr>
        <w:t xml:space="preserve">"How do I know you and the survey are legitimate?" </w:t>
      </w:r>
      <w:r>
        <w:rPr/>
        <w:t xml:space="preserve"> If the respondent is concerned about the legitimacy of the survey, repeat your introduction, remind him/her about the introductory letter and brochure, and offer to mail another one if necessary. Suggest that he/she call the number on the brochure for information and verification. Also point out that local health officials are aware of the survey, and ??offer to mail to the respondent a reproduction of newspaper clippings and/or endorsements.  </w:t>
      </w:r>
      <w:r>
        <w:rPr>
          <w:i/>
        </w:rPr>
        <w:t>If you make a home visit, always wear your identification badge.</w:t>
      </w:r>
    </w:p>
    <w:p>
      <w:pPr>
        <w:pStyle w:val="Romanbodybullet"/>
        <w:rPr/>
      </w:pPr>
      <w:r>
        <w:rPr/>
      </w:r>
    </w:p>
    <w:p>
      <w:pPr>
        <w:pStyle w:val="Romanbodybullet"/>
        <w:rPr/>
      </w:pPr>
      <w:r>
        <w:rPr>
          <w:rFonts w:eastAsia="Symbol" w:cs="Symbol" w:ascii="Symbol" w:hAnsi="Symbol"/>
        </w:rPr>
        <w:t></w:t>
      </w:r>
      <w:r>
        <w:rPr/>
        <w:tab/>
      </w:r>
      <w:r>
        <w:rPr>
          <w:b/>
          <w:bCs/>
          <w:i/>
          <w:iCs/>
        </w:rPr>
        <w:t>"What's this survey about?"</w:t>
      </w:r>
      <w:r>
        <w:rPr>
          <w:i/>
          <w:iCs/>
        </w:rPr>
        <w:t xml:space="preserve"> </w:t>
      </w:r>
      <w:r>
        <w:rPr/>
        <w:t>Explain that we are interviewing approximately 6600 randomly selected people in six communities in the United States to collect data about their health. The data we collect will help the U.S. National Institutes of Health and local area health professionals to better understand the factors associated with heart and blood vessel diseases.</w:t>
      </w:r>
    </w:p>
    <w:p>
      <w:pPr>
        <w:pStyle w:val="Romanbodybullet"/>
        <w:rPr/>
      </w:pPr>
      <w:r>
        <w:rPr/>
      </w:r>
    </w:p>
    <w:p>
      <w:pPr>
        <w:pStyle w:val="Romanbodybullet"/>
        <w:rPr/>
      </w:pPr>
      <w:r>
        <w:rPr>
          <w:rFonts w:eastAsia="Symbol" w:cs="Symbol" w:ascii="Symbol" w:hAnsi="Symbol"/>
        </w:rPr>
        <w:t></w:t>
      </w:r>
      <w:r>
        <w:rPr/>
        <w:tab/>
      </w:r>
      <w:r>
        <w:rPr>
          <w:b/>
          <w:bCs/>
          <w:i/>
          <w:iCs/>
        </w:rPr>
        <w:t>"I don't want to buy anything."</w:t>
      </w:r>
      <w:r>
        <w:rPr/>
        <w:t xml:space="preserve">  Explain that we are not selling anything.  We are doing an important research study and all the tests will be done free of charge.</w:t>
      </w:r>
    </w:p>
    <w:p>
      <w:pPr>
        <w:pStyle w:val="Romanbodybullet"/>
        <w:rPr/>
      </w:pPr>
      <w:r>
        <w:rPr/>
      </w:r>
    </w:p>
    <w:p>
      <w:pPr>
        <w:pStyle w:val="Romanbodybullet"/>
        <w:rPr/>
      </w:pPr>
      <w:r>
        <w:rPr>
          <w:rFonts w:eastAsia="Symbol" w:cs="Symbol" w:ascii="Symbol" w:hAnsi="Symbol"/>
        </w:rPr>
        <w:t></w:t>
      </w:r>
      <w:r>
        <w:rPr/>
        <w:tab/>
      </w:r>
      <w:r>
        <w:rPr>
          <w:b/>
          <w:bCs/>
          <w:i/>
          <w:iCs/>
        </w:rPr>
        <w:t>"I can't help you because I have never had heart disease."</w:t>
      </w:r>
      <w:r>
        <w:rPr/>
        <w:t xml:space="preserve">  Explain that the study is enrolling people who do not already have heart disease and that you would like to talk to the respondent about his/her health.</w:t>
      </w:r>
    </w:p>
    <w:p>
      <w:pPr>
        <w:pStyle w:val="Romanbodybullet"/>
        <w:rPr/>
      </w:pPr>
      <w:r>
        <w:rPr/>
      </w:r>
    </w:p>
    <w:p>
      <w:pPr>
        <w:pStyle w:val="Romanbodybullet"/>
        <w:rPr/>
      </w:pPr>
      <w:r>
        <w:rPr>
          <w:rFonts w:eastAsia="Symbol" w:cs="Symbol" w:ascii="Symbol" w:hAnsi="Symbol"/>
        </w:rPr>
        <w:t></w:t>
      </w:r>
      <w:r>
        <w:rPr/>
        <w:tab/>
      </w:r>
      <w:r>
        <w:rPr>
          <w:b/>
          <w:bCs/>
          <w:i/>
          <w:iCs/>
        </w:rPr>
        <w:t>"Will this affect my medical care?"</w:t>
      </w:r>
      <w:r>
        <w:rPr/>
        <w:t xml:space="preserve"> Explain that we are doing research and that the study will not affect any medical care the respondent now receives. The clinic is only gathering data, not doing diagnostic work. All results of the medical examination will be forwarded to his/her doctor, if so desired. Also explain that </w:t>
      </w:r>
      <w:r>
        <w:rPr>
          <w:i/>
          <w:iCs/>
        </w:rPr>
        <w:t>all information</w:t>
      </w:r>
      <w:r>
        <w:rPr/>
        <w:t xml:space="preserve"> is held in strict confidence and that public reporting of the findings of this study will contain only statistical information.</w:t>
      </w:r>
    </w:p>
    <w:p>
      <w:pPr>
        <w:pStyle w:val="Romanbodybullet"/>
        <w:rPr/>
      </w:pPr>
      <w:r>
        <w:rPr/>
      </w:r>
    </w:p>
    <w:p>
      <w:pPr>
        <w:pStyle w:val="Romanbodybullet"/>
        <w:rPr/>
      </w:pPr>
      <w:r>
        <w:rPr>
          <w:rFonts w:eastAsia="Symbol" w:cs="Symbol" w:ascii="Symbol" w:hAnsi="Symbol"/>
        </w:rPr>
        <w:t></w:t>
      </w:r>
      <w:r>
        <w:rPr/>
        <w:tab/>
      </w:r>
      <w:r>
        <w:rPr>
          <w:b/>
          <w:bCs/>
          <w:i/>
          <w:iCs/>
        </w:rPr>
        <w:t>"My doctor may not want me to be in the study.”</w:t>
      </w:r>
      <w:r>
        <w:rPr/>
        <w:t xml:space="preserve"> Explain that all area doctors support MESA. Suggest that the respondent contact his/her physician to discuss the study.</w:t>
      </w:r>
    </w:p>
    <w:p>
      <w:pPr>
        <w:pStyle w:val="Romanbodybullet"/>
        <w:rPr/>
      </w:pPr>
      <w:r>
        <w:rPr/>
      </w:r>
    </w:p>
    <w:p>
      <w:pPr>
        <w:pStyle w:val="Romanbodybullet"/>
        <w:rPr/>
      </w:pPr>
      <w:r>
        <w:rPr>
          <w:rFonts w:eastAsia="Symbol" w:cs="Symbol" w:ascii="Symbol" w:hAnsi="Symbol"/>
        </w:rPr>
        <w:t></w:t>
      </w:r>
      <w:r>
        <w:rPr/>
        <w:tab/>
      </w:r>
      <w:r>
        <w:rPr>
          <w:b/>
          <w:bCs/>
          <w:i/>
          <w:iCs/>
        </w:rPr>
        <w:t>"How long will it take to complete?"</w:t>
      </w:r>
      <w:r>
        <w:rPr/>
        <w:t xml:space="preserve"> Explain that the interview this day will take about 30 minutes and that questionnaires and a physical examination at the clinic will take about 6–8 hours.</w:t>
      </w:r>
    </w:p>
    <w:p>
      <w:pPr>
        <w:pStyle w:val="Romanbodybullet"/>
        <w:rPr/>
      </w:pPr>
      <w:r>
        <w:rPr/>
      </w:r>
    </w:p>
    <w:p>
      <w:pPr>
        <w:pStyle w:val="Romanbodybullet"/>
        <w:rPr/>
      </w:pPr>
      <w:r>
        <w:rPr>
          <w:rFonts w:eastAsia="Symbol" w:cs="Symbol" w:ascii="Symbol" w:hAnsi="Symbol"/>
        </w:rPr>
        <w:t></w:t>
      </w:r>
      <w:r>
        <w:rPr/>
        <w:tab/>
      </w:r>
      <w:r>
        <w:rPr>
          <w:b/>
          <w:bCs/>
          <w:i/>
          <w:iCs/>
        </w:rPr>
        <w:t>"I don't drive and do not have a friend who can bring me."</w:t>
      </w:r>
      <w:r>
        <w:rPr/>
        <w:t xml:space="preserve"> Offer free transportation. Explain that we will send a taxi to take the him/her to and from the clinic appointment(s).</w:t>
      </w:r>
    </w:p>
    <w:p>
      <w:pPr>
        <w:pStyle w:val="Romanbodybullet"/>
        <w:rPr/>
      </w:pPr>
      <w:r>
        <w:rPr/>
      </w:r>
    </w:p>
    <w:p>
      <w:pPr>
        <w:pStyle w:val="Romanbodybullet"/>
        <w:rPr/>
      </w:pPr>
      <w:r>
        <w:rPr>
          <w:rFonts w:eastAsia="Symbol" w:cs="Symbol" w:ascii="Symbol" w:hAnsi="Symbol"/>
        </w:rPr>
        <w:t></w:t>
      </w:r>
      <w:r>
        <w:rPr/>
        <w:tab/>
      </w:r>
      <w:r>
        <w:rPr>
          <w:b/>
          <w:bCs/>
          <w:i/>
          <w:iCs/>
        </w:rPr>
        <w:t>"Where did you get my name?"</w:t>
      </w:r>
      <w:r>
        <w:rPr/>
        <w:t xml:space="preserve"> Explain that we selected the respondent’s name at random from a list of people living in the area. If applicable, remind that respondent that he/she was sent a letter about this selection process.</w:t>
      </w:r>
    </w:p>
    <w:p>
      <w:pPr>
        <w:pStyle w:val="Romanbodybullet"/>
        <w:rPr/>
      </w:pPr>
      <w:r>
        <w:rPr/>
        <w:t xml:space="preserve"> </w:t>
      </w:r>
    </w:p>
    <w:p>
      <w:pPr>
        <w:pStyle w:val="Romanbodybullet"/>
        <w:rPr/>
      </w:pPr>
      <w:r>
        <w:rPr>
          <w:rFonts w:eastAsia="Symbol" w:cs="Symbol" w:ascii="Symbol" w:hAnsi="Symbol"/>
        </w:rPr>
        <w:t></w:t>
      </w:r>
      <w:r>
        <w:rPr>
          <w:b/>
          <w:bCs/>
          <w:i/>
          <w:iCs/>
        </w:rPr>
        <w:tab/>
        <w:t xml:space="preserve">"I want to participate in the study, but you say I'm not eligible." </w:t>
      </w:r>
      <w:r>
        <w:rPr/>
        <w:t>Explain that, although we are talking with a great many people, not everyone can be invited to participate in the random sample. You may also want to suggest that they volunteer in the study when we have special tests to run on equipment or special certifications to do for the technicians.</w:t>
      </w:r>
    </w:p>
    <w:p>
      <w:pPr>
        <w:pStyle w:val="Romanbodybullet"/>
        <w:rPr/>
      </w:pPr>
      <w:r>
        <w:rPr/>
      </w:r>
    </w:p>
    <w:p>
      <w:pPr>
        <w:pStyle w:val="Romanbodybullet"/>
        <w:rPr/>
      </w:pPr>
      <w:r>
        <w:rPr>
          <w:rFonts w:eastAsia="Symbol" w:cs="Symbol" w:ascii="Symbol" w:hAnsi="Symbol"/>
        </w:rPr>
        <w:t></w:t>
      </w:r>
      <w:r>
        <w:rPr/>
        <w:tab/>
      </w:r>
      <w:r>
        <w:rPr>
          <w:b/>
          <w:bCs/>
          <w:i/>
          <w:iCs/>
        </w:rPr>
        <w:t>"I already have a doctor and s/he examines me regularly."</w:t>
      </w:r>
      <w:r>
        <w:rPr/>
        <w:t xml:space="preserve"> Explain that all information gathered in the study will be made available to his/her physician.  Restate that many of the study examinations are not done in a doctor's office. These examinations may or may not turn up important information about his/her health; if they do, we will share it with the respondent and his/her physician.</w:t>
      </w:r>
    </w:p>
    <w:p>
      <w:pPr>
        <w:pStyle w:val="Romanbodybullet"/>
        <w:rPr/>
      </w:pPr>
      <w:r>
        <w:rPr/>
      </w:r>
    </w:p>
    <w:p>
      <w:pPr>
        <w:pStyle w:val="Romanbodybullet"/>
        <w:rPr/>
      </w:pPr>
      <w:r>
        <w:rPr>
          <w:rFonts w:eastAsia="Symbol" w:cs="Symbol" w:ascii="Symbol" w:hAnsi="Symbol"/>
        </w:rPr>
        <w:t></w:t>
      </w:r>
      <w:r>
        <w:rPr/>
        <w:tab/>
      </w:r>
      <w:r>
        <w:rPr>
          <w:b/>
          <w:bCs/>
          <w:i/>
          <w:iCs/>
        </w:rPr>
        <w:t>"I do not have the stamina to go through a day of tests."</w:t>
      </w:r>
      <w:r>
        <w:rPr/>
        <w:t xml:space="preserve"> Explain that all of the tests do not have to be done in one day.</w:t>
      </w:r>
    </w:p>
    <w:p>
      <w:pPr>
        <w:pStyle w:val="Romanbodybullet"/>
        <w:rPr/>
      </w:pPr>
      <w:r>
        <w:rPr/>
        <w:t xml:space="preserve"> </w:t>
      </w:r>
    </w:p>
    <w:p>
      <w:pPr>
        <w:pStyle w:val="Romanbodybullet"/>
        <w:rPr>
          <w:u w:val="single"/>
        </w:rPr>
      </w:pPr>
      <w:r>
        <w:rPr>
          <w:rFonts w:eastAsia="Symbol" w:cs="Symbol" w:ascii="Symbol" w:hAnsi="Symbol"/>
        </w:rPr>
        <w:t></w:t>
      </w:r>
      <w:r>
        <w:rPr/>
        <w:tab/>
      </w:r>
      <w:r>
        <w:rPr>
          <w:b/>
          <w:bCs/>
          <w:i/>
          <w:iCs/>
        </w:rPr>
        <w:t>“My veins are not good and I had a very bad experience at the hospital when they tried to draw blood. I do not want to have that done.”</w:t>
      </w:r>
      <w:r>
        <w:rPr/>
        <w:t xml:space="preserve"> Explain that you understand that having such an experience is not pleasant and that you can see why he/she does not want to have blood drawn. You may add that MESA has only very skilled phlebotomists who will take great care to make sure the procedure is as painless as possible. Also mention that drinking water prior to the exam will make the blood draw quicker and easier.</w:t>
      </w:r>
    </w:p>
    <w:p>
      <w:pPr>
        <w:pStyle w:val="Romanbodybullet"/>
        <w:rPr>
          <w:u w:val="single"/>
        </w:rPr>
      </w:pPr>
      <w:r>
        <w:rPr>
          <w:u w:val="single"/>
        </w:rPr>
      </w:r>
    </w:p>
    <w:p>
      <w:pPr>
        <w:pStyle w:val="Romanbodybullet"/>
        <w:rPr/>
      </w:pPr>
      <w:r>
        <w:rPr>
          <w:rFonts w:eastAsia="Symbol" w:cs="Symbol" w:ascii="Symbol" w:hAnsi="Symbol"/>
        </w:rPr>
        <w:t></w:t>
      </w:r>
      <w:r>
        <w:rPr/>
        <w:tab/>
      </w:r>
      <w:r>
        <w:rPr>
          <w:b/>
          <w:bCs/>
          <w:i/>
          <w:iCs/>
        </w:rPr>
        <w:t xml:space="preserve">“I do not have the time” </w:t>
      </w:r>
      <w:r>
        <w:rPr/>
        <w:t>or</w:t>
      </w:r>
      <w:r>
        <w:rPr>
          <w:b/>
          <w:bCs/>
          <w:i/>
          <w:iCs/>
        </w:rPr>
        <w:t xml:space="preserve"> “I am going to be in Florida for the next few months” </w:t>
      </w:r>
      <w:r>
        <w:rPr/>
        <w:t xml:space="preserve">or </w:t>
      </w:r>
      <w:r>
        <w:rPr>
          <w:b/>
          <w:bCs/>
          <w:i/>
          <w:iCs/>
        </w:rPr>
        <w:t>“I cannot take time off from work.”</w:t>
      </w:r>
      <w:r>
        <w:rPr/>
        <w:t xml:space="preserve"> Explain that the recruitment period will last about two years and that an appointment can be scheduled when he/she has time. Explain that we also have weekend appointments for people who cannot come to the clinic during the week. </w:t>
      </w:r>
    </w:p>
    <w:p>
      <w:pPr>
        <w:sectPr>
          <w:headerReference w:type="even" r:id="rId60"/>
          <w:headerReference w:type="default" r:id="rId61"/>
          <w:footerReference w:type="even" r:id="rId62"/>
          <w:footerReference w:type="default" r:id="rId63"/>
          <w:type w:val="oddPage"/>
          <w:pgSz w:w="12240" w:h="15840"/>
          <w:pgMar w:left="2880" w:right="1080" w:gutter="0" w:header="720" w:top="1440" w:footer="720" w:bottom="1440"/>
          <w:pgNumType w:fmt="decimal"/>
          <w:formProt w:val="false"/>
          <w:textDirection w:val="lrTb"/>
          <w:docGrid w:type="default" w:linePitch="360" w:charSpace="0"/>
        </w:sectPr>
        <w:pStyle w:val="Normal"/>
        <w:jc w:val="center"/>
        <w:rPr>
          <w:sz w:val="22"/>
        </w:rPr>
      </w:pPr>
      <w:r>
        <w:rPr>
          <w:sz w:val="22"/>
        </w:rPr>
      </w:r>
    </w:p>
    <w:p>
      <w:pPr>
        <w:pStyle w:val="Subsub"/>
        <w:rPr/>
      </w:pPr>
      <w:bookmarkStart w:id="16" w:name="__RefHeading___Toc503858972"/>
      <w:bookmarkEnd w:id="16"/>
      <w:r>
        <w:rPr/>
        <w:t>3.4.2  Participant Contact Form</w:t>
      </w:r>
    </w:p>
    <w:p>
      <w:pPr>
        <w:pStyle w:val="Normal"/>
        <w:ind w:left="-90" w:right="-720" w:firstLine="810"/>
        <w:rPr>
          <w:sz w:val="36"/>
        </w:rPr>
      </w:pPr>
      <w:r>
        <w:rPr>
          <w:sz w:val="36"/>
        </w:rPr>
      </w:r>
    </w:p>
    <w:p>
      <w:pPr>
        <w:pStyle w:val="Romanbold"/>
        <w:rPr/>
      </w:pPr>
      <w:r>
        <w:rPr/>
        <w:tab/>
        <w:t>I.</w:t>
        <w:tab/>
        <w:t>Purpose</w:t>
      </w:r>
    </w:p>
    <w:p>
      <w:pPr>
        <w:pStyle w:val="Romanbody"/>
        <w:rPr/>
      </w:pPr>
      <w:r>
        <w:rPr/>
      </w:r>
    </w:p>
    <w:p>
      <w:pPr>
        <w:pStyle w:val="Romanbody"/>
        <w:rPr/>
      </w:pPr>
      <w:r>
        <w:rPr/>
        <w:t>The Tracking Form allows us to collect information (name, address, telephone number, and email address) on the participant, his/her health care provider(s), and any proxies or contacts he/she may designate. We will use this information to contact and communicate with the participant and his/her physician(s), proxies, or other contacts.</w:t>
      </w:r>
    </w:p>
    <w:p>
      <w:pPr>
        <w:pStyle w:val="Romanbody"/>
        <w:rPr/>
      </w:pPr>
      <w:r>
        <w:rPr/>
      </w:r>
    </w:p>
    <w:p>
      <w:pPr>
        <w:pStyle w:val="Romanbold"/>
        <w:rPr/>
      </w:pPr>
      <w:r>
        <w:rPr/>
        <w:tab/>
        <w:t>II.</w:t>
        <w:tab/>
        <w:t>Materials/Equipment</w:t>
      </w:r>
    </w:p>
    <w:p>
      <w:pPr>
        <w:pStyle w:val="Romanbody"/>
        <w:rPr/>
      </w:pPr>
      <w:r>
        <w:rPr/>
      </w:r>
    </w:p>
    <w:p>
      <w:pPr>
        <w:pStyle w:val="Romanbody"/>
        <w:rPr/>
      </w:pPr>
      <w:r>
        <w:rPr/>
        <w:t xml:space="preserve">The participant’s personal address book, a phone book, and a computer will all be useful in helping participants find and record the information asked for on the Tracking Form. </w:t>
      </w:r>
    </w:p>
    <w:p>
      <w:pPr>
        <w:pStyle w:val="Romanbody"/>
        <w:rPr>
          <w:sz w:val="22"/>
        </w:rPr>
      </w:pPr>
      <w:r>
        <w:rPr>
          <w:sz w:val="22"/>
        </w:rPr>
      </w:r>
    </w:p>
    <w:p>
      <w:pPr>
        <w:pStyle w:val="Romanbold"/>
        <w:rPr/>
      </w:pPr>
      <w:r>
        <w:rPr/>
        <w:tab/>
        <w:t>III.</w:t>
        <w:tab/>
        <w:t>Definitions</w:t>
      </w:r>
    </w:p>
    <w:p>
      <w:pPr>
        <w:pStyle w:val="Number1"/>
        <w:rPr/>
      </w:pPr>
      <w:r>
        <w:rPr/>
      </w:r>
    </w:p>
    <w:p>
      <w:pPr>
        <w:pStyle w:val="Number1"/>
        <w:rPr/>
      </w:pPr>
      <w:r>
        <w:rPr/>
        <w:tab/>
        <w:t>1.</w:t>
        <w:tab/>
      </w:r>
      <w:r>
        <w:rPr>
          <w:u w:val="single"/>
        </w:rPr>
        <w:t>Proxy</w:t>
      </w:r>
      <w:r>
        <w:rPr/>
        <w:t>. A person designated by the participant to knowledgeably answer questions about the participant, in the event that he/she is unable to answer. A proxy may, but does not have to, live with the participant and should be familiar with the status of the participant’s health.</w:t>
      </w:r>
    </w:p>
    <w:p>
      <w:pPr>
        <w:pStyle w:val="Number1"/>
        <w:rPr/>
      </w:pPr>
      <w:r>
        <w:rPr/>
      </w:r>
    </w:p>
    <w:p>
      <w:pPr>
        <w:pStyle w:val="Number1"/>
        <w:rPr/>
      </w:pPr>
      <w:r>
        <w:rPr/>
        <w:tab/>
        <w:t>2.</w:t>
        <w:tab/>
      </w:r>
      <w:r>
        <w:rPr>
          <w:u w:val="single"/>
        </w:rPr>
        <w:t>Contact.</w:t>
      </w:r>
      <w:r>
        <w:rPr/>
        <w:t xml:space="preserve"> A person designated by the participant who may be relied upon to know the participant’s whereabouts. A contact does not live with the participant, but always knows how to get in touch with him/her. </w:t>
      </w:r>
    </w:p>
    <w:p>
      <w:pPr>
        <w:pStyle w:val="Number1"/>
        <w:rPr/>
      </w:pPr>
      <w:r>
        <w:rPr/>
      </w:r>
    </w:p>
    <w:p>
      <w:pPr>
        <w:pStyle w:val="Number1"/>
        <w:rPr/>
      </w:pPr>
      <w:r>
        <w:rPr/>
        <w:tab/>
        <w:t>3.</w:t>
        <w:tab/>
      </w:r>
      <w:r>
        <w:rPr>
          <w:u w:val="single"/>
        </w:rPr>
        <w:t>Email address</w:t>
      </w:r>
      <w:r>
        <w:rPr/>
        <w:t>. A computer address at which electronic mail is received (e.g., bozo@clownmail.com).</w:t>
      </w:r>
    </w:p>
    <w:p>
      <w:pPr>
        <w:pStyle w:val="Number1"/>
        <w:rPr/>
      </w:pPr>
      <w:r>
        <w:rPr/>
      </w:r>
    </w:p>
    <w:p>
      <w:pPr>
        <w:pStyle w:val="Number1"/>
        <w:rPr/>
      </w:pPr>
      <w:r>
        <w:rPr/>
        <w:tab/>
        <w:t>4.</w:t>
        <w:tab/>
      </w:r>
      <w:r>
        <w:rPr>
          <w:u w:val="single"/>
        </w:rPr>
        <w:t>Second surname</w:t>
      </w:r>
      <w:r>
        <w:rPr/>
        <w:t xml:space="preserve">. Another last name used by the participant. Some participants (e.g., some members of the Hispanic population) use two last names. Also, some married women use both their maiden name and their husband’s last name. </w:t>
      </w:r>
    </w:p>
    <w:p>
      <w:pPr>
        <w:pStyle w:val="Number1"/>
        <w:rPr/>
      </w:pPr>
      <w:r>
        <w:rPr/>
      </w:r>
    </w:p>
    <w:p>
      <w:pPr>
        <w:pStyle w:val="Romanbold"/>
        <w:rPr/>
      </w:pPr>
      <w:r>
        <w:rPr/>
        <w:tab/>
        <w:t>IV.</w:t>
        <w:tab/>
        <w:t>Methods</w:t>
      </w:r>
    </w:p>
    <w:p>
      <w:pPr>
        <w:pStyle w:val="Normal"/>
        <w:rPr/>
      </w:pPr>
      <w:r>
        <w:rPr/>
      </w:r>
    </w:p>
    <w:p>
      <w:pPr>
        <w:pStyle w:val="Number1"/>
        <w:rPr/>
      </w:pPr>
      <w:r>
        <w:rPr/>
        <w:tab/>
        <w:t>1.</w:t>
        <w:tab/>
      </w:r>
      <w:r>
        <w:rPr>
          <w:u w:val="single"/>
        </w:rPr>
        <w:t>General instructions</w:t>
      </w:r>
    </w:p>
    <w:p>
      <w:pPr>
        <w:pStyle w:val="Number11"/>
        <w:rPr/>
      </w:pPr>
      <w:r>
        <w:rPr/>
      </w:r>
    </w:p>
    <w:p>
      <w:pPr>
        <w:pStyle w:val="Number11"/>
        <w:rPr/>
      </w:pPr>
      <w:r>
        <w:rPr/>
        <w:tab/>
        <w:t>1.1</w:t>
        <w:tab/>
        <w:t xml:space="preserve">Current information is essential for maintaining contact with participants and for communicating with their proxies, contacts, and health care providers. You should emphasize to the participants that the tracking form be filled out as completely and accurately as possible. Also encourage participants to designate as proxies </w:t>
      </w:r>
      <w:r>
        <w:rPr>
          <w:i/>
          <w:iCs/>
        </w:rPr>
        <w:t>only</w:t>
      </w:r>
      <w:r>
        <w:rPr/>
        <w:t xml:space="preserve"> those people who are familiar with the status of their health, because it is the proxies who will answer health-related questions if the participant is unable to.</w:t>
      </w:r>
    </w:p>
    <w:p>
      <w:pPr>
        <w:pStyle w:val="Number11"/>
        <w:rPr/>
      </w:pPr>
      <w:r>
        <w:rPr/>
      </w:r>
    </w:p>
    <w:p>
      <w:pPr>
        <w:pStyle w:val="Number11"/>
        <w:rPr/>
      </w:pPr>
      <w:r>
        <w:rPr/>
        <w:tab/>
        <w:t>1.2</w:t>
        <w:tab/>
        <w:t xml:space="preserve">Participants should clearly print, in ink and in capital letters, all information in the appropriate boxes. The participant should not use a nickname in place of a full, legal name. He/she should provide an area code with each phone number, even if within the local calling area. Boxes for items of information that are not applicable should be left blank. You should verify health care provider information using a local telephone directory. Obtain missing information over the phone. </w:t>
      </w:r>
    </w:p>
    <w:p>
      <w:pPr>
        <w:pStyle w:val="Number1"/>
        <w:rPr/>
      </w:pPr>
      <w:r>
        <w:rPr/>
      </w:r>
    </w:p>
    <w:p>
      <w:pPr>
        <w:pStyle w:val="Number1"/>
        <w:rPr/>
      </w:pPr>
      <w:r>
        <w:rPr/>
        <w:tab/>
        <w:t>2.</w:t>
        <w:tab/>
      </w:r>
      <w:r>
        <w:rPr>
          <w:u w:val="single"/>
        </w:rPr>
        <w:t>Participant Information</w:t>
      </w:r>
    </w:p>
    <w:p>
      <w:pPr>
        <w:pStyle w:val="Number1"/>
        <w:rPr>
          <w:u w:val="single"/>
        </w:rPr>
      </w:pPr>
      <w:r>
        <w:rPr>
          <w:u w:val="single"/>
        </w:rPr>
      </w:r>
    </w:p>
    <w:p>
      <w:pPr>
        <w:pStyle w:val="Roman2"/>
        <w:rPr/>
      </w:pPr>
      <w:r>
        <w:rPr/>
        <w:tab/>
        <w:t xml:space="preserve">A. </w:t>
      </w:r>
      <w:r>
        <w:rPr>
          <w:i/>
          <w:iCs/>
        </w:rPr>
        <w:tab/>
        <w:t xml:space="preserve">“Please PRINT your name, address, telephone number (s), and email address (if you have one).” </w:t>
      </w:r>
    </w:p>
    <w:p>
      <w:pPr>
        <w:pStyle w:val="Roman2"/>
        <w:rPr>
          <w:i/>
          <w:i/>
          <w:iCs/>
        </w:rPr>
      </w:pPr>
      <w:r>
        <w:rPr>
          <w:i/>
          <w:iCs/>
        </w:rPr>
      </w:r>
    </w:p>
    <w:p>
      <w:pPr>
        <w:pStyle w:val="Roman2"/>
        <w:rPr/>
      </w:pPr>
      <w:r>
        <w:rPr>
          <w:i/>
          <w:iCs/>
        </w:rPr>
        <w:tab/>
        <w:tab/>
      </w:r>
      <w:r>
        <w:rPr>
          <w:b w:val="false"/>
          <w:bCs w:val="false"/>
        </w:rPr>
        <w:t>After completing the name, address, telephone number, and email address section, the participant will need to answer the following questions:</w:t>
      </w:r>
    </w:p>
    <w:p>
      <w:pPr>
        <w:pStyle w:val="Roman2A1"/>
        <w:rPr>
          <w:b/>
          <w:b/>
          <w:bCs/>
        </w:rPr>
      </w:pPr>
      <w:r>
        <w:rPr>
          <w:b/>
          <w:bCs/>
        </w:rPr>
      </w:r>
    </w:p>
    <w:p>
      <w:pPr>
        <w:pStyle w:val="Roman2A1"/>
        <w:rPr/>
      </w:pPr>
      <w:r>
        <w:rPr/>
        <w:tab/>
        <w:t>1.</w:t>
        <w:tab/>
      </w:r>
      <w:r>
        <w:rPr>
          <w:b/>
          <w:bCs/>
        </w:rPr>
        <w:t xml:space="preserve">Do you plan to change your name within the next year? </w:t>
      </w:r>
    </w:p>
    <w:p>
      <w:pPr>
        <w:pStyle w:val="Roman2A1"/>
        <w:rPr/>
      </w:pPr>
      <w:r>
        <w:rPr>
          <w:b/>
          <w:bCs/>
        </w:rPr>
        <w:tab/>
        <w:tab/>
      </w:r>
      <w:r>
        <w:rPr>
          <w:u w:val="single"/>
        </w:rPr>
        <w:t>If yes, what will your new last name be</w:t>
      </w:r>
      <w:r>
        <w:rPr/>
        <w:t>?</w:t>
      </w:r>
    </w:p>
    <w:p>
      <w:pPr>
        <w:pStyle w:val="Roman2A1"/>
        <w:rPr/>
      </w:pPr>
      <w:r>
        <w:rPr/>
      </w:r>
    </w:p>
    <w:p>
      <w:pPr>
        <w:pStyle w:val="Roman2A1"/>
        <w:rPr/>
      </w:pPr>
      <w:r>
        <w:rPr/>
        <w:tab/>
        <w:t>2.</w:t>
        <w:tab/>
      </w:r>
      <w:r>
        <w:rPr>
          <w:b/>
          <w:bCs/>
        </w:rPr>
        <w:t xml:space="preserve">Do you plan to be out of this area for an extended period of time (a month or longer) within the next year? </w:t>
      </w:r>
    </w:p>
    <w:p>
      <w:pPr>
        <w:pStyle w:val="Roman2A1"/>
        <w:rPr/>
      </w:pPr>
      <w:r>
        <w:rPr>
          <w:b/>
          <w:bCs/>
        </w:rPr>
        <w:tab/>
        <w:tab/>
      </w:r>
      <w:r>
        <w:rPr>
          <w:u w:val="single"/>
        </w:rPr>
        <w:t>If no, continue to the next question</w:t>
      </w:r>
      <w:r>
        <w:rPr/>
        <w:t>.</w:t>
      </w:r>
    </w:p>
    <w:p>
      <w:pPr>
        <w:pStyle w:val="Roman2A1"/>
        <w:rPr/>
      </w:pPr>
      <w:r>
        <w:rPr/>
        <w:tab/>
        <w:tab/>
      </w:r>
      <w:r>
        <w:rPr>
          <w:u w:val="single"/>
        </w:rPr>
        <w:t>If yes, approximately when will you leave and when will you return</w:t>
      </w:r>
      <w:r>
        <w:rPr/>
        <w:t>? (provide month/year for both)</w:t>
      </w:r>
    </w:p>
    <w:p>
      <w:pPr>
        <w:pStyle w:val="Roman2A1"/>
        <w:rPr/>
      </w:pPr>
      <w:r>
        <w:rPr/>
      </w:r>
    </w:p>
    <w:p>
      <w:pPr>
        <w:pStyle w:val="Roman2A1"/>
        <w:rPr/>
      </w:pPr>
      <w:r>
        <w:rPr/>
        <w:tab/>
        <w:t>3.</w:t>
        <w:tab/>
      </w:r>
      <w:r>
        <w:rPr>
          <w:b/>
          <w:bCs/>
        </w:rPr>
        <w:t xml:space="preserve">Will there be a change in your local address within the next three months? </w:t>
      </w:r>
    </w:p>
    <w:p>
      <w:pPr>
        <w:pStyle w:val="Roman2A1"/>
        <w:rPr/>
      </w:pPr>
      <w:r>
        <w:rPr>
          <w:b/>
          <w:bCs/>
        </w:rPr>
        <w:tab/>
        <w:tab/>
      </w:r>
      <w:r>
        <w:rPr>
          <w:u w:val="single"/>
        </w:rPr>
        <w:t>If yes, what will your new address be</w:t>
      </w:r>
      <w:r>
        <w:rPr/>
        <w:t>? (provide street address, city, state, and ZIP code)</w:t>
      </w:r>
    </w:p>
    <w:p>
      <w:pPr>
        <w:pStyle w:val="Contents1"/>
        <w:rPr/>
      </w:pPr>
      <w:r>
        <w:rPr/>
      </w:r>
    </w:p>
    <w:p>
      <w:pPr>
        <w:pStyle w:val="Number1"/>
        <w:rPr/>
      </w:pPr>
      <w:r>
        <w:rPr/>
        <w:tab/>
        <w:t>3.</w:t>
        <w:tab/>
      </w:r>
      <w:r>
        <w:rPr>
          <w:u w:val="single"/>
        </w:rPr>
        <w:t>Contact Information</w:t>
      </w:r>
    </w:p>
    <w:p>
      <w:pPr>
        <w:pStyle w:val="Number1"/>
        <w:rPr>
          <w:u w:val="single"/>
        </w:rPr>
      </w:pPr>
      <w:r>
        <w:rPr>
          <w:u w:val="single"/>
        </w:rPr>
      </w:r>
    </w:p>
    <w:p>
      <w:pPr>
        <w:pStyle w:val="Roman2"/>
        <w:rPr>
          <w:b w:val="false"/>
          <w:b w:val="false"/>
          <w:bCs w:val="false"/>
        </w:rPr>
      </w:pPr>
      <w:r>
        <w:rPr/>
        <w:tab/>
        <w:t>B.</w:t>
        <w:tab/>
      </w:r>
      <w:r>
        <w:rPr>
          <w:i/>
          <w:iCs/>
        </w:rPr>
        <w:t>“Please provide the following information on two people who are familiar with the status of your health AND who could help us contact you, if necessary. If possible, please include one person who lives with you and one who does not.”</w:t>
      </w:r>
    </w:p>
    <w:p>
      <w:pPr>
        <w:pStyle w:val="Roman2"/>
        <w:rPr/>
      </w:pPr>
      <w:r>
        <w:rPr/>
        <w:tab/>
        <w:tab/>
      </w:r>
    </w:p>
    <w:p>
      <w:pPr>
        <w:pStyle w:val="Roman2"/>
        <w:rPr/>
      </w:pPr>
      <w:r>
        <w:rPr/>
        <w:tab/>
      </w:r>
      <w:r>
        <w:rPr>
          <w:b w:val="false"/>
          <w:bCs w:val="false"/>
        </w:rPr>
        <w:tab/>
        <w:t>The participant should provide as much information as possible. Assist him/her, if necessary, in obtaining information.</w:t>
      </w:r>
    </w:p>
    <w:p>
      <w:pPr>
        <w:pStyle w:val="Roman2"/>
        <w:rPr>
          <w:b w:val="false"/>
          <w:b w:val="false"/>
          <w:bCs w:val="false"/>
        </w:rPr>
      </w:pPr>
      <w:r>
        <w:rPr>
          <w:b w:val="false"/>
          <w:bCs w:val="false"/>
        </w:rPr>
      </w:r>
    </w:p>
    <w:p>
      <w:pPr>
        <w:pStyle w:val="Number1"/>
        <w:rPr/>
      </w:pPr>
      <w:r>
        <w:rPr/>
        <w:tab/>
        <w:t>4.</w:t>
        <w:tab/>
      </w:r>
      <w:r>
        <w:rPr>
          <w:u w:val="single"/>
        </w:rPr>
        <w:t>Health Care Provider Information</w:t>
      </w:r>
    </w:p>
    <w:p>
      <w:pPr>
        <w:pStyle w:val="Number1"/>
        <w:rPr>
          <w:u w:val="single"/>
        </w:rPr>
      </w:pPr>
      <w:r>
        <w:rPr>
          <w:u w:val="single"/>
        </w:rPr>
      </w:r>
    </w:p>
    <w:p>
      <w:pPr>
        <w:pStyle w:val="Roman2"/>
        <w:rPr/>
      </w:pPr>
      <w:r>
        <w:rPr/>
        <w:tab/>
        <w:t>C.</w:t>
        <w:tab/>
      </w:r>
      <w:r>
        <w:rPr>
          <w:i/>
          <w:iCs/>
        </w:rPr>
        <w:t>“Please provide the following information about your health care provider.”</w:t>
      </w:r>
    </w:p>
    <w:p>
      <w:pPr>
        <w:pStyle w:val="Roman2A"/>
        <w:rPr/>
      </w:pPr>
      <w:r>
        <w:rPr/>
      </w:r>
    </w:p>
    <w:p>
      <w:pPr>
        <w:pStyle w:val="Roman2A"/>
        <w:rPr/>
      </w:pPr>
      <w:r>
        <w:rPr/>
        <w:tab/>
        <w:t>1.</w:t>
        <w:tab/>
      </w:r>
      <w:r>
        <w:rPr>
          <w:b/>
          <w:bCs/>
        </w:rPr>
        <w:t>Do you have a clinic, doctor, nurse, or physician’s assistant who provides your usual medical care?</w:t>
      </w:r>
    </w:p>
    <w:p>
      <w:pPr>
        <w:pStyle w:val="Roman2A"/>
        <w:rPr/>
      </w:pPr>
      <w:r>
        <w:rPr>
          <w:b/>
          <w:bCs/>
        </w:rPr>
        <w:tab/>
        <w:tab/>
      </w:r>
      <w:r>
        <w:rPr>
          <w:u w:val="single"/>
        </w:rPr>
        <w:t>If no, the form is completed</w:t>
      </w:r>
      <w:r>
        <w:rPr/>
        <w:t>.</w:t>
      </w:r>
    </w:p>
    <w:p>
      <w:pPr>
        <w:pStyle w:val="Roman2A"/>
        <w:rPr/>
      </w:pPr>
      <w:r>
        <w:rPr/>
        <w:tab/>
        <w:tab/>
      </w:r>
      <w:r>
        <w:rPr>
          <w:u w:val="single"/>
        </w:rPr>
        <w:t>If yes, please provide the following information for this clinic or person</w:t>
      </w:r>
      <w:r>
        <w:rPr/>
        <w:t xml:space="preserve"> (provide name, title, address, telephone number) and then continue to the next question.</w:t>
      </w:r>
    </w:p>
    <w:p>
      <w:pPr>
        <w:pStyle w:val="Roman2A"/>
        <w:rPr/>
      </w:pPr>
      <w:r>
        <w:rPr/>
      </w:r>
    </w:p>
    <w:p>
      <w:pPr>
        <w:pStyle w:val="Roman2A"/>
        <w:rPr/>
      </w:pPr>
      <w:r>
        <w:rPr/>
        <w:tab/>
        <w:t>2.</w:t>
        <w:tab/>
      </w:r>
      <w:r>
        <w:rPr>
          <w:b/>
          <w:bCs/>
        </w:rPr>
        <w:t xml:space="preserve">When were you last seen by this person? </w:t>
      </w:r>
      <w:r>
        <w:rPr/>
        <w:t>(provide month/year)</w:t>
      </w:r>
    </w:p>
    <w:p>
      <w:pPr>
        <w:pStyle w:val="Roman2A"/>
        <w:rPr/>
      </w:pPr>
      <w:r>
        <w:rPr/>
      </w:r>
    </w:p>
    <w:p>
      <w:pPr>
        <w:pStyle w:val="Roman2A"/>
        <w:rPr/>
      </w:pPr>
      <w:r>
        <w:rPr/>
        <w:tab/>
        <w:t>3.</w:t>
        <w:tab/>
      </w:r>
      <w:r>
        <w:rPr>
          <w:b/>
          <w:bCs/>
        </w:rPr>
        <w:t>Would you like us to send your MESA results to this person?</w:t>
      </w:r>
    </w:p>
    <w:p>
      <w:pPr>
        <w:sectPr>
          <w:headerReference w:type="even" r:id="rId64"/>
          <w:headerReference w:type="default" r:id="rId65"/>
          <w:footerReference w:type="even" r:id="rId66"/>
          <w:footerReference w:type="default" r:id="rId67"/>
          <w:type w:val="oddPage"/>
          <w:pgSz w:w="12240" w:h="15840"/>
          <w:pgMar w:left="2880" w:right="1080" w:gutter="0" w:header="720" w:top="1440" w:footer="720" w:bottom="1440"/>
          <w:pgNumType w:fmt="decimal"/>
          <w:formProt w:val="false"/>
          <w:textDirection w:val="lrTb"/>
          <w:docGrid w:type="default" w:linePitch="360" w:charSpace="0"/>
        </w:sectPr>
        <w:pStyle w:val="Roman2A"/>
        <w:rPr>
          <w:sz w:val="22"/>
        </w:rPr>
      </w:pPr>
      <w:r>
        <w:rPr>
          <w:b/>
          <w:bCs/>
        </w:rPr>
        <w:tab/>
        <w:tab/>
      </w:r>
      <w:r>
        <w:rPr>
          <w:u w:val="single"/>
        </w:rPr>
        <w:t>If yes, arrange to do so</w:t>
      </w:r>
      <w:r>
        <w:rPr/>
        <w:t xml:space="preserve">. </w:t>
      </w:r>
    </w:p>
    <w:p>
      <w:pPr>
        <w:pStyle w:val="Subsub"/>
        <w:rPr/>
      </w:pPr>
      <w:bookmarkStart w:id="17" w:name="__RefHeading___Toc503858973"/>
      <w:bookmarkEnd w:id="17"/>
      <w:r>
        <w:rPr/>
        <w:t>3.4.3  Personal History</w:t>
      </w:r>
    </w:p>
    <w:p>
      <w:pPr>
        <w:pStyle w:val="Normal"/>
        <w:rPr/>
      </w:pPr>
      <w:r>
        <w:rPr/>
      </w:r>
    </w:p>
    <w:p>
      <w:pPr>
        <w:pStyle w:val="Romanbold"/>
        <w:rPr/>
      </w:pPr>
      <w:r>
        <w:rPr/>
        <w:tab/>
        <w:t>I.</w:t>
        <w:tab/>
        <w:t>Purpose</w:t>
      </w:r>
    </w:p>
    <w:p>
      <w:pPr>
        <w:pStyle w:val="Romanbody"/>
        <w:rPr/>
      </w:pPr>
      <w:r>
        <w:rPr/>
      </w:r>
    </w:p>
    <w:p>
      <w:pPr>
        <w:pStyle w:val="Romanbody"/>
        <w:rPr/>
      </w:pPr>
      <w:r>
        <w:rPr/>
        <w:t>The Personal History form is used to collect information on socio-economic status (SES) and smoking and drinking habits, all of which are related to an individual’s risk of cardiovascular disease.</w:t>
      </w:r>
    </w:p>
    <w:p>
      <w:pPr>
        <w:pStyle w:val="Romanbody"/>
        <w:rPr/>
      </w:pPr>
      <w:r>
        <w:rPr/>
      </w:r>
    </w:p>
    <w:p>
      <w:pPr>
        <w:pStyle w:val="Romanbold"/>
        <w:rPr/>
      </w:pPr>
      <w:r>
        <w:rPr/>
        <w:tab/>
        <w:t>II.</w:t>
        <w:tab/>
        <w:t>Materials/Equipment</w:t>
      </w:r>
    </w:p>
    <w:p>
      <w:pPr>
        <w:pStyle w:val="Romanbold"/>
        <w:rPr/>
      </w:pPr>
      <w:r>
        <w:rPr/>
      </w:r>
    </w:p>
    <w:p>
      <w:pPr>
        <w:pStyle w:val="Romanbody"/>
        <w:rPr/>
      </w:pPr>
      <w:r>
        <w:rPr/>
        <w:t>None.</w:t>
      </w:r>
    </w:p>
    <w:p>
      <w:pPr>
        <w:pStyle w:val="Normal"/>
        <w:rPr/>
      </w:pPr>
      <w:r>
        <w:rPr/>
      </w:r>
    </w:p>
    <w:p>
      <w:pPr>
        <w:pStyle w:val="Romanbold"/>
        <w:rPr/>
      </w:pPr>
      <w:r>
        <w:rPr/>
        <w:tab/>
        <w:t>III.</w:t>
        <w:tab/>
        <w:t>Definitions</w:t>
      </w:r>
    </w:p>
    <w:p>
      <w:pPr>
        <w:pStyle w:val="Romanbold"/>
        <w:rPr/>
      </w:pPr>
      <w:r>
        <w:rPr/>
      </w:r>
    </w:p>
    <w:p>
      <w:pPr>
        <w:pStyle w:val="Romanbody"/>
        <w:rPr/>
      </w:pPr>
      <w:r>
        <w:rPr/>
        <w:t>None.</w:t>
      </w:r>
    </w:p>
    <w:p>
      <w:pPr>
        <w:pStyle w:val="Normal"/>
        <w:rPr/>
      </w:pPr>
      <w:r>
        <w:rPr/>
      </w:r>
    </w:p>
    <w:p>
      <w:pPr>
        <w:pStyle w:val="Romanbold"/>
        <w:rPr/>
      </w:pPr>
      <w:r>
        <w:rPr/>
        <w:tab/>
        <w:t>IV.</w:t>
        <w:tab/>
        <w:t>Methods</w:t>
      </w:r>
    </w:p>
    <w:p>
      <w:pPr>
        <w:pStyle w:val="Romanbody"/>
        <w:rPr/>
      </w:pPr>
      <w:r>
        <w:rPr/>
      </w:r>
    </w:p>
    <w:p>
      <w:pPr>
        <w:pStyle w:val="Romanbody"/>
        <w:rPr/>
      </w:pPr>
      <w:r>
        <w:rPr/>
        <w:t>This form is usually self-administered. Instruct the participant to fill out all questions, except those that are skipped due to skip patterns. If he/she is unsure about an exact answer (e.g., for “average number of drinks per week”), tell him/her to give a best estimate.</w:t>
      </w:r>
    </w:p>
    <w:p>
      <w:pPr>
        <w:pStyle w:val="Romanbody"/>
        <w:rPr/>
      </w:pPr>
      <w:r>
        <w:rPr/>
      </w:r>
    </w:p>
    <w:p>
      <w:pPr>
        <w:pStyle w:val="Number1"/>
        <w:rPr/>
      </w:pPr>
      <w:r>
        <w:rPr/>
        <w:tab/>
        <w:tab/>
      </w:r>
      <w:r>
        <w:rPr>
          <w:u w:val="single"/>
        </w:rPr>
        <w:t>Participant Information (questions 1–17)</w:t>
      </w:r>
    </w:p>
    <w:p>
      <w:pPr>
        <w:pStyle w:val="Number11"/>
        <w:rPr/>
      </w:pPr>
      <w:r>
        <w:rPr/>
      </w:r>
    </w:p>
    <w:p>
      <w:pPr>
        <w:pStyle w:val="Number11"/>
        <w:rPr/>
      </w:pPr>
      <w:r>
        <w:rPr/>
        <w:tab/>
        <w:t>1.</w:t>
        <w:tab/>
      </w:r>
      <w:r>
        <w:rPr>
          <w:b/>
          <w:bCs/>
        </w:rPr>
        <w:t xml:space="preserve">What is your gender? </w:t>
      </w:r>
      <w:r>
        <w:rPr/>
        <w:t>Fill in the appropriate circle.</w:t>
      </w:r>
    </w:p>
    <w:p>
      <w:pPr>
        <w:pStyle w:val="Number11"/>
        <w:rPr/>
      </w:pPr>
      <w:r>
        <w:rPr/>
        <w:tab/>
        <w:tab/>
      </w:r>
    </w:p>
    <w:p>
      <w:pPr>
        <w:pStyle w:val="Number11"/>
        <w:rPr/>
      </w:pPr>
      <w:r>
        <w:rPr/>
        <w:tab/>
        <w:t>2.</w:t>
        <w:tab/>
      </w:r>
      <w:r>
        <w:rPr>
          <w:b/>
          <w:bCs/>
        </w:rPr>
        <w:t>Where were you born?</w:t>
      </w:r>
    </w:p>
    <w:p>
      <w:pPr>
        <w:pStyle w:val="Number11"/>
        <w:rPr/>
      </w:pPr>
      <w:r>
        <w:rPr/>
        <w:tab/>
        <w:tab/>
        <w:t>Select one of the following</w:t>
      </w:r>
    </w:p>
    <w:p>
      <w:pPr>
        <w:pStyle w:val="Number11bodybullet"/>
        <w:rPr/>
      </w:pPr>
      <w:r>
        <w:rPr/>
        <w:tab/>
      </w:r>
      <w:r>
        <w:rPr>
          <w:rFonts w:eastAsia="Symbol" w:cs="Symbol" w:ascii="Symbol" w:hAnsi="Symbol"/>
        </w:rPr>
        <w:t></w:t>
      </w:r>
      <w:r>
        <w:rPr/>
        <w:tab/>
        <w:t>One of the 50 US states (please specify state). Provide two-letter abbreviation (e.g., WA, MI, AK, TX).</w:t>
      </w:r>
    </w:p>
    <w:p>
      <w:pPr>
        <w:pStyle w:val="Number11bodybullet"/>
        <w:rPr/>
      </w:pPr>
      <w:r>
        <w:rPr/>
        <w:tab/>
      </w:r>
      <w:r>
        <w:rPr>
          <w:rFonts w:eastAsia="Symbol" w:cs="Symbol" w:ascii="Symbol" w:hAnsi="Symbol"/>
        </w:rPr>
        <w:t></w:t>
      </w:r>
      <w:r>
        <w:rPr/>
        <w:tab/>
        <w:t>Puerto Rico</w:t>
      </w:r>
    </w:p>
    <w:p>
      <w:pPr>
        <w:pStyle w:val="Number11bodybullet"/>
        <w:rPr/>
      </w:pPr>
      <w:r>
        <w:rPr/>
        <w:tab/>
      </w:r>
      <w:r>
        <w:rPr>
          <w:rFonts w:eastAsia="Symbol" w:cs="Symbol" w:ascii="Symbol" w:hAnsi="Symbol"/>
        </w:rPr>
        <w:t></w:t>
      </w:r>
      <w:r>
        <w:rPr/>
        <w:tab/>
        <w:t>Another country (please specify country). Write in space provided.</w:t>
      </w:r>
    </w:p>
    <w:p>
      <w:pPr>
        <w:pStyle w:val="Number11"/>
        <w:rPr/>
      </w:pPr>
      <w:r>
        <w:rPr/>
        <w:tab/>
        <w:tab/>
      </w:r>
      <w:r>
        <w:rPr>
          <w:u w:val="single"/>
        </w:rPr>
        <w:t>If the born in Puerto Rico or another country, how many years have you lived in the United States</w:t>
      </w:r>
      <w:r>
        <w:rPr/>
        <w:t>? Record number of years in box provided.</w:t>
      </w:r>
    </w:p>
    <w:p>
      <w:pPr>
        <w:pStyle w:val="Number11"/>
        <w:rPr/>
      </w:pPr>
      <w:r>
        <w:rPr/>
      </w:r>
    </w:p>
    <w:p>
      <w:pPr>
        <w:pStyle w:val="Number11"/>
        <w:rPr/>
      </w:pPr>
      <w:r>
        <w:rPr/>
        <w:tab/>
        <w:t>3.</w:t>
        <w:tab/>
      </w:r>
      <w:r>
        <w:rPr>
          <w:b/>
          <w:bCs/>
        </w:rPr>
        <w:t xml:space="preserve">Where were your parents and grandparents born? </w:t>
      </w:r>
      <w:r>
        <w:rPr/>
        <w:t>If born in the US, please select “one of the 50 US states” and specify the state (specific state not required for grandparents). If born in Puerto Rico, select “Puerto Rico.” If born in another country, please select “another country” and write in the name of the country</w:t>
      </w:r>
    </w:p>
    <w:p>
      <w:pPr>
        <w:pStyle w:val="Number11bodybullet"/>
        <w:ind w:left="1620" w:hanging="1710"/>
        <w:rPr/>
      </w:pPr>
      <w:r>
        <w:rPr/>
      </w:r>
    </w:p>
    <w:p>
      <w:pPr>
        <w:pStyle w:val="Number11"/>
        <w:rPr/>
      </w:pPr>
      <w:r>
        <w:rPr/>
        <w:tab/>
        <w:t>4.</w:t>
        <w:tab/>
      </w:r>
      <w:r>
        <w:rPr>
          <w:b/>
          <w:bCs/>
        </w:rPr>
        <w:t xml:space="preserve">What language is generally spoken in your home? </w:t>
      </w:r>
      <w:r>
        <w:rPr/>
        <w:t>Fill in the appropriate circle. If “other,” specify language.</w:t>
      </w:r>
    </w:p>
    <w:p>
      <w:pPr>
        <w:pStyle w:val="Number11"/>
        <w:rPr/>
      </w:pPr>
      <w:r>
        <w:rPr/>
      </w:r>
    </w:p>
    <w:p>
      <w:pPr>
        <w:pStyle w:val="Number11"/>
        <w:rPr/>
      </w:pPr>
      <w:r>
        <w:rPr/>
        <w:tab/>
        <w:t>5.</w:t>
        <w:tab/>
      </w:r>
      <w:r>
        <w:rPr>
          <w:b/>
          <w:bCs/>
        </w:rPr>
        <w:t>What is your marital status?</w:t>
      </w:r>
      <w:r>
        <w:rPr/>
        <w:t xml:space="preserve"> Fill in the appropriate circle. (“Separated” includes both legal and informal separations but not cases in which spouses live in separate geographic locations for professional reasons.)</w:t>
      </w:r>
    </w:p>
    <w:p>
      <w:pPr>
        <w:pStyle w:val="Number11"/>
        <w:rPr/>
      </w:pPr>
      <w:r>
        <w:rPr/>
      </w:r>
    </w:p>
    <w:p>
      <w:pPr>
        <w:pStyle w:val="Number11"/>
        <w:rPr/>
      </w:pPr>
      <w:r>
        <w:rPr/>
        <w:tab/>
        <w:t>6.</w:t>
        <w:tab/>
      </w:r>
      <w:r>
        <w:rPr>
          <w:b/>
          <w:bCs/>
        </w:rPr>
        <w:t>What is the highest degree or level of school you have completed?</w:t>
      </w:r>
      <w:r>
        <w:rPr/>
        <w:t xml:space="preserve"> Fill in the appropriate circle. If currently enrolled, mark the highest grade completed or highest degree received.</w:t>
      </w:r>
    </w:p>
    <w:p>
      <w:pPr>
        <w:pStyle w:val="Number1body"/>
        <w:rPr/>
      </w:pPr>
      <w:r>
        <w:rPr/>
      </w:r>
    </w:p>
    <w:p>
      <w:pPr>
        <w:pStyle w:val="Number1body"/>
        <w:rPr>
          <w:i/>
          <w:i/>
          <w:iCs/>
        </w:rPr>
      </w:pPr>
      <w:r>
        <w:rPr>
          <w:i/>
          <w:iCs/>
        </w:rPr>
        <w:t>“</w:t>
      </w:r>
      <w:r>
        <w:rPr>
          <w:i/>
          <w:iCs/>
        </w:rPr>
        <w:t>We are asking for your Social Security number because data from this study will be linked with data supplied by the National Center for Health Statistics. Your number will be kept confidential, in accordance with the Privacy Act of 1974, and will be used only for research purposes. Providing this information to MESA is extremely important for the purposes of the study but is entirely voluntary on your part.”</w:t>
      </w:r>
    </w:p>
    <w:p>
      <w:pPr>
        <w:pStyle w:val="Number11"/>
        <w:rPr>
          <w:i/>
          <w:i/>
          <w:iCs/>
        </w:rPr>
      </w:pPr>
      <w:r>
        <w:rPr>
          <w:i/>
          <w:iCs/>
        </w:rPr>
      </w:r>
    </w:p>
    <w:p>
      <w:pPr>
        <w:pStyle w:val="Number11"/>
        <w:rPr/>
      </w:pPr>
      <w:r>
        <w:rPr/>
        <w:tab/>
        <w:t>7a.</w:t>
        <w:tab/>
      </w:r>
      <w:r>
        <w:rPr>
          <w:b/>
          <w:bCs/>
        </w:rPr>
        <w:t xml:space="preserve">What is your Social Security number? </w:t>
      </w:r>
      <w:r>
        <w:rPr/>
        <w:t>Write the number in the spaces provided.</w:t>
      </w:r>
    </w:p>
    <w:p>
      <w:pPr>
        <w:pStyle w:val="Number11"/>
        <w:rPr/>
      </w:pPr>
      <w:r>
        <w:rPr/>
        <w:tab/>
        <w:tab/>
      </w:r>
    </w:p>
    <w:p>
      <w:pPr>
        <w:pStyle w:val="Number11"/>
        <w:rPr/>
      </w:pPr>
      <w:r>
        <w:rPr/>
        <w:tab/>
        <w:t>7b.</w:t>
        <w:tab/>
      </w:r>
      <w:r>
        <w:rPr>
          <w:b/>
          <w:bCs/>
        </w:rPr>
        <w:t>Sometimes dependents or spouses can apply for Medicare benefits using the Social Security number of another family member. Did you ever get Medicare benefits using a Social Security number other than your own?</w:t>
      </w:r>
    </w:p>
    <w:p>
      <w:pPr>
        <w:pStyle w:val="Number11"/>
        <w:rPr/>
      </w:pPr>
      <w:r>
        <w:rPr/>
        <w:tab/>
        <w:tab/>
      </w:r>
      <w:r>
        <w:rPr>
          <w:u w:val="single"/>
        </w:rPr>
        <w:t>If no, skip to question 9</w:t>
      </w:r>
      <w:r>
        <w:rPr/>
        <w:t>.</w:t>
      </w:r>
    </w:p>
    <w:p>
      <w:pPr>
        <w:pStyle w:val="Number11"/>
        <w:rPr/>
      </w:pPr>
      <w:r>
        <w:rPr/>
        <w:tab/>
        <w:tab/>
      </w:r>
      <w:r>
        <w:rPr>
          <w:u w:val="single"/>
        </w:rPr>
        <w:t>If yes, write that Social Security number in the spaces provided</w:t>
      </w:r>
      <w:r>
        <w:rPr/>
        <w:t>.</w:t>
      </w:r>
    </w:p>
    <w:p>
      <w:pPr>
        <w:pStyle w:val="Number11"/>
        <w:rPr/>
      </w:pPr>
      <w:r>
        <w:rPr/>
        <w:tab/>
        <w:tab/>
        <w:t xml:space="preserve">(When necessary, reassure the person that this is entirely legal and is not a “trick” question intended to get him/her into trouble.) </w:t>
      </w:r>
    </w:p>
    <w:p>
      <w:pPr>
        <w:pStyle w:val="Number11"/>
        <w:rPr/>
      </w:pPr>
      <w:r>
        <w:rPr/>
      </w:r>
    </w:p>
    <w:p>
      <w:pPr>
        <w:pStyle w:val="Number11"/>
        <w:rPr/>
      </w:pPr>
      <w:r>
        <w:rPr/>
        <w:tab/>
        <w:t>8.</w:t>
        <w:tab/>
      </w:r>
      <w:r>
        <w:rPr>
          <w:b/>
          <w:bCs/>
        </w:rPr>
        <w:t xml:space="preserve">Please choose one of the following that best describes your current occupation. </w:t>
      </w:r>
      <w:r>
        <w:rPr/>
        <w:t>Fill in the appropriate circle.</w:t>
      </w:r>
    </w:p>
    <w:p>
      <w:pPr>
        <w:pStyle w:val="Number11"/>
        <w:rPr/>
      </w:pPr>
      <w:r>
        <w:rPr>
          <w:b/>
          <w:bCs/>
        </w:rPr>
        <w:tab/>
        <w:tab/>
      </w:r>
      <w:r>
        <w:rPr>
          <w:u w:val="single"/>
        </w:rPr>
        <w:t>If homemaker</w:t>
      </w:r>
      <w:r>
        <w:rPr/>
        <w:t xml:space="preserve">, </w:t>
      </w:r>
      <w:r>
        <w:rPr>
          <w:b/>
          <w:bCs/>
        </w:rPr>
        <w:t>did you previously work outside the home?</w:t>
      </w:r>
    </w:p>
    <w:p>
      <w:pPr>
        <w:pStyle w:val="Number111"/>
        <w:rPr/>
      </w:pPr>
      <w:r>
        <w:rPr/>
        <w:tab/>
        <w:tab/>
      </w:r>
      <w:r>
        <w:rPr>
          <w:u w:val="single"/>
        </w:rPr>
        <w:t>If no, skip to question 13</w:t>
      </w:r>
      <w:r>
        <w:rPr/>
        <w:t>.</w:t>
      </w:r>
    </w:p>
    <w:p>
      <w:pPr>
        <w:pStyle w:val="Number111"/>
        <w:rPr/>
      </w:pPr>
      <w:r>
        <w:rPr/>
        <w:tab/>
        <w:tab/>
      </w:r>
      <w:r>
        <w:rPr>
          <w:u w:val="single"/>
        </w:rPr>
        <w:t>If yes, continue to next question</w:t>
      </w:r>
      <w:r>
        <w:rPr/>
        <w:t>.</w:t>
        <w:tab/>
      </w:r>
    </w:p>
    <w:p>
      <w:pPr>
        <w:pStyle w:val="Number1body"/>
        <w:rPr/>
      </w:pPr>
      <w:r>
        <w:rPr/>
      </w:r>
    </w:p>
    <w:p>
      <w:pPr>
        <w:pStyle w:val="Number1body"/>
        <w:rPr/>
      </w:pPr>
      <w:r>
        <w:rPr/>
        <w:t>Questions 9–12 are used to compute industry and occupation codes. The actual coding will be done at a later time. The interviewer may or may not be the person who does the coding, so it is important that job information is complete, accurate, and legible. (Note:  Questions 9–12 will not be scanned.  Only the final codes will be included in the database.)</w:t>
      </w:r>
    </w:p>
    <w:p>
      <w:pPr>
        <w:pStyle w:val="Number11"/>
        <w:rPr/>
      </w:pPr>
      <w:r>
        <w:rPr/>
      </w:r>
    </w:p>
    <w:p>
      <w:pPr>
        <w:pStyle w:val="Number11"/>
        <w:rPr/>
      </w:pPr>
      <w:r>
        <w:rPr/>
        <w:tab/>
        <w:t>9.</w:t>
        <w:tab/>
      </w:r>
      <w:r>
        <w:rPr>
          <w:b/>
          <w:bCs/>
        </w:rPr>
        <w:t xml:space="preserve">For whom do/did you work? </w:t>
      </w:r>
      <w:r>
        <w:rPr/>
        <w:t>(Name of company, business, organization, or other employer. If you are not working now, please respond regarding your main occupation before you stopped working.) Write answer in space provided.</w:t>
      </w:r>
    </w:p>
    <w:p>
      <w:pPr>
        <w:pStyle w:val="Number11"/>
        <w:rPr/>
      </w:pPr>
      <w:r>
        <w:rPr/>
      </w:r>
    </w:p>
    <w:p>
      <w:pPr>
        <w:pStyle w:val="Number11"/>
        <w:rPr/>
      </w:pPr>
      <w:r>
        <w:rPr/>
        <w:tab/>
        <w:t>10.</w:t>
        <w:tab/>
      </w:r>
      <w:r>
        <w:rPr>
          <w:b/>
          <w:bCs/>
        </w:rPr>
        <w:t xml:space="preserve">What type of business or industry is/was this? </w:t>
      </w:r>
      <w:r>
        <w:rPr/>
        <w:t>(e.g., hospital, newspaper publishing, mail order house, auto repair shop, bank, etc.) Write answer in space provided.</w:t>
      </w:r>
    </w:p>
    <w:p>
      <w:pPr>
        <w:pStyle w:val="Number11"/>
        <w:rPr/>
      </w:pPr>
      <w:r>
        <w:rPr/>
      </w:r>
    </w:p>
    <w:p>
      <w:pPr>
        <w:pStyle w:val="Number11"/>
        <w:rPr/>
      </w:pPr>
      <w:r>
        <w:rPr/>
        <w:tab/>
        <w:t>11.</w:t>
        <w:tab/>
      </w:r>
      <w:r>
        <w:rPr>
          <w:b/>
          <w:bCs/>
        </w:rPr>
        <w:t xml:space="preserve">What kind of work do/did you do or what was your job title? </w:t>
      </w:r>
      <w:r>
        <w:rPr/>
        <w:t>(e.g., registered nurse, personnel manager, auto mechanic, accountant, grinder operator, etc.) Give answer in space provided.</w:t>
      </w:r>
    </w:p>
    <w:p>
      <w:pPr>
        <w:pStyle w:val="Number11"/>
        <w:rPr/>
      </w:pPr>
      <w:r>
        <w:rPr/>
      </w:r>
    </w:p>
    <w:p>
      <w:pPr>
        <w:pStyle w:val="Number11"/>
        <w:rPr/>
      </w:pPr>
      <w:r>
        <w:rPr/>
        <w:tab/>
        <w:t>12.</w:t>
        <w:tab/>
      </w:r>
      <w:r>
        <w:rPr>
          <w:b/>
          <w:bCs/>
        </w:rPr>
        <w:t xml:space="preserve">What were your most important activities or duties? </w:t>
      </w:r>
      <w:r>
        <w:rPr/>
        <w:t>(e.g., patient care, directing hiring policies, repairing automobiles, reviewing financial records, operating grinding mill, etc.) Give answer in space provided.</w:t>
      </w:r>
    </w:p>
    <w:p>
      <w:pPr>
        <w:pStyle w:val="Number1body"/>
        <w:rPr/>
      </w:pPr>
      <w:r>
        <w:rPr/>
      </w:r>
    </w:p>
    <w:p>
      <w:pPr>
        <w:pStyle w:val="Number1body"/>
        <w:rPr>
          <w:i/>
          <w:i/>
          <w:iCs/>
        </w:rPr>
      </w:pPr>
      <w:r>
        <w:rPr>
          <w:i/>
          <w:iCs/>
        </w:rPr>
        <w:t>“</w:t>
      </w:r>
      <w:r>
        <w:rPr>
          <w:i/>
          <w:iCs/>
        </w:rPr>
        <w:t>The following questions have to do with family finances. We know from other research that financial strain is common and very important to consider in understanding people’s health. The following questions will be used to help give us a picture of the various financial situations experienced by persons participating in the MESA study. Any information you provide is strictly confidential and will be used for research purposes only.”</w:t>
      </w:r>
    </w:p>
    <w:p>
      <w:pPr>
        <w:pStyle w:val="Number11"/>
        <w:rPr>
          <w:i/>
          <w:i/>
          <w:iCs/>
        </w:rPr>
      </w:pPr>
      <w:r>
        <w:rPr>
          <w:i/>
          <w:iCs/>
        </w:rPr>
      </w:r>
    </w:p>
    <w:p>
      <w:pPr>
        <w:pStyle w:val="Number11"/>
        <w:rPr/>
      </w:pPr>
      <w:r>
        <w:rPr/>
        <w:tab/>
        <w:t>13.</w:t>
        <w:tab/>
      </w:r>
      <w:r>
        <w:rPr>
          <w:b/>
          <w:bCs/>
        </w:rPr>
        <w:t>Below is a list of income groups. Please tell me which group best represents your total combined family income for the past 12 months. This includes the total income, before taxes, earned in the past year by all family members living with you. Please include money from jobs; net income from business, farm, or rent; pensions, dividends, welfare, social security payments, and any other money received by you or any other family member living with you.</w:t>
      </w:r>
      <w:r>
        <w:rPr/>
        <w:t xml:space="preserve"> Fill in the appropriate circle.</w:t>
      </w:r>
    </w:p>
    <w:p>
      <w:pPr>
        <w:pStyle w:val="Number11bodybullet"/>
        <w:rPr/>
      </w:pPr>
      <w:r>
        <w:rPr/>
      </w:r>
    </w:p>
    <w:p>
      <w:pPr>
        <w:pStyle w:val="Number11"/>
        <w:rPr/>
      </w:pPr>
      <w:r>
        <w:rPr/>
        <w:tab/>
        <w:t>14a.</w:t>
        <w:tab/>
      </w:r>
      <w:r>
        <w:rPr>
          <w:b/>
          <w:bCs/>
        </w:rPr>
        <w:t xml:space="preserve">Including yourself, how many people are supported by the income listed above? </w:t>
      </w:r>
      <w:r>
        <w:rPr/>
        <w:t>Write a number in the box provided.</w:t>
      </w:r>
    </w:p>
    <w:p>
      <w:pPr>
        <w:pStyle w:val="Number11"/>
        <w:rPr/>
      </w:pPr>
      <w:r>
        <w:rPr/>
      </w:r>
    </w:p>
    <w:p>
      <w:pPr>
        <w:pStyle w:val="Number11"/>
        <w:rPr/>
      </w:pPr>
      <w:r>
        <w:rPr/>
        <w:tab/>
        <w:t>14b.</w:t>
        <w:tab/>
      </w:r>
      <w:r>
        <w:rPr>
          <w:b/>
          <w:bCs/>
        </w:rPr>
        <w:t>How many of these are:</w:t>
      </w:r>
    </w:p>
    <w:p>
      <w:pPr>
        <w:pStyle w:val="Number111"/>
        <w:rPr/>
      </w:pPr>
      <w:r>
        <w:rPr/>
        <w:tab/>
      </w:r>
      <w:r>
        <w:rPr>
          <w:rFonts w:eastAsia="Symbol" w:cs="Symbol" w:ascii="Symbol" w:hAnsi="Symbol"/>
        </w:rPr>
        <w:t></w:t>
      </w:r>
      <w:r>
        <w:rPr/>
        <w:tab/>
      </w:r>
      <w:r>
        <w:rPr>
          <w:b/>
          <w:bCs/>
        </w:rPr>
        <w:t>Children under 18?</w:t>
      </w:r>
    </w:p>
    <w:p>
      <w:pPr>
        <w:pStyle w:val="Number111"/>
        <w:rPr/>
      </w:pPr>
      <w:r>
        <w:rPr>
          <w:b/>
          <w:bCs/>
        </w:rPr>
        <w:tab/>
      </w:r>
      <w:r>
        <w:rPr>
          <w:rFonts w:eastAsia="Symbol" w:cs="Symbol" w:ascii="Symbol" w:hAnsi="Symbol"/>
        </w:rPr>
        <w:t></w:t>
      </w:r>
      <w:r>
        <w:rPr/>
        <w:tab/>
      </w:r>
      <w:r>
        <w:rPr>
          <w:b/>
          <w:bCs/>
        </w:rPr>
        <w:t>Adults 65 and over?</w:t>
      </w:r>
    </w:p>
    <w:p>
      <w:pPr>
        <w:pStyle w:val="Number11body"/>
        <w:rPr/>
      </w:pPr>
      <w:r>
        <w:rPr/>
        <w:t>Write a number in each box. Enter 00 if no one in that age category is supported by the given income.</w:t>
        <w:tab/>
      </w:r>
    </w:p>
    <w:p>
      <w:pPr>
        <w:pStyle w:val="Number11"/>
        <w:rPr/>
      </w:pPr>
      <w:r>
        <w:rPr/>
        <w:tab/>
      </w:r>
    </w:p>
    <w:p>
      <w:pPr>
        <w:pStyle w:val="Number11"/>
        <w:rPr/>
      </w:pPr>
      <w:r>
        <w:rPr/>
        <w:tab/>
        <w:t>15.</w:t>
        <w:tab/>
      </w:r>
      <w:r>
        <w:rPr>
          <w:b/>
          <w:bCs/>
        </w:rPr>
        <w:t xml:space="preserve">This question is about the house or apartment where you live. Do you…? </w:t>
      </w:r>
      <w:r>
        <w:rPr/>
        <w:t>Choose one and fill in the appropriate circle. (“Rent” includes renting a room in an owner-occupied dwelling or renting a room in a rooming house. “Other living arrangements” include, for example, living for free with parents or friends or receiving free rent in exchange for apartment management, yard work, etc.)</w:t>
      </w:r>
    </w:p>
    <w:p>
      <w:pPr>
        <w:pStyle w:val="Number11"/>
        <w:rPr/>
      </w:pPr>
      <w:r>
        <w:rPr/>
      </w:r>
    </w:p>
    <w:p>
      <w:pPr>
        <w:pStyle w:val="Number11"/>
        <w:rPr/>
      </w:pPr>
      <w:r>
        <w:rPr/>
        <w:tab/>
        <w:t>16.</w:t>
        <w:tab/>
      </w:r>
      <w:r>
        <w:rPr>
          <w:b/>
          <w:bCs/>
        </w:rPr>
        <w:t xml:space="preserve">Where do you usually go for medical care? </w:t>
      </w:r>
      <w:r>
        <w:rPr/>
        <w:t xml:space="preserve">Choose one and fill in the appropriate circle. </w:t>
      </w:r>
      <w:r>
        <w:rPr>
          <w:u w:val="single"/>
        </w:rPr>
        <w:t>If “other,” specify</w:t>
      </w:r>
      <w:r>
        <w:rPr/>
        <w:t>. Mark “other” only if the response clearly does not fit one of the given responses. For example, an urgent care clinic  would be included in the “doctor’s office or clinic” category.</w:t>
      </w:r>
    </w:p>
    <w:p>
      <w:pPr>
        <w:pStyle w:val="Number11"/>
        <w:rPr/>
      </w:pPr>
      <w:r>
        <w:rPr/>
      </w:r>
    </w:p>
    <w:p>
      <w:pPr>
        <w:pStyle w:val="Number11"/>
        <w:rPr/>
      </w:pPr>
      <w:r>
        <w:rPr/>
        <w:tab/>
        <w:t>17.</w:t>
        <w:tab/>
      </w:r>
      <w:r>
        <w:rPr>
          <w:b/>
          <w:bCs/>
        </w:rPr>
        <w:t xml:space="preserve">To help pay for your medical care, do you now have...? </w:t>
      </w:r>
      <w:r>
        <w:rPr/>
        <w:t xml:space="preserve">Choose as many that apply and fill in the appropriate circles. </w:t>
      </w:r>
      <w:r>
        <w:rPr>
          <w:u w:val="single"/>
        </w:rPr>
        <w:t>If “other,” specify</w:t>
      </w:r>
      <w:r>
        <w:rPr/>
        <w:t>. Mark “other” only if the response clearly does not fit one of the given responses.</w:t>
      </w:r>
    </w:p>
    <w:p>
      <w:pPr>
        <w:pStyle w:val="Number11"/>
        <w:rPr/>
      </w:pPr>
      <w:r>
        <w:rPr/>
      </w:r>
    </w:p>
    <w:p>
      <w:pPr>
        <w:pStyle w:val="Number1"/>
        <w:rPr/>
      </w:pPr>
      <w:r>
        <w:rPr/>
        <w:tab/>
        <w:tab/>
      </w:r>
      <w:r>
        <w:rPr>
          <w:u w:val="single"/>
        </w:rPr>
        <w:t>Smoking (questions 18–44)</w:t>
      </w:r>
    </w:p>
    <w:p>
      <w:pPr>
        <w:pStyle w:val="Normal"/>
        <w:rPr>
          <w:sz w:val="22"/>
        </w:rPr>
      </w:pPr>
      <w:r>
        <w:rPr>
          <w:sz w:val="22"/>
        </w:rPr>
      </w:r>
    </w:p>
    <w:p>
      <w:pPr>
        <w:pStyle w:val="Number1body"/>
        <w:rPr/>
      </w:pPr>
      <w:r>
        <w:rPr/>
        <w:t>The following script introduces the participant to questions on smoking. The goal of these questions is to identify non-smokers, former smokers, and current smokers of any tobacco product and to document participants’ smoking habits. These questions were developed from NHANES III, the National Health Interview Survey, and ARIC. If the participant feels uncomfortable with these questions, please reassure him/her that all collected data is strictly confidential. Questions are in boldface type; explanations, if needed, follow in standard type.</w:t>
      </w:r>
    </w:p>
    <w:p>
      <w:pPr>
        <w:pStyle w:val="Number1body"/>
        <w:rPr/>
      </w:pPr>
      <w:r>
        <w:rPr/>
      </w:r>
    </w:p>
    <w:p>
      <w:pPr>
        <w:pStyle w:val="Number1body"/>
        <w:rPr>
          <w:i/>
          <w:i/>
          <w:iCs/>
          <w:sz w:val="22"/>
        </w:rPr>
      </w:pPr>
      <w:r>
        <w:rPr>
          <w:i/>
          <w:iCs/>
        </w:rPr>
        <w:t>“</w:t>
      </w:r>
      <w:r>
        <w:rPr>
          <w:i/>
          <w:iCs/>
        </w:rPr>
        <w:t>The following question are about your use of tobacco and alcohol. They will help us better understand the role of smoking and alcohol use in the risk of cardiovascular disease.”</w:t>
      </w:r>
    </w:p>
    <w:p>
      <w:pPr>
        <w:pStyle w:val="Normal"/>
        <w:rPr>
          <w:i/>
          <w:i/>
          <w:iCs/>
          <w:sz w:val="22"/>
        </w:rPr>
      </w:pPr>
      <w:r>
        <w:rPr>
          <w:i/>
          <w:iCs/>
          <w:sz w:val="22"/>
        </w:rPr>
      </w:r>
    </w:p>
    <w:p>
      <w:pPr>
        <w:pStyle w:val="Number11"/>
        <w:rPr/>
      </w:pPr>
      <w:r>
        <w:rPr/>
        <w:tab/>
        <w:t xml:space="preserve">18. </w:t>
        <w:tab/>
      </w:r>
      <w:r>
        <w:rPr>
          <w:b/>
          <w:bCs/>
        </w:rPr>
        <w:t>Have you smoked at least 100 cigarettes in your lifetime?</w:t>
      </w:r>
    </w:p>
    <w:p>
      <w:pPr>
        <w:pStyle w:val="Number11"/>
        <w:rPr>
          <w:u w:val="single"/>
        </w:rPr>
      </w:pPr>
      <w:r>
        <w:rPr/>
        <w:tab/>
        <w:tab/>
        <w:t>The goal of this question is to measure lifetime cigarette smoking habits. Most US cigarettes, and cigarettes sold abroad, are and have been sold in packages containing 20 cigarettes. Therefore, 100 cigarettes will usually be equivalent to 5 packs.</w:t>
      </w:r>
    </w:p>
    <w:p>
      <w:pPr>
        <w:pStyle w:val="Number11body"/>
        <w:rPr>
          <w:u w:val="single"/>
        </w:rPr>
      </w:pPr>
      <w:r>
        <w:rPr>
          <w:u w:val="single"/>
        </w:rPr>
        <w:t>If no, skip to question 23</w:t>
      </w:r>
      <w:r>
        <w:rPr/>
        <w:t>.</w:t>
      </w:r>
    </w:p>
    <w:p>
      <w:pPr>
        <w:pStyle w:val="Number11"/>
        <w:rPr>
          <w:u w:val="single"/>
        </w:rPr>
      </w:pPr>
      <w:r>
        <w:rPr>
          <w:u w:val="single"/>
        </w:rPr>
      </w:r>
    </w:p>
    <w:p>
      <w:pPr>
        <w:pStyle w:val="Number11"/>
        <w:rPr/>
      </w:pPr>
      <w:r>
        <w:rPr/>
        <w:tab/>
        <w:t>19.</w:t>
        <w:tab/>
      </w:r>
      <w:r>
        <w:rPr>
          <w:b/>
          <w:bCs/>
        </w:rPr>
        <w:t xml:space="preserve">How old were you when you first started smoking cigarettes? </w:t>
      </w:r>
    </w:p>
    <w:p>
      <w:pPr>
        <w:pStyle w:val="Number11"/>
        <w:rPr/>
      </w:pPr>
      <w:r>
        <w:rPr>
          <w:b/>
          <w:bCs/>
        </w:rPr>
        <w:tab/>
        <w:tab/>
      </w:r>
      <w:r>
        <w:rPr/>
        <w:t>Provide age. If participants do not remember the exact age they first smoked cigarettes, ask them to give their best estimate.</w:t>
      </w:r>
    </w:p>
    <w:p>
      <w:pPr>
        <w:pStyle w:val="Number11"/>
        <w:rPr/>
      </w:pPr>
      <w:r>
        <w:rPr/>
        <w:tab/>
        <w:tab/>
        <w:t xml:space="preserve">This question applies to both current and former smokers—those who answered “Yes” to question 18. </w:t>
      </w:r>
    </w:p>
    <w:p>
      <w:pPr>
        <w:pStyle w:val="Number11"/>
        <w:rPr/>
      </w:pPr>
      <w:r>
        <w:rPr/>
      </w:r>
    </w:p>
    <w:p>
      <w:pPr>
        <w:pStyle w:val="Number11"/>
        <w:rPr/>
      </w:pPr>
      <w:r>
        <w:rPr/>
        <w:tab/>
        <w:t>20.</w:t>
        <w:tab/>
      </w:r>
      <w:r>
        <w:rPr>
          <w:b/>
          <w:bCs/>
        </w:rPr>
        <w:t>Have you smoked cigarettes during the last 30 days?</w:t>
      </w:r>
    </w:p>
    <w:p>
      <w:pPr>
        <w:pStyle w:val="Number11body"/>
        <w:rPr/>
      </w:pPr>
      <w:r>
        <w:rPr>
          <w:u w:val="single"/>
        </w:rPr>
        <w:t>If yes, skip to question 22</w:t>
      </w:r>
      <w:r>
        <w:rPr/>
        <w:t>.</w:t>
      </w:r>
    </w:p>
    <w:p>
      <w:pPr>
        <w:pStyle w:val="Number11"/>
        <w:rPr/>
      </w:pPr>
      <w:r>
        <w:rPr/>
      </w:r>
    </w:p>
    <w:p>
      <w:pPr>
        <w:pStyle w:val="Number11"/>
        <w:rPr/>
      </w:pPr>
      <w:r>
        <w:rPr/>
        <w:tab/>
        <w:t>21.</w:t>
        <w:tab/>
        <w:t xml:space="preserve">(For former smokers) </w:t>
      </w:r>
      <w:r>
        <w:rPr>
          <w:b/>
          <w:bCs/>
        </w:rPr>
        <w:t>How old were you when you quit smoking cigarettes?</w:t>
      </w:r>
      <w:r>
        <w:rPr/>
        <w:t xml:space="preserve"> Provide age. If participants do not remember the exact age they quit smoking cigarettes, ask them to give their best estimate.</w:t>
      </w:r>
    </w:p>
    <w:p>
      <w:pPr>
        <w:pStyle w:val="Number11"/>
        <w:rPr/>
      </w:pPr>
      <w:r>
        <w:rPr/>
        <w:tab/>
        <w:tab/>
        <w:t xml:space="preserve">This question applies only to former smokers—those who answered “No” to question 20. </w:t>
      </w:r>
    </w:p>
    <w:p>
      <w:pPr>
        <w:pStyle w:val="Number11"/>
        <w:rPr/>
      </w:pPr>
      <w:r>
        <w:rPr/>
      </w:r>
    </w:p>
    <w:p>
      <w:pPr>
        <w:pStyle w:val="Number11"/>
        <w:rPr/>
      </w:pPr>
      <w:r>
        <w:rPr/>
        <w:tab/>
        <w:t>22.</w:t>
        <w:tab/>
      </w:r>
      <w:r>
        <w:rPr>
          <w:b/>
          <w:bCs/>
          <w:iCs/>
        </w:rPr>
        <w:t xml:space="preserve">On average, about how many cigarettes a day do/did you smoke? </w:t>
      </w:r>
      <w:r>
        <w:rPr/>
        <w:t xml:space="preserve">Provide number of cigarettes per day. Record 00 if the average number of cigarettes per day is/was less than one. This question applies to both current and former smokers. Make sure participants record the information in number of cigarettes per day.  If participant answers in number of packs per day, calculate the number cigarettes per day (1 pack = 20 cigarettes).  </w:t>
      </w:r>
    </w:p>
    <w:p>
      <w:pPr>
        <w:pStyle w:val="Number11"/>
        <w:rPr/>
      </w:pPr>
      <w:r>
        <w:rPr/>
      </w:r>
    </w:p>
    <w:p>
      <w:pPr>
        <w:pStyle w:val="Number11"/>
        <w:rPr/>
      </w:pPr>
      <w:r>
        <w:rPr/>
        <w:tab/>
        <w:t>23.</w:t>
        <w:tab/>
      </w:r>
      <w:r>
        <w:rPr>
          <w:b/>
          <w:bCs/>
        </w:rPr>
        <w:t>Have you ever used any other tobacco products (e.g., cigars, pipes, snuff, chewing tobacco)?</w:t>
      </w:r>
      <w:r>
        <w:rPr/>
        <w:t xml:space="preserve"> The goal of this question is to obtain information about the use of other tobacco products. This question should be answered by all participants. </w:t>
      </w:r>
    </w:p>
    <w:p>
      <w:pPr>
        <w:pStyle w:val="Number11body"/>
        <w:rPr>
          <w:u w:val="single"/>
        </w:rPr>
      </w:pPr>
      <w:r>
        <w:rPr>
          <w:u w:val="single"/>
        </w:rPr>
        <w:t>If no, skip to question 44</w:t>
      </w:r>
    </w:p>
    <w:p>
      <w:pPr>
        <w:pStyle w:val="Number11"/>
        <w:rPr/>
      </w:pPr>
      <w:r>
        <w:rPr/>
      </w:r>
    </w:p>
    <w:p>
      <w:pPr>
        <w:pStyle w:val="Number11"/>
        <w:rPr>
          <w:iCs/>
        </w:rPr>
      </w:pPr>
      <w:r>
        <w:rPr/>
        <w:tab/>
        <w:t>24.</w:t>
        <w:tab/>
      </w:r>
      <w:r>
        <w:rPr>
          <w:b/>
          <w:bCs/>
          <w:iCs/>
        </w:rPr>
        <w:t>Have you smoked more than 20 cigars in your lifetime?</w:t>
      </w:r>
    </w:p>
    <w:p>
      <w:pPr>
        <w:pStyle w:val="Number11body"/>
        <w:rPr>
          <w:u w:val="single"/>
        </w:rPr>
      </w:pPr>
      <w:r>
        <w:rPr>
          <w:u w:val="single"/>
        </w:rPr>
        <w:t>If no, skip to question 29</w:t>
      </w:r>
    </w:p>
    <w:p>
      <w:pPr>
        <w:pStyle w:val="Number11"/>
        <w:rPr>
          <w:u w:val="single"/>
        </w:rPr>
      </w:pPr>
      <w:r>
        <w:rPr>
          <w:u w:val="single"/>
        </w:rPr>
      </w:r>
    </w:p>
    <w:p>
      <w:pPr>
        <w:pStyle w:val="Number11"/>
        <w:rPr/>
      </w:pPr>
      <w:r>
        <w:rPr/>
        <w:tab/>
        <w:t>25.</w:t>
        <w:tab/>
      </w:r>
      <w:r>
        <w:rPr>
          <w:b/>
          <w:bCs/>
        </w:rPr>
        <w:t xml:space="preserve">How old were you when you first started smoking cigars? </w:t>
      </w:r>
    </w:p>
    <w:p>
      <w:pPr>
        <w:pStyle w:val="Number11"/>
        <w:rPr/>
      </w:pPr>
      <w:r>
        <w:rPr>
          <w:b/>
          <w:bCs/>
        </w:rPr>
        <w:tab/>
        <w:tab/>
      </w:r>
      <w:r>
        <w:rPr/>
        <w:t>Provide age. If participants do not remember the exact age they first smoked cigars, ask them to give their best estimate. (Provide age)</w:t>
      </w:r>
    </w:p>
    <w:p>
      <w:pPr>
        <w:pStyle w:val="Number11"/>
        <w:rPr/>
      </w:pPr>
      <w:r>
        <w:rPr/>
      </w:r>
    </w:p>
    <w:p>
      <w:pPr>
        <w:pStyle w:val="Number11"/>
        <w:rPr/>
      </w:pPr>
      <w:r>
        <w:rPr/>
        <w:tab/>
        <w:t>26.</w:t>
        <w:tab/>
      </w:r>
      <w:r>
        <w:rPr>
          <w:b/>
          <w:bCs/>
        </w:rPr>
        <w:t>Have you smoked cigars during the last 30 days?</w:t>
      </w:r>
    </w:p>
    <w:p>
      <w:pPr>
        <w:pStyle w:val="Number11body"/>
        <w:rPr>
          <w:u w:val="single"/>
        </w:rPr>
      </w:pPr>
      <w:r>
        <w:rPr>
          <w:u w:val="single"/>
        </w:rPr>
        <w:t>If yes, skip to question 28</w:t>
      </w:r>
    </w:p>
    <w:p>
      <w:pPr>
        <w:pStyle w:val="Number11"/>
        <w:rPr>
          <w:u w:val="single"/>
        </w:rPr>
      </w:pPr>
      <w:r>
        <w:rPr>
          <w:u w:val="single"/>
        </w:rPr>
      </w:r>
    </w:p>
    <w:p>
      <w:pPr>
        <w:pStyle w:val="Number11"/>
        <w:rPr/>
      </w:pPr>
      <w:r>
        <w:rPr/>
        <w:tab/>
        <w:t>27.</w:t>
        <w:tab/>
      </w:r>
      <w:r>
        <w:rPr>
          <w:b/>
          <w:bCs/>
          <w:iCs/>
        </w:rPr>
        <w:t xml:space="preserve">How old were you when you quit smoking cigars? </w:t>
      </w:r>
    </w:p>
    <w:p>
      <w:pPr>
        <w:pStyle w:val="Number11"/>
        <w:rPr/>
      </w:pPr>
      <w:r>
        <w:rPr>
          <w:b/>
          <w:bCs/>
          <w:iCs/>
        </w:rPr>
        <w:tab/>
        <w:tab/>
      </w:r>
      <w:r>
        <w:rPr>
          <w:iCs/>
        </w:rPr>
        <w:t xml:space="preserve">Provide age. </w:t>
      </w:r>
      <w:r>
        <w:rPr/>
        <w:t>If participants do not remember the exact age they quit smoking cigars, ask them to give their best estimate. (Provide age)</w:t>
      </w:r>
    </w:p>
    <w:p>
      <w:pPr>
        <w:pStyle w:val="Number11"/>
        <w:rPr/>
      </w:pPr>
      <w:r>
        <w:rPr/>
      </w:r>
    </w:p>
    <w:p>
      <w:pPr>
        <w:pStyle w:val="Number11"/>
        <w:rPr/>
      </w:pPr>
      <w:r>
        <w:rPr/>
        <w:tab/>
        <w:t>28.</w:t>
      </w:r>
      <w:r>
        <w:rPr>
          <w:b/>
          <w:bCs/>
          <w:iCs/>
        </w:rPr>
        <w:tab/>
        <w:t xml:space="preserve">On average, about how many cigars a day do/did you smoke? </w:t>
      </w:r>
    </w:p>
    <w:p>
      <w:pPr>
        <w:pStyle w:val="Number11"/>
        <w:rPr/>
      </w:pPr>
      <w:r>
        <w:rPr>
          <w:b/>
          <w:bCs/>
          <w:iCs/>
        </w:rPr>
        <w:tab/>
        <w:tab/>
      </w:r>
      <w:r>
        <w:rPr/>
        <w:t>Provide number of cigars per day. This question applies to both current and former cigar smokers. Record 00 if the average number of cigars per day is/was less than one.</w:t>
      </w:r>
    </w:p>
    <w:p>
      <w:pPr>
        <w:pStyle w:val="Number11"/>
        <w:rPr/>
      </w:pPr>
      <w:r>
        <w:rPr/>
        <w:t xml:space="preserve"> </w:t>
      </w:r>
    </w:p>
    <w:p>
      <w:pPr>
        <w:pStyle w:val="Number11"/>
        <w:rPr>
          <w:iCs/>
        </w:rPr>
      </w:pPr>
      <w:r>
        <w:rPr/>
        <w:tab/>
        <w:t>29.</w:t>
        <w:tab/>
      </w:r>
      <w:r>
        <w:rPr>
          <w:b/>
          <w:bCs/>
          <w:iCs/>
        </w:rPr>
        <w:t>Have you smoked at least 20 pipefuls of tobacco in your lifetime?</w:t>
      </w:r>
    </w:p>
    <w:p>
      <w:pPr>
        <w:pStyle w:val="Number11body"/>
        <w:rPr>
          <w:u w:val="single"/>
        </w:rPr>
      </w:pPr>
      <w:r>
        <w:rPr>
          <w:u w:val="single"/>
        </w:rPr>
        <w:t>If no, skip to question 34</w:t>
      </w:r>
    </w:p>
    <w:p>
      <w:pPr>
        <w:pStyle w:val="Number11"/>
        <w:rPr>
          <w:u w:val="single"/>
        </w:rPr>
      </w:pPr>
      <w:r>
        <w:rPr>
          <w:u w:val="single"/>
        </w:rPr>
      </w:r>
    </w:p>
    <w:p>
      <w:pPr>
        <w:pStyle w:val="Number11"/>
        <w:rPr/>
      </w:pPr>
      <w:r>
        <w:rPr/>
        <w:tab/>
        <w:t>30.</w:t>
        <w:tab/>
      </w:r>
      <w:r>
        <w:rPr>
          <w:b/>
          <w:bCs/>
          <w:iCs/>
        </w:rPr>
        <w:t xml:space="preserve">How old were you when you first smoked a pipe? </w:t>
      </w:r>
    </w:p>
    <w:p>
      <w:pPr>
        <w:pStyle w:val="Number11"/>
        <w:rPr/>
      </w:pPr>
      <w:r>
        <w:rPr>
          <w:b/>
          <w:bCs/>
          <w:iCs/>
        </w:rPr>
        <w:tab/>
        <w:tab/>
      </w:r>
      <w:r>
        <w:rPr/>
        <w:t>Provide age. If participants do not remember the exact age they first smoked a pipe, ask them to give their best estimate.</w:t>
      </w:r>
    </w:p>
    <w:p>
      <w:pPr>
        <w:pStyle w:val="Number11"/>
        <w:rPr/>
      </w:pPr>
      <w:r>
        <w:rPr/>
        <w:t xml:space="preserve"> </w:t>
      </w:r>
    </w:p>
    <w:p>
      <w:pPr>
        <w:pStyle w:val="Number11"/>
        <w:rPr/>
      </w:pPr>
      <w:r>
        <w:rPr/>
        <w:tab/>
        <w:t>31.</w:t>
        <w:tab/>
      </w:r>
      <w:r>
        <w:rPr>
          <w:b/>
          <w:bCs/>
          <w:iCs/>
        </w:rPr>
        <w:t xml:space="preserve">Have you smoked a pipe during the last 30 days? </w:t>
      </w:r>
    </w:p>
    <w:p>
      <w:pPr>
        <w:pStyle w:val="Number11body"/>
        <w:rPr>
          <w:u w:val="single"/>
        </w:rPr>
      </w:pPr>
      <w:r>
        <w:rPr>
          <w:u w:val="single"/>
        </w:rPr>
        <w:t>If yes, skip to question 33</w:t>
      </w:r>
    </w:p>
    <w:p>
      <w:pPr>
        <w:pStyle w:val="Number11"/>
        <w:rPr>
          <w:u w:val="single"/>
        </w:rPr>
      </w:pPr>
      <w:r>
        <w:rPr>
          <w:u w:val="single"/>
        </w:rPr>
      </w:r>
    </w:p>
    <w:p>
      <w:pPr>
        <w:pStyle w:val="Number11"/>
        <w:rPr/>
      </w:pPr>
      <w:r>
        <w:rPr/>
        <w:tab/>
        <w:t>32.</w:t>
        <w:tab/>
      </w:r>
      <w:r>
        <w:rPr>
          <w:b/>
          <w:bCs/>
        </w:rPr>
        <w:t xml:space="preserve">How old were you when you quit smoking a pipe? </w:t>
      </w:r>
    </w:p>
    <w:p>
      <w:pPr>
        <w:pStyle w:val="Number11"/>
        <w:rPr/>
      </w:pPr>
      <w:r>
        <w:rPr>
          <w:b/>
          <w:bCs/>
        </w:rPr>
        <w:tab/>
        <w:tab/>
      </w:r>
      <w:r>
        <w:rPr/>
        <w:t>Provide age.</w:t>
      </w:r>
      <w:r>
        <w:rPr>
          <w:b/>
          <w:bCs/>
        </w:rPr>
        <w:t xml:space="preserve"> </w:t>
      </w:r>
      <w:r>
        <w:rPr/>
        <w:t>If participants do not remember the exact age they quit smoking a pipe, ask them to give their best estimate.</w:t>
      </w:r>
    </w:p>
    <w:p>
      <w:pPr>
        <w:pStyle w:val="Number11"/>
        <w:rPr/>
      </w:pPr>
      <w:r>
        <w:rPr/>
        <w:t xml:space="preserve"> </w:t>
      </w:r>
    </w:p>
    <w:p>
      <w:pPr>
        <w:pStyle w:val="Number11"/>
        <w:rPr/>
      </w:pPr>
      <w:r>
        <w:rPr/>
        <w:tab/>
        <w:t>33.</w:t>
        <w:tab/>
      </w:r>
      <w:r>
        <w:rPr>
          <w:b/>
          <w:bCs/>
          <w:iCs/>
        </w:rPr>
        <w:t xml:space="preserve">On average, about how many pipefuls a day do/did you smoke? </w:t>
      </w:r>
    </w:p>
    <w:p>
      <w:pPr>
        <w:pStyle w:val="Number11"/>
        <w:rPr/>
      </w:pPr>
      <w:r>
        <w:rPr>
          <w:b/>
          <w:bCs/>
          <w:iCs/>
        </w:rPr>
        <w:tab/>
        <w:tab/>
      </w:r>
      <w:r>
        <w:rPr/>
        <w:t>Provide number of pipefuls per day.</w:t>
      </w:r>
      <w:r>
        <w:rPr>
          <w:b/>
          <w:bCs/>
          <w:iCs/>
        </w:rPr>
        <w:t xml:space="preserve"> </w:t>
      </w:r>
      <w:r>
        <w:rPr/>
        <w:t>This question applies to both current and former pipe smokers. Record 00 if the average number of pipefuls per day is/was less than one.</w:t>
      </w:r>
    </w:p>
    <w:p>
      <w:pPr>
        <w:pStyle w:val="Number11"/>
        <w:rPr/>
      </w:pPr>
      <w:r>
        <w:rPr/>
        <w:t xml:space="preserve"> </w:t>
      </w:r>
    </w:p>
    <w:p>
      <w:pPr>
        <w:pStyle w:val="Number11"/>
        <w:rPr/>
      </w:pPr>
      <w:r>
        <w:rPr/>
        <w:tab/>
        <w:t>34.</w:t>
        <w:tab/>
      </w:r>
      <w:r>
        <w:rPr>
          <w:b/>
          <w:bCs/>
        </w:rPr>
        <w:t xml:space="preserve">Have you used chewing tobacco, such a Redman, Levi Garret, or Beechnut, at least 20 times in your lifetime? </w:t>
      </w:r>
    </w:p>
    <w:p>
      <w:pPr>
        <w:pStyle w:val="Number11body"/>
        <w:rPr>
          <w:u w:val="single"/>
        </w:rPr>
      </w:pPr>
      <w:r>
        <w:rPr>
          <w:u w:val="single"/>
        </w:rPr>
        <w:t>If no, skip to question 39</w:t>
      </w:r>
    </w:p>
    <w:p>
      <w:pPr>
        <w:pStyle w:val="Number11"/>
        <w:rPr>
          <w:u w:val="single"/>
        </w:rPr>
      </w:pPr>
      <w:r>
        <w:rPr>
          <w:u w:val="single"/>
        </w:rPr>
      </w:r>
    </w:p>
    <w:p>
      <w:pPr>
        <w:pStyle w:val="Number11"/>
        <w:rPr/>
      </w:pPr>
      <w:r>
        <w:rPr/>
        <w:tab/>
        <w:t>35.</w:t>
        <w:tab/>
      </w:r>
      <w:r>
        <w:rPr>
          <w:b/>
          <w:bCs/>
          <w:iCs/>
        </w:rPr>
        <w:t xml:space="preserve">How old were you when you first chewed tobacco? </w:t>
      </w:r>
    </w:p>
    <w:p>
      <w:pPr>
        <w:pStyle w:val="Number11"/>
        <w:rPr/>
      </w:pPr>
      <w:r>
        <w:rPr>
          <w:b/>
          <w:bCs/>
          <w:iCs/>
        </w:rPr>
        <w:tab/>
        <w:tab/>
      </w:r>
      <w:r>
        <w:rPr/>
        <w:t>Provide age.</w:t>
      </w:r>
      <w:r>
        <w:rPr>
          <w:b/>
          <w:bCs/>
          <w:iCs/>
        </w:rPr>
        <w:t xml:space="preserve"> </w:t>
      </w:r>
      <w:r>
        <w:rPr/>
        <w:t>If participants do not remember the exact age they first chewed tobacco, ask them to give their best estimate.</w:t>
      </w:r>
    </w:p>
    <w:p>
      <w:pPr>
        <w:pStyle w:val="Number11"/>
        <w:rPr/>
      </w:pPr>
      <w:r>
        <w:rPr/>
      </w:r>
    </w:p>
    <w:p>
      <w:pPr>
        <w:pStyle w:val="Number11"/>
        <w:rPr/>
      </w:pPr>
      <w:r>
        <w:rPr/>
        <w:tab/>
        <w:t>36.</w:t>
        <w:tab/>
      </w:r>
      <w:r>
        <w:rPr>
          <w:b/>
          <w:bCs/>
          <w:iCs/>
        </w:rPr>
        <w:t xml:space="preserve">Have you chewed tobacco during the last 30 days? </w:t>
      </w:r>
    </w:p>
    <w:p>
      <w:pPr>
        <w:pStyle w:val="Number11body"/>
        <w:rPr>
          <w:u w:val="single"/>
        </w:rPr>
      </w:pPr>
      <w:r>
        <w:rPr>
          <w:u w:val="single"/>
        </w:rPr>
        <w:t>If yes, skip to question 38</w:t>
      </w:r>
    </w:p>
    <w:p>
      <w:pPr>
        <w:pStyle w:val="Number11"/>
        <w:rPr>
          <w:u w:val="single"/>
        </w:rPr>
      </w:pPr>
      <w:r>
        <w:rPr>
          <w:u w:val="single"/>
        </w:rPr>
      </w:r>
    </w:p>
    <w:p>
      <w:pPr>
        <w:pStyle w:val="Number11"/>
        <w:rPr/>
      </w:pPr>
      <w:r>
        <w:rPr/>
        <w:tab/>
        <w:t>37.</w:t>
        <w:tab/>
      </w:r>
      <w:r>
        <w:rPr>
          <w:b/>
          <w:bCs/>
        </w:rPr>
        <w:t xml:space="preserve">How old were you when you quit chewing tobacco? </w:t>
      </w:r>
    </w:p>
    <w:p>
      <w:pPr>
        <w:pStyle w:val="Number11"/>
        <w:rPr/>
      </w:pPr>
      <w:r>
        <w:rPr>
          <w:b/>
          <w:bCs/>
        </w:rPr>
        <w:tab/>
        <w:tab/>
      </w:r>
      <w:r>
        <w:rPr/>
        <w:t>Provide age.</w:t>
      </w:r>
      <w:r>
        <w:rPr>
          <w:b/>
          <w:bCs/>
        </w:rPr>
        <w:t xml:space="preserve"> </w:t>
      </w:r>
      <w:r>
        <w:rPr/>
        <w:t>If participants do not remember the exact age they quit chewing tobacco, ask them to give their best estimate.</w:t>
      </w:r>
    </w:p>
    <w:p>
      <w:pPr>
        <w:pStyle w:val="Number11"/>
        <w:rPr/>
      </w:pPr>
      <w:r>
        <w:rPr/>
      </w:r>
    </w:p>
    <w:p>
      <w:pPr>
        <w:pStyle w:val="Number11"/>
        <w:rPr/>
      </w:pPr>
      <w:r>
        <w:rPr/>
        <w:tab/>
        <w:t>38.</w:t>
        <w:tab/>
      </w:r>
      <w:r>
        <w:rPr>
          <w:b/>
          <w:bCs/>
          <w:iCs/>
        </w:rPr>
        <w:t xml:space="preserve">On average, about how many times a day do/did you chew tobacco? </w:t>
      </w:r>
      <w:r>
        <w:rPr/>
        <w:t xml:space="preserve">Provide number of times per day participant chewed tobacco. </w:t>
      </w:r>
    </w:p>
    <w:p>
      <w:pPr>
        <w:pStyle w:val="Number11"/>
        <w:rPr/>
      </w:pPr>
      <w:r>
        <w:rPr>
          <w:b/>
          <w:bCs/>
          <w:iCs/>
        </w:rPr>
        <w:tab/>
        <w:tab/>
      </w:r>
      <w:r>
        <w:rPr/>
        <w:t>This question applies to both current and former tobacco chewers. Record 00 if the average number of uses per day is/was less than one.</w:t>
      </w:r>
    </w:p>
    <w:p>
      <w:pPr>
        <w:pStyle w:val="Number11"/>
        <w:rPr/>
      </w:pPr>
      <w:r>
        <w:rPr/>
        <w:t xml:space="preserve"> </w:t>
      </w:r>
    </w:p>
    <w:p>
      <w:pPr>
        <w:pStyle w:val="Number11"/>
        <w:rPr/>
      </w:pPr>
      <w:r>
        <w:rPr/>
        <w:tab/>
        <w:t>39.</w:t>
        <w:tab/>
      </w:r>
      <w:r>
        <w:rPr>
          <w:b/>
          <w:bCs/>
        </w:rPr>
        <w:t>Have you used snuff, such as Skoal, Skoal Bandits, or Copenhagen, at least 20 times in your lifetime?</w:t>
      </w:r>
      <w:r>
        <w:rPr/>
        <w:t xml:space="preserve"> Snuff is a finely chopped tobacco product that is not chewed. A small amount is held in the mouth between the cheek and gum, where nicotine is rapidly absorbed into the bloodstream.</w:t>
      </w:r>
    </w:p>
    <w:p>
      <w:pPr>
        <w:pStyle w:val="Number11body"/>
        <w:rPr>
          <w:u w:val="single"/>
        </w:rPr>
      </w:pPr>
      <w:r>
        <w:rPr>
          <w:u w:val="single"/>
        </w:rPr>
        <w:t>If no, skip to question 44</w:t>
      </w:r>
    </w:p>
    <w:p>
      <w:pPr>
        <w:pStyle w:val="Number11"/>
        <w:rPr>
          <w:u w:val="single"/>
        </w:rPr>
      </w:pPr>
      <w:r>
        <w:rPr>
          <w:u w:val="single"/>
        </w:rPr>
      </w:r>
    </w:p>
    <w:p>
      <w:pPr>
        <w:pStyle w:val="Number11"/>
        <w:rPr/>
      </w:pPr>
      <w:r>
        <w:rPr/>
        <w:tab/>
        <w:t>40.</w:t>
        <w:tab/>
      </w:r>
      <w:r>
        <w:rPr>
          <w:b/>
          <w:bCs/>
          <w:iCs/>
        </w:rPr>
        <w:t xml:space="preserve">How old were you when you first used snuff? </w:t>
      </w:r>
    </w:p>
    <w:p>
      <w:pPr>
        <w:pStyle w:val="Number11"/>
        <w:rPr/>
      </w:pPr>
      <w:r>
        <w:rPr>
          <w:b/>
          <w:bCs/>
          <w:iCs/>
        </w:rPr>
        <w:tab/>
        <w:tab/>
      </w:r>
      <w:r>
        <w:rPr/>
        <w:t>Provide age.</w:t>
      </w:r>
      <w:r>
        <w:rPr>
          <w:b/>
          <w:bCs/>
          <w:iCs/>
        </w:rPr>
        <w:t xml:space="preserve"> </w:t>
      </w:r>
      <w:r>
        <w:rPr/>
        <w:t>If participants do not remember the exact age they first used snuff, ask them to give their best estimate.</w:t>
      </w:r>
    </w:p>
    <w:p>
      <w:pPr>
        <w:pStyle w:val="Number11"/>
        <w:rPr/>
      </w:pPr>
      <w:r>
        <w:rPr/>
      </w:r>
    </w:p>
    <w:p>
      <w:pPr>
        <w:pStyle w:val="Number11"/>
        <w:rPr/>
      </w:pPr>
      <w:r>
        <w:rPr/>
        <w:tab/>
        <w:t>41.</w:t>
        <w:tab/>
      </w:r>
      <w:r>
        <w:rPr>
          <w:b/>
          <w:bCs/>
          <w:iCs/>
        </w:rPr>
        <w:t xml:space="preserve">Have you used snuff during the last 30 days? </w:t>
      </w:r>
    </w:p>
    <w:p>
      <w:pPr>
        <w:pStyle w:val="Number11body"/>
        <w:rPr>
          <w:u w:val="single"/>
        </w:rPr>
      </w:pPr>
      <w:r>
        <w:rPr>
          <w:u w:val="single"/>
        </w:rPr>
        <w:t>If yes, skip to question 43</w:t>
      </w:r>
    </w:p>
    <w:p>
      <w:pPr>
        <w:pStyle w:val="Number11"/>
        <w:rPr>
          <w:u w:val="single"/>
        </w:rPr>
      </w:pPr>
      <w:r>
        <w:rPr>
          <w:u w:val="single"/>
        </w:rPr>
      </w:r>
    </w:p>
    <w:p>
      <w:pPr>
        <w:pStyle w:val="Number11"/>
        <w:rPr/>
      </w:pPr>
      <w:r>
        <w:rPr/>
        <w:tab/>
        <w:t>42.</w:t>
        <w:tab/>
      </w:r>
      <w:r>
        <w:rPr>
          <w:b/>
          <w:bCs/>
        </w:rPr>
        <w:t xml:space="preserve">How old were you when you quit using snuff? </w:t>
      </w:r>
    </w:p>
    <w:p>
      <w:pPr>
        <w:pStyle w:val="Number11"/>
        <w:rPr/>
      </w:pPr>
      <w:r>
        <w:rPr>
          <w:b/>
          <w:bCs/>
        </w:rPr>
        <w:tab/>
        <w:tab/>
      </w:r>
      <w:r>
        <w:rPr/>
        <w:t>Provide age.</w:t>
      </w:r>
      <w:r>
        <w:rPr>
          <w:b/>
          <w:bCs/>
        </w:rPr>
        <w:t xml:space="preserve"> </w:t>
      </w:r>
      <w:r>
        <w:rPr/>
        <w:t>If participants do not remember the exact age they quit using snuff, ask them to give their best estimate.</w:t>
      </w:r>
    </w:p>
    <w:p>
      <w:pPr>
        <w:pStyle w:val="Number11"/>
        <w:rPr/>
      </w:pPr>
      <w:r>
        <w:rPr/>
        <w:t xml:space="preserve"> </w:t>
      </w:r>
    </w:p>
    <w:p>
      <w:pPr>
        <w:pStyle w:val="Number11"/>
        <w:rPr/>
      </w:pPr>
      <w:r>
        <w:rPr/>
        <w:tab/>
        <w:t>43.</w:t>
        <w:tab/>
      </w:r>
      <w:r>
        <w:rPr>
          <w:b/>
          <w:bCs/>
          <w:iCs/>
        </w:rPr>
        <w:t>On average, about how many times a day do/did you use snuff?</w:t>
      </w:r>
    </w:p>
    <w:p>
      <w:pPr>
        <w:pStyle w:val="Number11"/>
        <w:rPr>
          <w:b/>
          <w:b/>
          <w:bCs/>
          <w:iCs/>
        </w:rPr>
      </w:pPr>
      <w:r>
        <w:rPr>
          <w:b/>
          <w:bCs/>
          <w:iCs/>
        </w:rPr>
        <w:tab/>
        <w:tab/>
      </w:r>
      <w:r>
        <w:rPr/>
        <w:t>Provide number of uses per day.</w:t>
      </w:r>
    </w:p>
    <w:p>
      <w:pPr>
        <w:pStyle w:val="Number11"/>
        <w:rPr/>
      </w:pPr>
      <w:r>
        <w:rPr>
          <w:b/>
          <w:bCs/>
          <w:iCs/>
        </w:rPr>
        <w:tab/>
        <w:tab/>
        <w:t xml:space="preserve"> </w:t>
      </w:r>
      <w:r>
        <w:rPr/>
        <w:t>This question applies to both current and former snuff users. Record 00 if the average number of uses per day is/was less than one.</w:t>
      </w:r>
    </w:p>
    <w:p>
      <w:pPr>
        <w:pStyle w:val="Number11"/>
        <w:rPr/>
      </w:pPr>
      <w:r>
        <w:rPr/>
        <w:t xml:space="preserve"> </w:t>
      </w:r>
    </w:p>
    <w:p>
      <w:pPr>
        <w:pStyle w:val="Number11"/>
        <w:rPr/>
      </w:pPr>
      <w:r>
        <w:rPr/>
        <w:tab/>
        <w:t>44.</w:t>
        <w:tab/>
        <w:t xml:space="preserve">(Current non-smokers only) </w:t>
      </w:r>
      <w:r>
        <w:rPr>
          <w:b/>
          <w:bCs/>
        </w:rPr>
        <w:t>During the past year about how may hours per week were you in close contact (in your home, at work, in a car, etc.) with people when they were smoking?</w:t>
      </w:r>
      <w:r>
        <w:rPr/>
        <w:t xml:space="preserve"> </w:t>
      </w:r>
    </w:p>
    <w:p>
      <w:pPr>
        <w:pStyle w:val="Number11"/>
        <w:rPr/>
      </w:pPr>
      <w:r>
        <w:rPr/>
        <w:tab/>
        <w:tab/>
        <w:t xml:space="preserve">Provide number of hours per week. This question applies to current non-smokers and former users of any kind of tobacco product.  The goal of the question is to obtain information on passive exposure to cigarette smoke (excluding cigars, pipes, etc.) in any type of close quarters during the past 12 months.  Record the number of hours in a </w:t>
      </w:r>
      <w:r>
        <w:rPr>
          <w:i/>
          <w:iCs/>
        </w:rPr>
        <w:t>typical</w:t>
      </w:r>
      <w:r>
        <w:rPr/>
        <w:t xml:space="preserve"> week; do not include isolated or atypical situations, such as holiday gatherings or short-term house guests who smoke. If participants do not remember the exact amount of time, ask them to give their best estimate. Record 00 if participant was exposed to less than 1 hour of per week.</w:t>
      </w:r>
    </w:p>
    <w:p>
      <w:pPr>
        <w:pStyle w:val="Normal"/>
        <w:tabs>
          <w:tab w:val="clear" w:pos="720"/>
          <w:tab w:val="right" w:pos="810" w:leader="none"/>
        </w:tabs>
        <w:ind w:left="900" w:hanging="900"/>
        <w:rPr/>
      </w:pPr>
      <w:r>
        <w:rPr/>
      </w:r>
    </w:p>
    <w:p>
      <w:pPr>
        <w:pStyle w:val="Number1"/>
        <w:rPr/>
      </w:pPr>
      <w:r>
        <w:rPr/>
        <w:tab/>
        <w:tab/>
      </w:r>
      <w:r>
        <w:rPr>
          <w:u w:val="single"/>
        </w:rPr>
        <w:t>Alcohol Use (questions 45–54)</w:t>
      </w:r>
    </w:p>
    <w:p>
      <w:pPr>
        <w:pStyle w:val="Number1body"/>
        <w:rPr/>
      </w:pPr>
      <w:r>
        <w:rPr/>
      </w:r>
    </w:p>
    <w:p>
      <w:pPr>
        <w:pStyle w:val="Number1body"/>
        <w:rPr/>
      </w:pPr>
      <w:r>
        <w:rPr/>
        <w:t xml:space="preserve">The goal of these questions is to identify current, previous, and  non-drinkers, and to document current and past consumption patterns.  Frequency of alcohol intake is determined by usual weekly intake. The serving sizes are different for beer (a 12 oz. glass, can, or bottle), wine (4 oz.), and hard liquor (1.5 oz). Mixed drinks or cocktails (e.g. martini, margarita) are prepared with hard liquor and other beverages, such as soda, seltzer, syrup, etc. Questions are in boldface type; explanations, if needed, follow in standard type; possible answers follow in parentheses. </w:t>
      </w:r>
    </w:p>
    <w:p>
      <w:pPr>
        <w:pStyle w:val="Number11"/>
        <w:rPr/>
      </w:pPr>
      <w:r>
        <w:rPr/>
      </w:r>
    </w:p>
    <w:p>
      <w:pPr>
        <w:pStyle w:val="Number11"/>
        <w:rPr/>
      </w:pPr>
      <w:r>
        <w:rPr/>
        <w:tab/>
        <w:t>45.</w:t>
        <w:tab/>
      </w:r>
      <w:r>
        <w:rPr>
          <w:b/>
          <w:bCs/>
          <w:iCs/>
        </w:rPr>
        <w:t>Have you ever consumed alcoholic beverages?</w:t>
      </w:r>
      <w:r>
        <w:rPr/>
        <w:t xml:space="preserve"> The goal of this question is to determine if a participant has ever consumed alcoholic beverages during his/her life.  Participants who report no alcohol consumption are asked no more questions in this form.</w:t>
      </w:r>
    </w:p>
    <w:p>
      <w:pPr>
        <w:pStyle w:val="Number11"/>
        <w:rPr/>
      </w:pPr>
      <w:r>
        <w:rPr/>
        <w:tab/>
        <w:tab/>
      </w:r>
      <w:r>
        <w:rPr>
          <w:u w:val="single"/>
        </w:rPr>
        <w:t>If no, you have completed this form</w:t>
      </w:r>
    </w:p>
    <w:p>
      <w:pPr>
        <w:pStyle w:val="Number11"/>
        <w:rPr/>
      </w:pPr>
      <w:r>
        <w:rPr/>
      </w:r>
    </w:p>
    <w:p>
      <w:pPr>
        <w:pStyle w:val="Number11"/>
        <w:rPr/>
      </w:pPr>
      <w:r>
        <w:rPr/>
        <w:tab/>
        <w:t>46.</w:t>
        <w:tab/>
      </w:r>
      <w:r>
        <w:rPr>
          <w:b/>
          <w:bCs/>
          <w:iCs/>
        </w:rPr>
        <w:t xml:space="preserve">How old were you when you first started drinking alcoholic beverages?  </w:t>
      </w:r>
      <w:r>
        <w:rPr/>
        <w:t>Provide age.</w:t>
      </w:r>
      <w:r>
        <w:rPr>
          <w:b/>
          <w:bCs/>
          <w:iCs/>
        </w:rPr>
        <w:t xml:space="preserve"> </w:t>
      </w:r>
      <w:r>
        <w:rPr/>
        <w:t>If participants do not remember the exact age they first used alcohol, ask them to give their best estimate.</w:t>
      </w:r>
    </w:p>
    <w:p>
      <w:pPr>
        <w:pStyle w:val="Number11"/>
        <w:rPr/>
      </w:pPr>
      <w:r>
        <w:rPr/>
        <w:t xml:space="preserve"> </w:t>
      </w:r>
    </w:p>
    <w:p>
      <w:pPr>
        <w:pStyle w:val="Number11"/>
        <w:rPr>
          <w:iCs/>
        </w:rPr>
      </w:pPr>
      <w:r>
        <w:rPr/>
        <w:tab/>
        <w:t>47.</w:t>
        <w:tab/>
      </w:r>
      <w:r>
        <w:rPr>
          <w:b/>
          <w:bCs/>
          <w:iCs/>
        </w:rPr>
        <w:t>Do you presently drink alcoholic beverages?</w:t>
      </w:r>
    </w:p>
    <w:p>
      <w:pPr>
        <w:pStyle w:val="Number11"/>
        <w:rPr>
          <w:iCs/>
        </w:rPr>
      </w:pPr>
      <w:r>
        <w:rPr>
          <w:b/>
          <w:bCs/>
          <w:iCs/>
        </w:rPr>
        <w:tab/>
        <w:tab/>
      </w:r>
      <w:r>
        <w:rPr>
          <w:iCs/>
          <w:u w:val="single"/>
        </w:rPr>
        <w:t>If yes, skip to question 51</w:t>
      </w:r>
    </w:p>
    <w:p>
      <w:pPr>
        <w:pStyle w:val="Number11"/>
        <w:rPr>
          <w:iCs/>
        </w:rPr>
      </w:pPr>
      <w:r>
        <w:rPr>
          <w:iCs/>
        </w:rPr>
      </w:r>
    </w:p>
    <w:p>
      <w:pPr>
        <w:pStyle w:val="Number11"/>
        <w:rPr/>
      </w:pPr>
      <w:r>
        <w:rPr>
          <w:iCs/>
        </w:rPr>
        <w:tab/>
        <w:t>48.</w:t>
        <w:tab/>
      </w:r>
      <w:r>
        <w:rPr>
          <w:b/>
          <w:bCs/>
        </w:rPr>
        <w:t xml:space="preserve">For how many years did you drink alcoholic beverages? </w:t>
      </w:r>
      <w:r>
        <w:rPr>
          <w:i/>
          <w:iCs/>
        </w:rPr>
        <w:t xml:space="preserve"> (Do not count times when you did not drink alcohol.)</w:t>
      </w:r>
    </w:p>
    <w:p>
      <w:pPr>
        <w:pStyle w:val="Number11"/>
        <w:rPr/>
      </w:pPr>
      <w:r>
        <w:rPr/>
        <w:tab/>
        <w:tab/>
        <w:t>Provide number of years. If necessary, explain that if there were periods of times during which they didn’t drink any alcohol they should not take those years in account. If participants do not remember the exact number of years, ask them to give their best estimate. Record 00 if participant drank alcoholic beverages for less than one year.</w:t>
      </w:r>
    </w:p>
    <w:p>
      <w:pPr>
        <w:pStyle w:val="Number11"/>
        <w:rPr/>
      </w:pPr>
      <w:r>
        <w:rPr/>
        <w:t xml:space="preserve"> </w:t>
      </w:r>
    </w:p>
    <w:p>
      <w:pPr>
        <w:pStyle w:val="Number11"/>
        <w:rPr/>
      </w:pPr>
      <w:r>
        <w:rPr/>
        <w:tab/>
        <w:t>49.</w:t>
        <w:tab/>
      </w:r>
      <w:r>
        <w:rPr>
          <w:b/>
          <w:bCs/>
          <w:iCs/>
        </w:rPr>
        <w:t>In the past, what types of alcoholic beverages did you ordinarily drink?</w:t>
      </w:r>
      <w:r>
        <w:rPr/>
        <w:t xml:space="preserve"> Select all that apply. Participants may choose more than one type of beverage.</w:t>
      </w:r>
    </w:p>
    <w:p>
      <w:pPr>
        <w:pStyle w:val="Number11"/>
        <w:rPr/>
      </w:pPr>
      <w:r>
        <w:rPr/>
        <w:t xml:space="preserve"> </w:t>
      </w:r>
    </w:p>
    <w:p>
      <w:pPr>
        <w:pStyle w:val="Number11"/>
        <w:rPr/>
      </w:pPr>
      <w:r>
        <w:rPr/>
        <w:tab/>
        <w:t>50.</w:t>
        <w:tab/>
      </w:r>
      <w:r>
        <w:rPr>
          <w:b/>
          <w:bCs/>
        </w:rPr>
        <w:t>What was the usual number of drinks you had per week before you stopped drinking alcoholic beverages?</w:t>
      </w:r>
      <w:r>
        <w:rPr/>
        <w:t xml:space="preserve">  (One drink means one beer or one glass of wine or one shot of hard liquor or one mixed drink. Record 0 if you had less than one drink per week.) Provide number of drinks per week. “Usual” means “on average.”</w:t>
      </w:r>
      <w:r>
        <w:rPr>
          <w:iCs/>
        </w:rPr>
        <w:t xml:space="preserve"> “Per week”</w:t>
      </w:r>
      <w:r>
        <w:rPr/>
        <w:t xml:space="preserve"> includes weekends.  If participants do not remember the exact number of drinks per week, ask them to give their best estimate. If they give number of drinks per month, divide by four to derive weekly intake. Record 00 if participant had less than one drink per week.</w:t>
      </w:r>
    </w:p>
    <w:p>
      <w:pPr>
        <w:pStyle w:val="Number11"/>
        <w:rPr/>
      </w:pPr>
      <w:r>
        <w:rPr/>
      </w:r>
    </w:p>
    <w:p>
      <w:pPr>
        <w:pStyle w:val="Number11"/>
        <w:rPr/>
      </w:pPr>
      <w:r>
        <w:rPr/>
        <w:tab/>
        <w:t>51.</w:t>
        <w:tab/>
        <w:t xml:space="preserve">IF YOU CURRENTLY DRINK ALCOHOL: </w:t>
      </w:r>
      <w:r>
        <w:rPr>
          <w:b/>
          <w:bCs/>
        </w:rPr>
        <w:t>For how many years have you been drinking alcoholic beverages?</w:t>
      </w:r>
      <w:r>
        <w:rPr/>
        <w:t xml:space="preserve"> </w:t>
      </w:r>
      <w:r>
        <w:rPr>
          <w:i/>
          <w:iCs/>
        </w:rPr>
        <w:t xml:space="preserve"> (Do not count times you did not drink alcohol.) </w:t>
      </w:r>
      <w:r>
        <w:rPr/>
        <w:t>Provide number of years. If necessary, explain that if there were periods of times during which they didn’t drink any alcohol they should not take those years in account. If participants do not remember the exact number of years, ask them to give their best estimate. Record 00 if participant has been drinking alcoholic beverages for less than one year.</w:t>
      </w:r>
    </w:p>
    <w:p>
      <w:pPr>
        <w:pStyle w:val="Number11"/>
        <w:rPr/>
      </w:pPr>
      <w:r>
        <w:rPr/>
      </w:r>
    </w:p>
    <w:p>
      <w:pPr>
        <w:pStyle w:val="Number11"/>
        <w:rPr/>
      </w:pPr>
      <w:r>
        <w:rPr/>
        <w:tab/>
        <w:t>52.</w:t>
        <w:tab/>
      </w:r>
      <w:r>
        <w:rPr>
          <w:b/>
          <w:bCs/>
        </w:rPr>
        <w:t>What is the usual number of drinks you have per week?</w:t>
      </w:r>
      <w:r>
        <w:rPr/>
        <w:t xml:space="preserve">  (One drink means one beer or one glass of wine or one shot of hard liquor or one mixed drink. Record 0 if you have less than one drink per week.) Provide number of drinks per week. “Usual” means “on average.”</w:t>
      </w:r>
      <w:r>
        <w:rPr>
          <w:iCs/>
        </w:rPr>
        <w:t xml:space="preserve"> “Per week”</w:t>
      </w:r>
      <w:r>
        <w:rPr/>
        <w:t xml:space="preserve"> includes weekends.  If participants do not remember the exact number of drinks per week, ask them to give their best estimate. If they give number of drinks per month, divide by four to derive weekly intake. Record 00 if participant has less than one drink per week.</w:t>
      </w:r>
    </w:p>
    <w:p>
      <w:pPr>
        <w:pStyle w:val="Number11"/>
        <w:rPr/>
      </w:pPr>
      <w:r>
        <w:rPr/>
      </w:r>
    </w:p>
    <w:p>
      <w:pPr>
        <w:pStyle w:val="Number11"/>
        <w:rPr/>
      </w:pPr>
      <w:r>
        <w:rPr/>
        <w:tab/>
        <w:t>53.</w:t>
        <w:tab/>
      </w:r>
      <w:r>
        <w:rPr>
          <w:b/>
          <w:bCs/>
        </w:rPr>
        <w:t>During the past 24 hours how may drinks have you had?</w:t>
      </w:r>
      <w:r>
        <w:rPr/>
        <w:t xml:space="preserve"> Provide number of drinks in past 24 hours. The number of drinks includes all the wine, beer, and hard liquor consumed within the 24 hours prior to the interview. Record 00 if the participant has had less than one drink.</w:t>
      </w:r>
    </w:p>
    <w:p>
      <w:pPr>
        <w:pStyle w:val="Number11"/>
        <w:rPr>
          <w:b/>
          <w:b/>
          <w:bCs/>
        </w:rPr>
      </w:pPr>
      <w:r>
        <w:rPr>
          <w:b/>
          <w:bCs/>
        </w:rPr>
      </w:r>
    </w:p>
    <w:p>
      <w:pPr>
        <w:pStyle w:val="Number11"/>
        <w:rPr/>
      </w:pPr>
      <w:r>
        <w:rPr>
          <w:b/>
          <w:bCs/>
        </w:rPr>
        <w:tab/>
      </w:r>
      <w:r>
        <w:rPr/>
        <w:t>54.</w:t>
      </w:r>
      <w:r>
        <w:rPr>
          <w:b/>
          <w:bCs/>
        </w:rPr>
        <w:tab/>
      </w:r>
      <w:r>
        <w:rPr>
          <w:b/>
          <w:bCs/>
          <w:iCs/>
        </w:rPr>
        <w:t xml:space="preserve">In the past month what is the largest number of drinks you had in one day? </w:t>
      </w:r>
      <w:r>
        <w:rPr/>
        <w:t>Provide the largest number of drinks per day.</w:t>
      </w:r>
      <w:r>
        <w:rPr>
          <w:b/>
          <w:bCs/>
          <w:iCs/>
        </w:rPr>
        <w:t xml:space="preserve"> </w:t>
      </w:r>
      <w:r>
        <w:rPr/>
        <w:t xml:space="preserve">The largest number of drinks includes all the wine, beer, and hard liquor consumed within a single 24-hour period in the past month. Record 00 if the participant had less than one drink on any given day in the past month. </w:t>
      </w:r>
    </w:p>
    <w:p>
      <w:pPr>
        <w:pStyle w:val="Number11"/>
        <w:rPr>
          <w:b/>
          <w:b/>
          <w:bCs/>
        </w:rPr>
      </w:pPr>
      <w:r>
        <w:rPr>
          <w:b/>
          <w:bCs/>
        </w:rPr>
      </w:r>
    </w:p>
    <w:p>
      <w:pPr>
        <w:sectPr>
          <w:headerReference w:type="even" r:id="rId68"/>
          <w:headerReference w:type="default" r:id="rId69"/>
          <w:footerReference w:type="even" r:id="rId70"/>
          <w:footerReference w:type="default" r:id="rId71"/>
          <w:type w:val="oddPage"/>
          <w:pgSz w:w="12240" w:h="15840"/>
          <w:pgMar w:left="2880" w:right="1080" w:gutter="0" w:header="720" w:top="1440" w:footer="720" w:bottom="1440"/>
          <w:pgNumType w:fmt="decimal"/>
          <w:formProt w:val="false"/>
          <w:textDirection w:val="lrTb"/>
          <w:docGrid w:type="default" w:linePitch="360" w:charSpace="0"/>
        </w:sectPr>
        <w:pStyle w:val="Romanbody"/>
        <w:rPr>
          <w:sz w:val="22"/>
        </w:rPr>
      </w:pPr>
      <w:r>
        <w:rPr/>
        <w:t>At this point the form is completed. If the form was self-administered, check for completeness. Fill in the box labeled, “For MESA Field center Use Only.”  Mark if form was self-administered or interviewer-administered. Record Interviewer or Reviewer ID (your ID number) and the date the form was completed.</w:t>
      </w:r>
    </w:p>
    <w:p>
      <w:pPr>
        <w:pStyle w:val="Subsub"/>
        <w:rPr/>
      </w:pPr>
      <w:bookmarkStart w:id="18" w:name="__RefHeading___Toc503858974"/>
      <w:bookmarkEnd w:id="18"/>
      <w:r>
        <w:rPr/>
        <w:t>3.4.4  Medical History</w:t>
      </w:r>
    </w:p>
    <w:p>
      <w:pPr>
        <w:pStyle w:val="Romanbold"/>
        <w:rPr/>
      </w:pPr>
      <w:r>
        <w:rPr/>
      </w:r>
    </w:p>
    <w:p>
      <w:pPr>
        <w:pStyle w:val="Romanbold"/>
        <w:rPr/>
      </w:pPr>
      <w:r>
        <w:rPr/>
      </w:r>
    </w:p>
    <w:p>
      <w:pPr>
        <w:pStyle w:val="Romanbold"/>
        <w:rPr/>
      </w:pPr>
      <w:r>
        <w:rPr/>
        <w:tab/>
        <w:t>I.</w:t>
        <w:tab/>
        <w:t>Purpose</w:t>
      </w:r>
    </w:p>
    <w:p>
      <w:pPr>
        <w:pStyle w:val="Normal"/>
        <w:rPr>
          <w:sz w:val="22"/>
        </w:rPr>
      </w:pPr>
      <w:r>
        <w:rPr>
          <w:sz w:val="22"/>
        </w:rPr>
      </w:r>
    </w:p>
    <w:p>
      <w:pPr>
        <w:pStyle w:val="Romanbody"/>
        <w:rPr/>
      </w:pPr>
      <w:r>
        <w:rPr/>
        <w:t>The Medical History identifies the participant’s medical conditions and provides other information at baseline that may:</w:t>
      </w:r>
    </w:p>
    <w:p>
      <w:pPr>
        <w:pStyle w:val="Normal"/>
        <w:rPr>
          <w:b/>
          <w:b/>
          <w:bCs/>
        </w:rPr>
      </w:pPr>
      <w:r>
        <w:rPr>
          <w:b/>
          <w:bCs/>
        </w:rPr>
      </w:r>
    </w:p>
    <w:p>
      <w:pPr>
        <w:pStyle w:val="Romanbodybullet"/>
        <w:rPr/>
      </w:pPr>
      <w:r>
        <w:rPr/>
        <w:t xml:space="preserve"> </w:t>
      </w:r>
      <w:r>
        <w:rPr>
          <w:rFonts w:eastAsia="Symbol" w:cs="Symbol" w:ascii="Symbol" w:hAnsi="Symbol"/>
        </w:rPr>
        <w:t></w:t>
      </w:r>
      <w:r>
        <w:rPr/>
        <w:tab/>
        <w:t xml:space="preserve">be criteria for ineligibility (although the vast majority of ineligible persons should already have been identified); </w:t>
      </w:r>
    </w:p>
    <w:p>
      <w:pPr>
        <w:pStyle w:val="Romanbodybullet"/>
        <w:rPr/>
      </w:pPr>
      <w:r>
        <w:rPr>
          <w:rFonts w:eastAsia="Symbol" w:cs="Symbol" w:ascii="Symbol" w:hAnsi="Symbol"/>
        </w:rPr>
        <w:t></w:t>
      </w:r>
      <w:r>
        <w:rPr/>
        <w:tab/>
        <w:t xml:space="preserve">classify persons who are not candidates for certain incident non-CVD disease endpoints (such as diabetes or cancer); </w:t>
      </w:r>
    </w:p>
    <w:p>
      <w:pPr>
        <w:pStyle w:val="Romanbodybullet"/>
        <w:rPr/>
      </w:pPr>
      <w:r>
        <w:rPr>
          <w:rFonts w:eastAsia="Symbol" w:cs="Symbol" w:ascii="Symbol" w:hAnsi="Symbol"/>
        </w:rPr>
        <w:t></w:t>
      </w:r>
      <w:r>
        <w:rPr/>
        <w:tab/>
        <w:t xml:space="preserve">be used to adjust for co-morbidity; </w:t>
      </w:r>
    </w:p>
    <w:p>
      <w:pPr>
        <w:pStyle w:val="Romanbodybullet"/>
        <w:rPr/>
      </w:pPr>
      <w:r>
        <w:rPr>
          <w:rFonts w:eastAsia="Symbol" w:cs="Symbol" w:ascii="Symbol" w:hAnsi="Symbol"/>
        </w:rPr>
        <w:t></w:t>
      </w:r>
      <w:r>
        <w:rPr/>
        <w:tab/>
        <w:t xml:space="preserve">characterize the participant's access to medical care; and </w:t>
      </w:r>
    </w:p>
    <w:p>
      <w:pPr>
        <w:pStyle w:val="Romanbodybullet"/>
        <w:rPr/>
      </w:pPr>
      <w:r>
        <w:rPr>
          <w:rFonts w:eastAsia="Symbol" w:cs="Symbol" w:ascii="Symbol" w:hAnsi="Symbol"/>
        </w:rPr>
        <w:t></w:t>
      </w:r>
      <w:r>
        <w:rPr/>
        <w:tab/>
        <w:t xml:space="preserve">characterize family history of CVD. </w:t>
      </w:r>
    </w:p>
    <w:p>
      <w:pPr>
        <w:pStyle w:val="Normal"/>
        <w:rPr>
          <w:sz w:val="22"/>
        </w:rPr>
      </w:pPr>
      <w:r>
        <w:rPr>
          <w:sz w:val="22"/>
        </w:rPr>
      </w:r>
    </w:p>
    <w:p>
      <w:pPr>
        <w:pStyle w:val="Romanbold"/>
        <w:rPr/>
      </w:pPr>
      <w:r>
        <w:rPr/>
        <w:tab/>
        <w:t>II.</w:t>
        <w:tab/>
        <w:t>Materials/Equipment</w:t>
      </w:r>
    </w:p>
    <w:p>
      <w:pPr>
        <w:pStyle w:val="Normal"/>
        <w:rPr>
          <w:sz w:val="22"/>
        </w:rPr>
      </w:pPr>
      <w:r>
        <w:rPr>
          <w:sz w:val="22"/>
        </w:rPr>
      </w:r>
    </w:p>
    <w:p>
      <w:pPr>
        <w:pStyle w:val="Romanbody"/>
        <w:rPr/>
      </w:pPr>
      <w:r>
        <w:rPr/>
        <w:t>None.</w:t>
      </w:r>
    </w:p>
    <w:p>
      <w:pPr>
        <w:pStyle w:val="Normal"/>
        <w:rPr>
          <w:sz w:val="22"/>
        </w:rPr>
      </w:pPr>
      <w:r>
        <w:rPr>
          <w:sz w:val="22"/>
        </w:rPr>
      </w:r>
    </w:p>
    <w:p>
      <w:pPr>
        <w:pStyle w:val="Romanbold"/>
        <w:rPr/>
      </w:pPr>
      <w:r>
        <w:rPr/>
        <w:tab/>
        <w:t>III.</w:t>
        <w:tab/>
        <w:t>Definitions</w:t>
      </w:r>
    </w:p>
    <w:p>
      <w:pPr>
        <w:pStyle w:val="Romanbody"/>
        <w:rPr/>
      </w:pPr>
      <w:r>
        <w:rPr/>
      </w:r>
    </w:p>
    <w:p>
      <w:pPr>
        <w:pStyle w:val="Romanbody"/>
        <w:rPr/>
      </w:pPr>
      <w:r>
        <w:rPr/>
        <w:t>None.</w:t>
      </w:r>
    </w:p>
    <w:p>
      <w:pPr>
        <w:pStyle w:val="Romanbody"/>
        <w:rPr/>
      </w:pPr>
      <w:r>
        <w:rPr/>
      </w:r>
    </w:p>
    <w:p>
      <w:pPr>
        <w:pStyle w:val="Romanbold"/>
        <w:rPr/>
      </w:pPr>
      <w:r>
        <w:rPr/>
        <w:tab/>
        <w:t>IV.</w:t>
        <w:tab/>
        <w:t>Methods</w:t>
      </w:r>
    </w:p>
    <w:p>
      <w:pPr>
        <w:pStyle w:val="Normal"/>
        <w:rPr>
          <w:sz w:val="22"/>
        </w:rPr>
      </w:pPr>
      <w:r>
        <w:rPr>
          <w:sz w:val="22"/>
        </w:rPr>
      </w:r>
    </w:p>
    <w:p>
      <w:pPr>
        <w:pStyle w:val="Number1"/>
        <w:rPr/>
      </w:pPr>
      <w:r>
        <w:rPr/>
        <w:tab/>
        <w:t>1.</w:t>
        <w:tab/>
      </w:r>
      <w:r>
        <w:rPr>
          <w:u w:val="single"/>
        </w:rPr>
        <w:t>General instructions</w:t>
      </w:r>
    </w:p>
    <w:p>
      <w:pPr>
        <w:pStyle w:val="Number1body"/>
        <w:rPr/>
      </w:pPr>
      <w:r>
        <w:rPr/>
      </w:r>
    </w:p>
    <w:p>
      <w:pPr>
        <w:pStyle w:val="Number1body"/>
        <w:rPr/>
      </w:pPr>
      <w:r>
        <w:rPr/>
        <w:t xml:space="preserve">This is an interviewer-administered form. For each question, possible responses are “Yes”, “No,” ‘Don’t Know,” and/or ‘Not Applicable” or “N/A” (not applicable). Have the participant choose the appropriate responses for each question. </w:t>
      </w:r>
      <w:r>
        <w:rPr>
          <w:i/>
          <w:iCs/>
        </w:rPr>
        <w:t>Do not probe to make interpretations about a participant’s specific symptoms. Ask questions as written and record answers as given.</w:t>
      </w:r>
    </w:p>
    <w:p>
      <w:pPr>
        <w:pStyle w:val="Number1body"/>
        <w:rPr>
          <w:i/>
          <w:i/>
          <w:iCs/>
        </w:rPr>
      </w:pPr>
      <w:r>
        <w:rPr>
          <w:i/>
          <w:iCs/>
        </w:rPr>
      </w:r>
    </w:p>
    <w:p>
      <w:pPr>
        <w:pStyle w:val="Number1"/>
        <w:rPr/>
      </w:pPr>
      <w:r>
        <w:rPr/>
        <w:tab/>
        <w:t>2.</w:t>
        <w:tab/>
        <w:t>Specific instructions</w:t>
      </w:r>
    </w:p>
    <w:p>
      <w:pPr>
        <w:pStyle w:val="Number1body"/>
        <w:rPr/>
      </w:pPr>
      <w:r>
        <w:rPr/>
      </w:r>
    </w:p>
    <w:p>
      <w:pPr>
        <w:pStyle w:val="Number1body"/>
        <w:rPr/>
      </w:pPr>
      <w:r>
        <w:rPr/>
        <w:t>Questions 1-11 pertain to conditions the participant has been told he or she ever had by a doctor. The participant should choose “Yes” or “No” if he/she is fairly sure about the diagnosis and “Don't Know” if he/she believes he/she might have been told about the diagnosis but is not sure.  If the person is cared for primarily by health care practitioner other than a physician, such as a nurse practitioner, try to determine that the diagnosis was made in a medical setting and, if so, include the response.</w:t>
      </w:r>
    </w:p>
    <w:p>
      <w:pPr>
        <w:pStyle w:val="Number1body"/>
        <w:rPr/>
      </w:pPr>
      <w:r>
        <w:rPr/>
      </w:r>
    </w:p>
    <w:p>
      <w:pPr>
        <w:pStyle w:val="Number1body"/>
        <w:rPr/>
      </w:pPr>
      <w:r>
        <w:rPr/>
        <w:t>For any question that asks about the age at diagnosis or when treatment was begun, assist the participant in converting the year to age, if necessary.</w:t>
      </w:r>
    </w:p>
    <w:p>
      <w:pPr>
        <w:pStyle w:val="Normal"/>
        <w:ind w:left="1080" w:hanging="0"/>
        <w:rPr>
          <w:sz w:val="22"/>
        </w:rPr>
      </w:pPr>
      <w:r>
        <w:rPr>
          <w:sz w:val="22"/>
        </w:rPr>
      </w:r>
    </w:p>
    <w:p>
      <w:pPr>
        <w:pStyle w:val="Arialbold9"/>
        <w:ind w:left="900" w:hanging="900"/>
        <w:rPr>
          <w:rFonts w:ascii="Times New Roman;Times New Roman" w:hAnsi="Times New Roman;Times New Roman" w:cs="Times New Roman;Times New Roman"/>
          <w:b w:val="false"/>
          <w:b w:val="false"/>
          <w:bCs w:val="false"/>
          <w:sz w:val="24"/>
        </w:rPr>
      </w:pPr>
      <w:r>
        <w:rPr/>
        <w:tab/>
        <w:t>“Has a doctor ever told you that you had any of the following?”</w:t>
      </w:r>
    </w:p>
    <w:p>
      <w:pPr>
        <w:pStyle w:val="Normal"/>
        <w:tabs>
          <w:tab w:val="clear" w:pos="720"/>
          <w:tab w:val="right" w:pos="1350" w:leader="none"/>
        </w:tabs>
        <w:ind w:left="1080" w:hanging="0"/>
        <w:rPr>
          <w:rFonts w:ascii="Times New Roman;Times New Roman" w:hAnsi="Times New Roman;Times New Roman" w:cs="Times New Roman;Times New Roman"/>
          <w:b/>
          <w:b/>
          <w:bCs/>
          <w:sz w:val="22"/>
        </w:rPr>
      </w:pPr>
      <w:r>
        <w:rPr>
          <w:rFonts w:cs="Times New Roman;Times New Roman"/>
          <w:b/>
          <w:bCs/>
          <w:sz w:val="22"/>
        </w:rPr>
      </w:r>
    </w:p>
    <w:p>
      <w:pPr>
        <w:pStyle w:val="Number11"/>
        <w:rPr/>
      </w:pPr>
      <w:r>
        <w:rPr/>
        <w:tab/>
        <w:t>1.</w:t>
        <w:tab/>
      </w:r>
      <w:r>
        <w:rPr>
          <w:b/>
          <w:bCs/>
        </w:rPr>
        <w:t>Emphysema.</w:t>
      </w:r>
      <w:r>
        <w:rPr/>
        <w:t xml:space="preserve"> Include "chronic bronchitis" or "chronic obstructive pulmonary disease" or "COPD." </w:t>
      </w:r>
    </w:p>
    <w:p>
      <w:pPr>
        <w:pStyle w:val="Number11"/>
        <w:rPr/>
      </w:pPr>
      <w:r>
        <w:rPr/>
      </w:r>
    </w:p>
    <w:p>
      <w:pPr>
        <w:pStyle w:val="Number11"/>
        <w:rPr/>
      </w:pPr>
      <w:r>
        <w:rPr/>
        <w:tab/>
        <w:t xml:space="preserve">2. </w:t>
        <w:tab/>
      </w:r>
      <w:r>
        <w:rPr>
          <w:b/>
          <w:bCs/>
        </w:rPr>
        <w:t xml:space="preserve">Asthma. </w:t>
      </w:r>
    </w:p>
    <w:p>
      <w:pPr>
        <w:pStyle w:val="Number11"/>
        <w:rPr/>
      </w:pPr>
      <w:r>
        <w:rPr/>
      </w:r>
    </w:p>
    <w:p>
      <w:pPr>
        <w:pStyle w:val="Number11"/>
        <w:rPr/>
      </w:pPr>
      <w:r>
        <w:rPr/>
        <w:tab/>
        <w:t xml:space="preserve">3. </w:t>
        <w:tab/>
      </w:r>
      <w:r>
        <w:rPr>
          <w:b/>
          <w:bCs/>
        </w:rPr>
        <w:t>Arthritis.</w:t>
      </w:r>
      <w:r>
        <w:rPr/>
        <w:t xml:space="preserve"> Include “osteoarthritis,” “wear-and-tear arthritis,” “rheumatoid arthritis,” and forms of arthritis associated with other diseases.</w:t>
      </w:r>
    </w:p>
    <w:p>
      <w:pPr>
        <w:pStyle w:val="Number11"/>
        <w:rPr/>
      </w:pPr>
      <w:r>
        <w:rPr/>
      </w:r>
    </w:p>
    <w:p>
      <w:pPr>
        <w:pStyle w:val="Number11"/>
        <w:rPr/>
      </w:pPr>
      <w:r>
        <w:rPr/>
        <w:tab/>
        <w:t xml:space="preserve">4. </w:t>
        <w:tab/>
      </w:r>
      <w:r>
        <w:rPr>
          <w:b/>
          <w:bCs/>
        </w:rPr>
        <w:t>Cancer</w:t>
      </w:r>
    </w:p>
    <w:p>
      <w:pPr>
        <w:pStyle w:val="Number11"/>
        <w:rPr/>
      </w:pPr>
      <w:r>
        <w:rPr/>
        <w:tab/>
        <w:tab/>
      </w:r>
      <w:r>
        <w:rPr>
          <w:u w:val="single"/>
        </w:rPr>
        <w:t>If yes, select type(s)</w:t>
      </w:r>
      <w:r>
        <w:rPr/>
        <w:t>:</w:t>
      </w:r>
    </w:p>
    <w:p>
      <w:pPr>
        <w:pStyle w:val="Number11"/>
        <w:rPr>
          <w:sz w:val="22"/>
        </w:rPr>
      </w:pPr>
      <w:r>
        <w:rPr>
          <w:sz w:val="22"/>
        </w:rPr>
        <w:tab/>
      </w:r>
    </w:p>
    <w:p>
      <w:pPr>
        <w:pStyle w:val="Number11bodybullet"/>
        <w:ind w:left="1620" w:hanging="1620"/>
        <w:rPr/>
      </w:pPr>
      <w:r>
        <w:rPr/>
        <w:tab/>
        <w:t xml:space="preserve">a. </w:t>
        <w:tab/>
        <w:t>Prostate cancer</w:t>
      </w:r>
    </w:p>
    <w:p>
      <w:pPr>
        <w:pStyle w:val="Number11bodybullet"/>
        <w:ind w:left="1620" w:hanging="1620"/>
        <w:rPr/>
      </w:pPr>
      <w:r>
        <w:rPr/>
        <w:tab/>
        <w:t xml:space="preserve">b. </w:t>
        <w:tab/>
        <w:t>Breast cancer</w:t>
      </w:r>
    </w:p>
    <w:p>
      <w:pPr>
        <w:pStyle w:val="Number11bodybullet"/>
        <w:ind w:left="1620" w:hanging="1620"/>
        <w:rPr/>
      </w:pPr>
      <w:r>
        <w:rPr/>
        <w:tab/>
        <w:t xml:space="preserve">c. </w:t>
        <w:tab/>
        <w:t xml:space="preserve">Lung cancer </w:t>
      </w:r>
    </w:p>
    <w:p>
      <w:pPr>
        <w:pStyle w:val="Number11bodybullet"/>
        <w:ind w:left="1620" w:hanging="1620"/>
        <w:rPr/>
      </w:pPr>
      <w:r>
        <w:rPr/>
        <w:tab/>
        <w:t xml:space="preserve">d. </w:t>
        <w:tab/>
        <w:t>Colon cancer</w:t>
      </w:r>
    </w:p>
    <w:p>
      <w:pPr>
        <w:pStyle w:val="Number11bodybullet"/>
        <w:ind w:left="1620" w:hanging="1620"/>
        <w:rPr/>
      </w:pPr>
      <w:r>
        <w:rPr/>
        <w:tab/>
        <w:t xml:space="preserve">e. </w:t>
        <w:tab/>
        <w:t xml:space="preserve">Non-melanoma skin cancer (i.e., basal cell carcinoma or squamous cell carcinoma) </w:t>
      </w:r>
    </w:p>
    <w:p>
      <w:pPr>
        <w:pStyle w:val="Number11bodybullet"/>
        <w:ind w:left="1620" w:hanging="1620"/>
        <w:rPr/>
      </w:pPr>
      <w:r>
        <w:rPr/>
        <w:tab/>
        <w:t xml:space="preserve">f. </w:t>
        <w:tab/>
        <w:t>Blood cancer (e.g., leukemia, lymphoma, multiple myeloma)</w:t>
      </w:r>
    </w:p>
    <w:p>
      <w:pPr>
        <w:pStyle w:val="Number11bodybullet"/>
        <w:ind w:left="1620" w:hanging="1620"/>
        <w:rPr/>
      </w:pPr>
      <w:r>
        <w:rPr/>
        <w:tab/>
        <w:t xml:space="preserve">g. </w:t>
        <w:tab/>
        <w:t>Other cancer</w:t>
      </w:r>
    </w:p>
    <w:p>
      <w:pPr>
        <w:pStyle w:val="Number11"/>
        <w:rPr/>
      </w:pPr>
      <w:r>
        <w:rPr/>
      </w:r>
    </w:p>
    <w:p>
      <w:pPr>
        <w:pStyle w:val="Number11"/>
        <w:rPr/>
      </w:pPr>
      <w:r>
        <w:rPr/>
        <w:tab/>
        <w:t xml:space="preserve">5. </w:t>
        <w:tab/>
      </w:r>
      <w:r>
        <w:rPr>
          <w:b/>
          <w:bCs/>
        </w:rPr>
        <w:t xml:space="preserve">Rheumatic heart disease or heart valve problems. </w:t>
      </w:r>
    </w:p>
    <w:p>
      <w:pPr>
        <w:pStyle w:val="Number11"/>
        <w:rPr/>
      </w:pPr>
      <w:r>
        <w:rPr/>
      </w:r>
    </w:p>
    <w:p>
      <w:pPr>
        <w:pStyle w:val="Number11"/>
        <w:rPr/>
      </w:pPr>
      <w:r>
        <w:rPr/>
        <w:tab/>
        <w:t xml:space="preserve">6. </w:t>
        <w:tab/>
      </w:r>
      <w:r>
        <w:rPr>
          <w:b/>
          <w:bCs/>
        </w:rPr>
        <w:t>Blood clots</w:t>
      </w:r>
      <w:r>
        <w:rPr/>
        <w:t xml:space="preserve"> in the lungs or  leg veins. Include "phlebitis," “deep vein thrombosis” (a blood clot in a leg vein that obstructs blood flow), “thrombophlebitis,” or “pulmonary embolus” (a blood clot that has traveled from a leg vein to the lung: this is serious, often requires hospitalization, and can occur after surgery and prolonged bed rest).  Clots are often treated with Coumadin and other blood thinners. </w:t>
      </w:r>
    </w:p>
    <w:p>
      <w:pPr>
        <w:pStyle w:val="Number11"/>
        <w:rPr/>
      </w:pPr>
      <w:r>
        <w:rPr/>
      </w:r>
    </w:p>
    <w:p>
      <w:pPr>
        <w:pStyle w:val="Number11"/>
        <w:rPr/>
      </w:pPr>
      <w:r>
        <w:rPr/>
        <w:tab/>
        <w:t xml:space="preserve">7. </w:t>
        <w:tab/>
      </w:r>
      <w:r>
        <w:rPr>
          <w:b/>
          <w:bCs/>
        </w:rPr>
        <w:t xml:space="preserve">Liver disease. </w:t>
      </w:r>
    </w:p>
    <w:p>
      <w:pPr>
        <w:pStyle w:val="Number11"/>
        <w:rPr/>
      </w:pPr>
      <w:r>
        <w:rPr/>
        <w:tab/>
        <w:tab/>
      </w:r>
      <w:r>
        <w:rPr>
          <w:u w:val="single"/>
        </w:rPr>
        <w:t>If yes, select type</w:t>
      </w:r>
      <w:r>
        <w:rPr/>
        <w:t>:</w:t>
      </w:r>
    </w:p>
    <w:p>
      <w:pPr>
        <w:pStyle w:val="Number11bodybullet"/>
        <w:ind w:left="1620" w:hanging="1620"/>
        <w:rPr/>
      </w:pPr>
      <w:r>
        <w:rPr/>
        <w:tab/>
      </w:r>
    </w:p>
    <w:p>
      <w:pPr>
        <w:pStyle w:val="Number11bodybullet"/>
        <w:ind w:left="1620" w:hanging="1620"/>
        <w:rPr/>
      </w:pPr>
      <w:r>
        <w:rPr/>
        <w:tab/>
        <w:t xml:space="preserve">a. </w:t>
        <w:tab/>
        <w:t xml:space="preserve">Cirrhosis (can also be called “liver failure”)is a </w:t>
      </w:r>
      <w:r>
        <w:rPr>
          <w:i/>
          <w:iCs/>
        </w:rPr>
        <w:t>chronic</w:t>
      </w:r>
      <w:r>
        <w:rPr/>
        <w:t xml:space="preserve"> condition (can develop and progress over many years) and may be associated with jaundice (yellow eyes and skin), weight loss, abdominal and leg swelling,  and skin changes.</w:t>
      </w:r>
    </w:p>
    <w:p>
      <w:pPr>
        <w:pStyle w:val="Number11bodybullet"/>
        <w:ind w:left="1620" w:hanging="1620"/>
        <w:rPr/>
      </w:pPr>
      <w:r>
        <w:rPr/>
        <w:tab/>
      </w:r>
    </w:p>
    <w:p>
      <w:pPr>
        <w:pStyle w:val="Number11bodybullet"/>
        <w:ind w:left="1620" w:hanging="1620"/>
        <w:rPr/>
      </w:pPr>
      <w:r>
        <w:rPr/>
        <w:tab/>
        <w:t xml:space="preserve">b. </w:t>
        <w:tab/>
        <w:t xml:space="preserve">Hepatitis is an </w:t>
      </w:r>
      <w:r>
        <w:rPr>
          <w:i/>
          <w:iCs/>
        </w:rPr>
        <w:t xml:space="preserve">acute </w:t>
      </w:r>
      <w:r>
        <w:rPr/>
        <w:t>condition (occurs shortly after the infection) and usually accompanied by jaundice and sometimes abdominal pain, which may be the only signs of infection.</w:t>
      </w:r>
    </w:p>
    <w:p>
      <w:pPr>
        <w:pStyle w:val="Number11bodybullet"/>
        <w:ind w:left="1620" w:hanging="1620"/>
        <w:rPr/>
      </w:pPr>
      <w:r>
        <w:rPr/>
        <w:tab/>
        <w:tab/>
      </w:r>
      <w:r>
        <w:rPr>
          <w:u w:val="single"/>
        </w:rPr>
        <w:t>If yes, select type(s)</w:t>
      </w:r>
      <w:r>
        <w:rPr/>
        <w:t>:</w:t>
        <w:tab/>
        <w:tab/>
      </w:r>
    </w:p>
    <w:p>
      <w:pPr>
        <w:pStyle w:val="Number11"/>
        <w:rPr>
          <w:sz w:val="22"/>
        </w:rPr>
      </w:pPr>
      <w:r>
        <w:rPr>
          <w:sz w:val="22"/>
        </w:rPr>
        <w:tab/>
        <w:tab/>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A (sometimes called "infectious hepatitis")</w:t>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B (sometimes called "serum hepatitis")</w:t>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C, D and E (may also be transmitted by blood products)</w:t>
      </w:r>
    </w:p>
    <w:p>
      <w:pPr>
        <w:pStyle w:val="Number11"/>
        <w:rPr>
          <w:sz w:val="22"/>
        </w:rPr>
      </w:pPr>
      <w:r>
        <w:rPr>
          <w:sz w:val="22"/>
        </w:rPr>
      </w:r>
    </w:p>
    <w:p>
      <w:pPr>
        <w:pStyle w:val="Number11"/>
        <w:rPr/>
      </w:pPr>
      <w:r>
        <w:rPr/>
        <w:tab/>
        <w:t xml:space="preserve">8. </w:t>
      </w:r>
      <w:r>
        <w:rPr>
          <w:b/>
          <w:bCs/>
        </w:rPr>
        <w:tab/>
        <w:t>Kidney disease.</w:t>
      </w:r>
    </w:p>
    <w:p>
      <w:pPr>
        <w:pStyle w:val="Number11"/>
        <w:rPr/>
      </w:pPr>
      <w:r>
        <w:rPr/>
        <w:t xml:space="preserve"> </w:t>
      </w:r>
    </w:p>
    <w:p>
      <w:pPr>
        <w:pStyle w:val="Number11"/>
        <w:rPr/>
      </w:pPr>
      <w:r>
        <w:rPr/>
        <w:tab/>
        <w:t>9.</w:t>
        <w:tab/>
      </w:r>
      <w:r>
        <w:rPr>
          <w:b/>
          <w:bCs/>
        </w:rPr>
        <w:t>High blood pressure or hypertension.</w:t>
      </w:r>
      <w:r>
        <w:rPr/>
        <w:t xml:space="preserve"> If the participant asks about "borderline" or "mild" hypertension, try to determine if the readings were greater than or equal to 140/90.  If not, tell the participant to indicate "No." This level of blood pressure would generally not be treated with medication and, therefore, in order to avoid classifying some persons with mild hypertension as having hypertension and others as not, these persons should be recorded has </w:t>
      </w:r>
      <w:r>
        <w:rPr>
          <w:i/>
          <w:iCs/>
        </w:rPr>
        <w:t>not</w:t>
      </w:r>
      <w:r>
        <w:rPr/>
        <w:t xml:space="preserve"> having hypertension. The MESA examination's blood pressure readings will generally help in distinguishing between these types of hypertension.)</w:t>
      </w:r>
    </w:p>
    <w:p>
      <w:pPr>
        <w:pStyle w:val="Number11"/>
        <w:rPr/>
      </w:pPr>
      <w:r>
        <w:rPr/>
        <w:tab/>
        <w:tab/>
      </w:r>
      <w:r>
        <w:rPr>
          <w:u w:val="single"/>
        </w:rPr>
        <w:t>If no, skip to question 10</w:t>
      </w:r>
    </w:p>
    <w:p>
      <w:pPr>
        <w:pStyle w:val="Number11"/>
        <w:rPr/>
      </w:pPr>
      <w:r>
        <w:rPr/>
        <w:tab/>
        <w:tab/>
      </w:r>
      <w:r>
        <w:rPr>
          <w:u w:val="single"/>
        </w:rPr>
        <w:t>If yes, answer the following</w:t>
      </w:r>
      <w:r>
        <w:rPr/>
        <w:t>:</w:t>
      </w:r>
    </w:p>
    <w:p>
      <w:pPr>
        <w:pStyle w:val="Number11"/>
        <w:rPr/>
      </w:pPr>
      <w:r>
        <w:rPr/>
      </w:r>
    </w:p>
    <w:p>
      <w:pPr>
        <w:pStyle w:val="Number11bodybullet"/>
        <w:rPr/>
      </w:pPr>
      <w:r>
        <w:rPr/>
        <w:tab/>
        <w:t xml:space="preserve">a. </w:t>
        <w:tab/>
      </w:r>
      <w:r>
        <w:rPr>
          <w:rFonts w:cs="Arial;Arial" w:ascii="Arial;Arial" w:hAnsi="Arial;Arial"/>
          <w:b/>
          <w:bCs/>
          <w:sz w:val="20"/>
        </w:rPr>
        <w:t>Are you taking medicine for this?</w:t>
      </w:r>
    </w:p>
    <w:p>
      <w:pPr>
        <w:pStyle w:val="Number11bodybullet"/>
        <w:rPr/>
      </w:pPr>
      <w:r>
        <w:rPr/>
        <w:tab/>
        <w:tab/>
      </w:r>
      <w:r>
        <w:rPr>
          <w:u w:val="single"/>
        </w:rPr>
        <w:t>If yes, answer the following</w:t>
      </w:r>
      <w:r>
        <w:rPr/>
        <w:t>:</w:t>
      </w:r>
    </w:p>
    <w:p>
      <w:pPr>
        <w:pStyle w:val="Number11"/>
        <w:tabs>
          <w:tab w:val="right" w:pos="1260" w:leader="none"/>
          <w:tab w:val="right" w:pos="1530" w:leader="none"/>
        </w:tabs>
        <w:ind w:left="1620" w:hanging="1620"/>
        <w:rPr/>
      </w:pPr>
      <w:r>
        <w:rPr/>
      </w:r>
    </w:p>
    <w:p>
      <w:pPr>
        <w:pStyle w:val="Number11bodybullet"/>
        <w:rPr/>
      </w:pPr>
      <w:r>
        <w:rPr/>
        <w:tab/>
        <w:t>b.</w:t>
        <w:tab/>
      </w:r>
      <w:r>
        <w:rPr>
          <w:rFonts w:cs="Arial;Arial" w:ascii="Arial;Arial" w:hAnsi="Arial;Arial"/>
          <w:b/>
          <w:bCs/>
          <w:sz w:val="20"/>
        </w:rPr>
        <w:t xml:space="preserve">At what age did you begin taking medications? </w:t>
      </w:r>
    </w:p>
    <w:p>
      <w:pPr>
        <w:pStyle w:val="Number11bodybullet"/>
        <w:rPr/>
      </w:pPr>
      <w:r>
        <w:rPr>
          <w:sz w:val="22"/>
        </w:rPr>
        <w:tab/>
        <w:tab/>
      </w:r>
      <w:r>
        <w:rPr/>
        <w:t>Provide age or answer “don’t know.”</w:t>
      </w:r>
    </w:p>
    <w:p>
      <w:pPr>
        <w:pStyle w:val="Number11"/>
        <w:tabs>
          <w:tab w:val="right" w:pos="1260" w:leader="none"/>
          <w:tab w:val="right" w:pos="1800" w:leader="none"/>
        </w:tabs>
        <w:ind w:left="1890" w:hanging="1890"/>
        <w:rPr>
          <w:sz w:val="22"/>
        </w:rPr>
      </w:pPr>
      <w:r>
        <w:rPr>
          <w:sz w:val="22"/>
        </w:rPr>
      </w:r>
    </w:p>
    <w:p>
      <w:pPr>
        <w:pStyle w:val="Number11"/>
        <w:rPr/>
      </w:pPr>
      <w:r>
        <w:rPr/>
        <w:tab/>
        <w:t>10.</w:t>
        <w:tab/>
      </w:r>
      <w:r>
        <w:rPr>
          <w:b/>
        </w:rPr>
        <w:t>High cholesterol level.</w:t>
      </w:r>
    </w:p>
    <w:p>
      <w:pPr>
        <w:pStyle w:val="Number11"/>
        <w:rPr/>
      </w:pPr>
      <w:r>
        <w:rPr/>
        <w:tab/>
        <w:tab/>
      </w:r>
      <w:r>
        <w:rPr>
          <w:u w:val="single"/>
        </w:rPr>
        <w:t>If yes, answer the following</w:t>
      </w:r>
      <w:r>
        <w:rPr/>
        <w:t>:</w:t>
      </w:r>
    </w:p>
    <w:p>
      <w:pPr>
        <w:pStyle w:val="Number11"/>
        <w:rPr/>
      </w:pPr>
      <w:r>
        <w:rPr/>
      </w:r>
    </w:p>
    <w:p>
      <w:pPr>
        <w:pStyle w:val="Number11bodybullet"/>
        <w:rPr/>
      </w:pPr>
      <w:r>
        <w:rPr/>
        <w:tab/>
        <w:t>a.</w:t>
        <w:tab/>
      </w:r>
      <w:r>
        <w:rPr>
          <w:rFonts w:cs="Arial;Arial" w:ascii="Arial;Arial" w:hAnsi="Arial;Arial"/>
          <w:b/>
          <w:bCs/>
          <w:sz w:val="20"/>
        </w:rPr>
        <w:t>Are you taking medicine for this?</w:t>
      </w:r>
    </w:p>
    <w:p>
      <w:pPr>
        <w:pStyle w:val="Number11bodybullet"/>
        <w:rPr/>
      </w:pPr>
      <w:r>
        <w:rPr/>
        <w:tab/>
        <w:tab/>
      </w:r>
      <w:r>
        <w:rPr>
          <w:u w:val="single"/>
        </w:rPr>
        <w:t>If yes, answer the following</w:t>
      </w:r>
      <w:r>
        <w:rPr/>
        <w:t>:</w:t>
      </w:r>
    </w:p>
    <w:p>
      <w:pPr>
        <w:pStyle w:val="Number11bodybullet"/>
        <w:rPr/>
      </w:pPr>
      <w:r>
        <w:rPr/>
        <w:tab/>
      </w:r>
    </w:p>
    <w:p>
      <w:pPr>
        <w:pStyle w:val="Number11bodybullet"/>
        <w:rPr/>
      </w:pPr>
      <w:r>
        <w:rPr/>
        <w:tab/>
        <w:t xml:space="preserve">b. </w:t>
        <w:tab/>
      </w:r>
      <w:r>
        <w:rPr>
          <w:rFonts w:cs="Arial;Arial" w:ascii="Arial;Arial" w:hAnsi="Arial;Arial"/>
          <w:b/>
          <w:bCs/>
          <w:sz w:val="20"/>
        </w:rPr>
        <w:t>At what age was this first treated?</w:t>
      </w:r>
    </w:p>
    <w:p>
      <w:pPr>
        <w:pStyle w:val="Number11bodybullet"/>
        <w:rPr/>
      </w:pPr>
      <w:r>
        <w:rPr/>
        <w:tab/>
        <w:tab/>
        <w:t>Provide age or answer “don’t know.”</w:t>
      </w:r>
    </w:p>
    <w:p>
      <w:pPr>
        <w:pStyle w:val="Number11"/>
        <w:rPr/>
      </w:pPr>
      <w:r>
        <w:rPr/>
        <w:tab/>
        <w:tab/>
      </w:r>
    </w:p>
    <w:p>
      <w:pPr>
        <w:pStyle w:val="Number11"/>
        <w:rPr/>
      </w:pPr>
      <w:r>
        <w:rPr/>
        <w:tab/>
        <w:t>11.</w:t>
        <w:tab/>
      </w:r>
      <w:r>
        <w:rPr>
          <w:b/>
          <w:bCs/>
        </w:rPr>
        <w:t>Diabetes.</w:t>
      </w:r>
      <w:r>
        <w:rPr/>
        <w:t xml:space="preserve"> (sugar in the blood) </w:t>
      </w:r>
    </w:p>
    <w:p>
      <w:pPr>
        <w:pStyle w:val="Number11"/>
        <w:rPr/>
      </w:pPr>
      <w:r>
        <w:rPr/>
        <w:tab/>
        <w:tab/>
      </w:r>
      <w:r>
        <w:rPr>
          <w:u w:val="single"/>
        </w:rPr>
        <w:t>If yes, answer the following</w:t>
      </w:r>
      <w:r>
        <w:rPr/>
        <w:t>:</w:t>
      </w:r>
    </w:p>
    <w:p>
      <w:pPr>
        <w:pStyle w:val="Normal"/>
        <w:rPr/>
      </w:pPr>
      <w:r>
        <w:rPr/>
      </w:r>
    </w:p>
    <w:p>
      <w:pPr>
        <w:pStyle w:val="Number11bodybullet"/>
        <w:rPr/>
      </w:pPr>
      <w:r>
        <w:rPr/>
        <w:tab/>
        <w:t>a.</w:t>
        <w:tab/>
      </w:r>
      <w:r>
        <w:rPr>
          <w:rFonts w:cs="Arial;Arial" w:ascii="Arial;Arial" w:hAnsi="Arial;Arial"/>
          <w:b/>
          <w:bCs/>
          <w:sz w:val="20"/>
        </w:rPr>
        <w:t xml:space="preserve">Are you taking medicine for this? </w:t>
      </w:r>
    </w:p>
    <w:p>
      <w:pPr>
        <w:pStyle w:val="Number11bodybullet"/>
        <w:rPr/>
      </w:pPr>
      <w:r>
        <w:rPr/>
        <w:tab/>
        <w:t xml:space="preserve"> </w:t>
        <w:tab/>
      </w:r>
      <w:r>
        <w:rPr>
          <w:u w:val="single"/>
        </w:rPr>
        <w:t>If yes, choose insulin or pills or both</w:t>
      </w:r>
      <w:r>
        <w:rPr/>
        <w:t xml:space="preserve"> </w:t>
      </w:r>
    </w:p>
    <w:p>
      <w:pPr>
        <w:pStyle w:val="Number11bodybullet"/>
        <w:rPr/>
      </w:pPr>
      <w:r>
        <w:rPr/>
        <w:tab/>
        <w:t xml:space="preserve">  </w:t>
        <w:tab/>
      </w:r>
    </w:p>
    <w:p>
      <w:pPr>
        <w:pStyle w:val="Number11bodybullet"/>
        <w:rPr/>
      </w:pPr>
      <w:r>
        <w:rPr/>
        <w:tab/>
        <w:t>b.</w:t>
        <w:tab/>
      </w:r>
      <w:r>
        <w:rPr>
          <w:rFonts w:cs="Arial;Arial" w:ascii="Arial;Arial" w:hAnsi="Arial;Arial"/>
          <w:b/>
          <w:bCs/>
          <w:sz w:val="20"/>
        </w:rPr>
        <w:t>At what age was the diabetes first treated?</w:t>
      </w:r>
    </w:p>
    <w:p>
      <w:pPr>
        <w:pStyle w:val="Number11bodybullet"/>
        <w:rPr>
          <w:sz w:val="22"/>
        </w:rPr>
      </w:pPr>
      <w:r>
        <w:rPr>
          <w:sz w:val="22"/>
        </w:rPr>
        <w:tab/>
      </w:r>
    </w:p>
    <w:p>
      <w:pPr>
        <w:pStyle w:val="Number11bodybullet"/>
        <w:rPr/>
      </w:pPr>
      <w:r>
        <w:rPr/>
        <w:tab/>
        <w:t xml:space="preserve">c. </w:t>
        <w:tab/>
      </w:r>
      <w:r>
        <w:rPr>
          <w:rFonts w:cs="Arial;Arial" w:ascii="Arial;Arial" w:hAnsi="Arial;Arial"/>
          <w:b/>
          <w:bCs/>
          <w:sz w:val="20"/>
        </w:rPr>
        <w:t>Was insulin your first diabetes medicine?</w:t>
      </w:r>
    </w:p>
    <w:p>
      <w:pPr>
        <w:pStyle w:val="Number11bodybullet"/>
        <w:rPr/>
      </w:pPr>
      <w:r>
        <w:rPr/>
      </w:r>
    </w:p>
    <w:p>
      <w:pPr>
        <w:pStyle w:val="Number11bodybullet"/>
        <w:rPr/>
      </w:pPr>
      <w:r>
        <w:rPr/>
        <w:tab/>
        <w:t xml:space="preserve">d. </w:t>
        <w:tab/>
        <w:t xml:space="preserve">For women only: </w:t>
      </w:r>
      <w:r>
        <w:rPr>
          <w:rFonts w:cs="Arial;Arial" w:ascii="Arial;Arial" w:hAnsi="Arial;Arial"/>
          <w:b/>
          <w:bCs/>
          <w:sz w:val="20"/>
        </w:rPr>
        <w:t>Did diabetes occur ONLY during pregnancy?</w:t>
      </w:r>
      <w:r>
        <w:rPr/>
        <w:t xml:space="preserve"> (This would have been discovered by “spilling sugar in the urine,” by a glucose test administered during pregnancy, or by a history of taking insulin during pregnancy.)</w:t>
      </w:r>
    </w:p>
    <w:p>
      <w:pPr>
        <w:pStyle w:val="Number11bodybullet"/>
        <w:rPr>
          <w:sz w:val="22"/>
        </w:rPr>
      </w:pPr>
      <w:r>
        <w:rPr>
          <w:sz w:val="22"/>
        </w:rPr>
      </w:r>
    </w:p>
    <w:p>
      <w:pPr>
        <w:pStyle w:val="Number1body"/>
        <w:rPr/>
      </w:pPr>
      <w:r>
        <w:rPr/>
        <w:t>Additional questions about the participant’s current health and health history. If the participant has difficulty remembering, encourage him/her to provide a best guess.</w:t>
      </w:r>
    </w:p>
    <w:p>
      <w:pPr>
        <w:pStyle w:val="Number1body"/>
        <w:rPr/>
      </w:pPr>
      <w:r>
        <w:rPr/>
      </w:r>
    </w:p>
    <w:p>
      <w:pPr>
        <w:pStyle w:val="Number11"/>
        <w:rPr/>
      </w:pPr>
      <w:r>
        <w:rPr/>
        <w:tab/>
        <w:t xml:space="preserve">12. </w:t>
        <w:tab/>
      </w:r>
      <w:r>
        <w:rPr>
          <w:rFonts w:cs="Arial;Arial" w:ascii="Arial;Arial" w:hAnsi="Arial;Arial"/>
          <w:b/>
          <w:bCs/>
          <w:sz w:val="20"/>
        </w:rPr>
        <w:t>What was your highest weight in the last 3 years?</w:t>
      </w:r>
    </w:p>
    <w:p>
      <w:pPr>
        <w:pStyle w:val="Number11"/>
        <w:rPr/>
      </w:pPr>
      <w:r>
        <w:rPr/>
        <w:tab/>
        <w:tab/>
        <w:t>Give answer in pounds (lbs).</w:t>
      </w:r>
    </w:p>
    <w:p>
      <w:pPr>
        <w:pStyle w:val="Number11"/>
        <w:rPr/>
      </w:pPr>
      <w:r>
        <w:rPr/>
      </w:r>
    </w:p>
    <w:p>
      <w:pPr>
        <w:pStyle w:val="11bodyletter"/>
        <w:rPr/>
      </w:pPr>
      <w:r>
        <w:rPr/>
        <w:tab/>
        <w:t>a.</w:t>
        <w:tab/>
      </w:r>
      <w:r>
        <w:rPr>
          <w:rFonts w:cs="Arial;Arial" w:ascii="Arial;Arial" w:hAnsi="Arial;Arial"/>
          <w:b/>
          <w:bCs/>
          <w:sz w:val="20"/>
        </w:rPr>
        <w:t>What did you weigh at age 20*?</w:t>
      </w:r>
      <w:r>
        <w:rPr/>
        <w:t xml:space="preserve">  (Give answer in pounds [lbs])</w:t>
      </w:r>
    </w:p>
    <w:p>
      <w:pPr>
        <w:pStyle w:val="11bodyletter"/>
        <w:rPr/>
      </w:pPr>
      <w:r>
        <w:rPr/>
        <w:tab/>
        <w:t>b.</w:t>
        <w:tab/>
      </w:r>
      <w:r>
        <w:rPr>
          <w:rFonts w:cs="Arial;Arial" w:ascii="Arial;Arial" w:hAnsi="Arial;Arial"/>
          <w:b/>
          <w:bCs/>
          <w:sz w:val="20"/>
        </w:rPr>
        <w:t>What did you weigh at age 40*?</w:t>
      </w:r>
      <w:r>
        <w:rPr/>
        <w:t xml:space="preserve">  (Give answer in pounds [lbs])</w:t>
      </w:r>
    </w:p>
    <w:p>
      <w:pPr>
        <w:pStyle w:val="11bodyletter"/>
        <w:rPr/>
      </w:pPr>
      <w:r>
        <w:rPr/>
        <w:tab/>
        <w:tab/>
        <w:t xml:space="preserve">*Women: </w:t>
      </w:r>
      <w:r>
        <w:rPr>
          <w:rFonts w:cs="Arial;Arial" w:ascii="Arial;Arial" w:hAnsi="Arial;Arial"/>
          <w:b/>
          <w:bCs/>
          <w:sz w:val="20"/>
        </w:rPr>
        <w:t>If you were pregnant at either of these ages, give your weight just BEFORE your pregnancy started.</w:t>
      </w:r>
    </w:p>
    <w:p>
      <w:pPr>
        <w:pStyle w:val="11bodyletter"/>
        <w:rPr>
          <w:rFonts w:ascii="Arial;Arial" w:hAnsi="Arial;Arial" w:cs="Arial;Arial"/>
          <w:b/>
          <w:b/>
          <w:bCs/>
          <w:sz w:val="20"/>
        </w:rPr>
      </w:pPr>
      <w:r>
        <w:rPr>
          <w:rFonts w:cs="Arial;Arial" w:ascii="Arial;Arial" w:hAnsi="Arial;Arial"/>
          <w:b/>
          <w:bCs/>
          <w:sz w:val="20"/>
        </w:rPr>
      </w:r>
    </w:p>
    <w:p>
      <w:pPr>
        <w:pStyle w:val="11bodyletter"/>
        <w:rPr>
          <w:rFonts w:ascii="Arial;Arial" w:hAnsi="Arial;Arial" w:cs="Arial;Arial"/>
          <w:b/>
          <w:b/>
          <w:bCs/>
          <w:sz w:val="20"/>
        </w:rPr>
      </w:pPr>
      <w:r>
        <w:rPr>
          <w:rFonts w:cs="Arial;Arial" w:ascii="Arial;Arial" w:hAnsi="Arial;Arial"/>
          <w:b/>
          <w:bCs/>
        </w:rPr>
        <w:t>Reproductive History—for women only—men skip to question 18</w:t>
      </w:r>
    </w:p>
    <w:p>
      <w:pPr>
        <w:pStyle w:val="Normal"/>
        <w:rPr>
          <w:rFonts w:ascii="Arial;Arial" w:hAnsi="Arial;Arial" w:cs="Arial;Arial"/>
          <w:b/>
          <w:b/>
          <w:bCs/>
          <w:sz w:val="20"/>
        </w:rPr>
      </w:pPr>
      <w:r>
        <w:rPr>
          <w:rFonts w:cs="Arial;Arial" w:ascii="Arial;Arial" w:hAnsi="Arial;Arial"/>
          <w:b/>
          <w:bCs/>
          <w:sz w:val="20"/>
        </w:rPr>
      </w:r>
    </w:p>
    <w:p>
      <w:pPr>
        <w:pStyle w:val="Number11"/>
        <w:rPr/>
      </w:pPr>
      <w:r>
        <w:rPr/>
        <w:tab/>
        <w:t>13.</w:t>
        <w:tab/>
      </w:r>
      <w:r>
        <w:rPr>
          <w:rFonts w:cs="Arial;Arial" w:ascii="Arial;Arial" w:hAnsi="Arial;Arial"/>
          <w:b/>
          <w:bCs/>
          <w:sz w:val="20"/>
        </w:rPr>
        <w:t>Have you ever been pregnant?</w:t>
      </w:r>
    </w:p>
    <w:p>
      <w:pPr>
        <w:pStyle w:val="Number11body"/>
        <w:rPr/>
      </w:pPr>
      <w:r>
        <w:rPr>
          <w:u w:val="single"/>
        </w:rPr>
        <w:t>If yes, answer the following</w:t>
      </w:r>
      <w:r>
        <w:rPr/>
        <w:t>:</w:t>
      </w:r>
    </w:p>
    <w:p>
      <w:pPr>
        <w:pStyle w:val="Normal"/>
        <w:rPr/>
      </w:pPr>
      <w:r>
        <w:rPr/>
      </w:r>
    </w:p>
    <w:p>
      <w:pPr>
        <w:pStyle w:val="11bodyletter"/>
        <w:rPr/>
      </w:pPr>
      <w:r>
        <w:rPr/>
        <w:tab/>
        <w:t>a.</w:t>
        <w:tab/>
      </w:r>
      <w:r>
        <w:rPr>
          <w:rFonts w:cs="Arial;Arial" w:ascii="Arial;Arial" w:hAnsi="Arial;Arial"/>
          <w:b/>
          <w:bCs/>
          <w:sz w:val="20"/>
        </w:rPr>
        <w:t>Number of pregnancies?</w:t>
      </w:r>
      <w:r>
        <w:rPr/>
        <w:t xml:space="preserve"> Give number.</w:t>
      </w:r>
    </w:p>
    <w:p>
      <w:pPr>
        <w:pStyle w:val="11bodyletter"/>
        <w:rPr/>
      </w:pPr>
      <w:r>
        <w:rPr/>
        <w:tab/>
        <w:t>b.</w:t>
        <w:tab/>
      </w:r>
      <w:r>
        <w:rPr>
          <w:rFonts w:cs="Arial;Arial" w:ascii="Arial;Arial" w:hAnsi="Arial;Arial"/>
          <w:b/>
          <w:bCs/>
          <w:sz w:val="20"/>
        </w:rPr>
        <w:t>Number of live births?</w:t>
      </w:r>
      <w:r>
        <w:rPr/>
        <w:t xml:space="preserve"> Give number.</w:t>
      </w:r>
    </w:p>
    <w:p>
      <w:pPr>
        <w:pStyle w:val="11bodyletter"/>
        <w:rPr/>
      </w:pPr>
      <w:r>
        <w:rPr/>
        <w:tab/>
        <w:t>c.</w:t>
        <w:tab/>
      </w:r>
      <w:r>
        <w:rPr>
          <w:rFonts w:cs="Arial;Arial" w:ascii="Arial;Arial" w:hAnsi="Arial;Arial"/>
          <w:b/>
          <w:bCs/>
          <w:sz w:val="20"/>
        </w:rPr>
        <w:t>Age at first live birth?</w:t>
      </w:r>
      <w:r>
        <w:rPr/>
        <w:t xml:space="preserve"> Provide age.</w:t>
      </w:r>
    </w:p>
    <w:p>
      <w:pPr>
        <w:pStyle w:val="11bodyletter"/>
        <w:rPr/>
      </w:pPr>
      <w:r>
        <w:rPr/>
      </w:r>
    </w:p>
    <w:p>
      <w:pPr>
        <w:pStyle w:val="Number11"/>
        <w:rPr/>
      </w:pPr>
      <w:r>
        <w:rPr/>
        <w:tab/>
        <w:t>14.</w:t>
        <w:tab/>
      </w:r>
      <w:r>
        <w:rPr>
          <w:rFonts w:cs="Arial;Arial" w:ascii="Arial;Arial" w:hAnsi="Arial;Arial"/>
          <w:b/>
          <w:bCs/>
          <w:sz w:val="20"/>
        </w:rPr>
        <w:t xml:space="preserve">Have you had a hysterectomy (surgery to remove your uterus/womb)? </w:t>
      </w:r>
    </w:p>
    <w:p>
      <w:pPr>
        <w:pStyle w:val="Number11"/>
        <w:rPr/>
      </w:pPr>
      <w:r>
        <w:rPr/>
        <w:tab/>
        <w:tab/>
      </w:r>
      <w:r>
        <w:rPr>
          <w:u w:val="single"/>
        </w:rPr>
        <w:t>If yes, answer the following</w:t>
      </w:r>
      <w:r>
        <w:rPr/>
        <w:t>:</w:t>
      </w:r>
    </w:p>
    <w:p>
      <w:pPr>
        <w:pStyle w:val="Normal"/>
        <w:rPr/>
      </w:pPr>
      <w:r>
        <w:rPr/>
      </w:r>
    </w:p>
    <w:p>
      <w:pPr>
        <w:pStyle w:val="11bodyletter"/>
        <w:rPr/>
      </w:pPr>
      <w:r>
        <w:rPr/>
        <w:tab/>
        <w:t>a.</w:t>
        <w:tab/>
      </w:r>
      <w:r>
        <w:rPr>
          <w:rFonts w:cs="Arial;Arial" w:ascii="Arial;Arial" w:hAnsi="Arial;Arial"/>
          <w:b/>
          <w:bCs/>
          <w:sz w:val="20"/>
        </w:rPr>
        <w:t>At what age?</w:t>
      </w:r>
      <w:r>
        <w:rPr/>
        <w:t xml:space="preserve"> Provide age.</w:t>
      </w:r>
    </w:p>
    <w:p>
      <w:pPr>
        <w:pStyle w:val="Normal"/>
        <w:rPr>
          <w:b/>
          <w:b/>
          <w:bCs/>
        </w:rPr>
      </w:pPr>
      <w:r>
        <w:rPr>
          <w:b/>
          <w:bCs/>
        </w:rPr>
      </w:r>
    </w:p>
    <w:p>
      <w:pPr>
        <w:pStyle w:val="Number11"/>
        <w:rPr/>
      </w:pPr>
      <w:r>
        <w:rPr/>
        <w:tab/>
        <w:t xml:space="preserve">15. </w:t>
        <w:tab/>
      </w:r>
      <w:r>
        <w:rPr>
          <w:rFonts w:cs="Arial;Arial" w:ascii="Arial;Arial" w:hAnsi="Arial;Arial"/>
          <w:b/>
          <w:bCs/>
          <w:sz w:val="20"/>
        </w:rPr>
        <w:t>Have you had surgery to remove your ovaries?</w:t>
      </w:r>
      <w:r>
        <w:rPr/>
        <w:t xml:space="preserve"> Removal of the ovaries might have been in conjunction with a hysterectomy.</w:t>
      </w:r>
    </w:p>
    <w:p>
      <w:pPr>
        <w:pStyle w:val="Number11"/>
        <w:rPr/>
      </w:pPr>
      <w:r>
        <w:rPr/>
        <w:tab/>
        <w:tab/>
      </w:r>
      <w:r>
        <w:rPr>
          <w:u w:val="single"/>
        </w:rPr>
        <w:t>If yes, answer the following</w:t>
      </w:r>
      <w:r>
        <w:rPr/>
        <w:t>:</w:t>
      </w:r>
    </w:p>
    <w:p>
      <w:pPr>
        <w:pStyle w:val="Normal"/>
        <w:rPr/>
      </w:pPr>
      <w:r>
        <w:rPr/>
      </w:r>
    </w:p>
    <w:p>
      <w:pPr>
        <w:pStyle w:val="11bodyletter"/>
        <w:rPr/>
      </w:pPr>
      <w:r>
        <w:rPr/>
        <w:tab/>
        <w:t xml:space="preserve">a. </w:t>
        <w:tab/>
      </w:r>
      <w:r>
        <w:rPr>
          <w:rFonts w:cs="Arial;Arial" w:ascii="Arial;Arial" w:hAnsi="Arial;Arial"/>
          <w:b/>
          <w:bCs/>
          <w:sz w:val="20"/>
        </w:rPr>
        <w:t>At what age?</w:t>
      </w:r>
      <w:r>
        <w:rPr/>
        <w:t xml:space="preserve"> Provide age.</w:t>
      </w:r>
    </w:p>
    <w:p>
      <w:pPr>
        <w:pStyle w:val="11bodyletter"/>
        <w:rPr/>
      </w:pPr>
      <w:r>
        <w:rPr/>
        <w:tab/>
        <w:t xml:space="preserve">b. </w:t>
        <w:tab/>
      </w:r>
      <w:r>
        <w:rPr>
          <w:rFonts w:cs="Arial;Arial" w:ascii="Arial;Arial" w:hAnsi="Arial;Arial"/>
          <w:b/>
          <w:bCs/>
          <w:sz w:val="20"/>
        </w:rPr>
        <w:t>How many ovaries were removed?</w:t>
      </w:r>
      <w:r>
        <w:rPr/>
        <w:t xml:space="preserve"> Select 1 or 2. (If both ovaries have been removed, but at different times, record age at which second ovary was removed.)</w:t>
      </w:r>
    </w:p>
    <w:p>
      <w:pPr>
        <w:pStyle w:val="11bodyletter"/>
        <w:rPr/>
      </w:pPr>
      <w:r>
        <w:rPr/>
      </w:r>
    </w:p>
    <w:p>
      <w:pPr>
        <w:pStyle w:val="Number11"/>
        <w:rPr/>
      </w:pPr>
      <w:r>
        <w:rPr/>
        <w:tab/>
        <w:t xml:space="preserve">16. </w:t>
        <w:tab/>
      </w:r>
      <w:r>
        <w:rPr>
          <w:rFonts w:cs="Arial;Arial" w:ascii="Arial;Arial" w:hAnsi="Arial;Arial"/>
          <w:b/>
          <w:bCs/>
          <w:sz w:val="20"/>
        </w:rPr>
        <w:t>Have you ever taken birth control pills?</w:t>
      </w:r>
      <w:r>
        <w:rPr/>
        <w:t xml:space="preserve"> (Y/N/DK)</w:t>
      </w:r>
    </w:p>
    <w:p>
      <w:pPr>
        <w:pStyle w:val="Number11"/>
        <w:rPr/>
      </w:pPr>
      <w:r>
        <w:rPr/>
        <w:tab/>
        <w:tab/>
      </w:r>
      <w:r>
        <w:rPr>
          <w:u w:val="single"/>
        </w:rPr>
        <w:t>If yes, answer the following</w:t>
      </w:r>
      <w:r>
        <w:rPr/>
        <w:t>:</w:t>
      </w:r>
    </w:p>
    <w:p>
      <w:pPr>
        <w:pStyle w:val="Normal"/>
        <w:tabs>
          <w:tab w:val="clear" w:pos="720"/>
          <w:tab w:val="right" w:pos="1350" w:leader="none"/>
        </w:tabs>
        <w:ind w:left="1440" w:hanging="1440"/>
        <w:rPr>
          <w:sz w:val="22"/>
        </w:rPr>
      </w:pPr>
      <w:r>
        <w:rPr>
          <w:sz w:val="22"/>
        </w:rPr>
        <w:tab/>
      </w:r>
    </w:p>
    <w:p>
      <w:pPr>
        <w:pStyle w:val="11bodyletter"/>
        <w:rPr/>
      </w:pPr>
      <w:r>
        <w:rPr/>
        <w:tab/>
        <w:t>a.</w:t>
        <w:tab/>
      </w:r>
      <w:r>
        <w:rPr>
          <w:rFonts w:cs="Arial;Arial" w:ascii="Arial;Arial" w:hAnsi="Arial;Arial"/>
          <w:b/>
          <w:bCs/>
          <w:sz w:val="20"/>
        </w:rPr>
        <w:t>Please estimate the total number of years that you took birth control pills, keeping in mind that you may have started and stopped several times. Give estimate rounded to the nearest whole year.</w:t>
      </w:r>
    </w:p>
    <w:p>
      <w:pPr>
        <w:pStyle w:val="11bodyletter"/>
        <w:rPr/>
      </w:pPr>
      <w:r>
        <w:rPr/>
      </w:r>
    </w:p>
    <w:p>
      <w:pPr>
        <w:pStyle w:val="Number11"/>
        <w:rPr/>
      </w:pPr>
      <w:r>
        <w:rPr/>
        <w:tab/>
        <w:t xml:space="preserve">17. </w:t>
        <w:tab/>
      </w:r>
      <w:r>
        <w:rPr>
          <w:rFonts w:cs="Arial;Arial" w:ascii="Arial;Arial" w:hAnsi="Arial;Arial"/>
          <w:b/>
          <w:bCs/>
          <w:sz w:val="20"/>
        </w:rPr>
        <w:t>Have you gone through menopause (“change of life”)?</w:t>
      </w:r>
    </w:p>
    <w:p>
      <w:pPr>
        <w:pStyle w:val="Number11"/>
        <w:rPr/>
      </w:pPr>
      <w:r>
        <w:rPr/>
        <w:tab/>
        <w:tab/>
      </w:r>
      <w:r>
        <w:rPr>
          <w:u w:val="single"/>
        </w:rPr>
        <w:t>If yes, skip to questions 17d, e, and f</w:t>
      </w:r>
      <w:r>
        <w:rPr/>
        <w:t>.</w:t>
      </w:r>
    </w:p>
    <w:p>
      <w:pPr>
        <w:pStyle w:val="Number11"/>
        <w:rPr>
          <w:u w:val="single"/>
        </w:rPr>
      </w:pPr>
      <w:r>
        <w:rPr/>
        <w:tab/>
        <w:tab/>
      </w:r>
      <w:r>
        <w:rPr>
          <w:u w:val="single"/>
        </w:rPr>
        <w:t>If no or don't know, continue with question 17a</w:t>
      </w:r>
      <w:r>
        <w:rPr/>
        <w:t>.</w:t>
      </w:r>
    </w:p>
    <w:p>
      <w:pPr>
        <w:pStyle w:val="Normal"/>
        <w:tabs>
          <w:tab w:val="clear" w:pos="720"/>
          <w:tab w:val="right" w:pos="1350" w:leader="none"/>
        </w:tabs>
        <w:ind w:left="1440" w:hanging="1440"/>
        <w:rPr>
          <w:sz w:val="22"/>
          <w:u w:val="single"/>
        </w:rPr>
      </w:pPr>
      <w:r>
        <w:rPr>
          <w:sz w:val="22"/>
          <w:u w:val="single"/>
        </w:rPr>
      </w:r>
    </w:p>
    <w:p>
      <w:pPr>
        <w:pStyle w:val="11bodyletter"/>
        <w:rPr/>
      </w:pPr>
      <w:r>
        <w:rPr/>
        <w:tab/>
        <w:t>a.</w:t>
        <w:tab/>
      </w:r>
      <w:r>
        <w:rPr>
          <w:rFonts w:cs="Arial;Arial" w:ascii="Arial;Arial" w:hAnsi="Arial;Arial"/>
          <w:b/>
          <w:bCs/>
          <w:sz w:val="20"/>
        </w:rPr>
        <w:t>Are you currently going through menopause?</w:t>
      </w:r>
      <w:r>
        <w:rPr/>
        <w:t xml:space="preserve"> (This would generally be associated with signs such as irregular menstrual periods, hot flashes, insomnia, vaginal dryness.) </w:t>
      </w:r>
    </w:p>
    <w:p>
      <w:pPr>
        <w:pStyle w:val="11bodyletter"/>
        <w:rPr/>
      </w:pPr>
      <w:r>
        <w:rPr/>
        <w:tab/>
        <w:tab/>
      </w:r>
      <w:r>
        <w:rPr>
          <w:u w:val="single"/>
        </w:rPr>
        <w:t>If no, skip to question 18</w:t>
      </w:r>
      <w:r>
        <w:rPr/>
        <w:t>.</w:t>
      </w:r>
    </w:p>
    <w:p>
      <w:pPr>
        <w:pStyle w:val="11bodyletter"/>
        <w:rPr/>
      </w:pPr>
      <w:r>
        <w:rPr/>
        <w:tab/>
        <w:tab/>
      </w:r>
      <w:r>
        <w:rPr>
          <w:u w:val="single"/>
        </w:rPr>
        <w:t>If yes or don’t know, answer the following, if applicable</w:t>
      </w:r>
      <w:r>
        <w:rPr/>
        <w:t>:</w:t>
      </w:r>
    </w:p>
    <w:p>
      <w:pPr>
        <w:pStyle w:val="Normal"/>
        <w:tabs>
          <w:tab w:val="clear" w:pos="720"/>
          <w:tab w:val="right" w:pos="1350" w:leader="none"/>
        </w:tabs>
        <w:ind w:left="1440" w:hanging="1440"/>
        <w:rPr>
          <w:sz w:val="22"/>
        </w:rPr>
      </w:pPr>
      <w:r>
        <w:rPr>
          <w:sz w:val="22"/>
        </w:rPr>
      </w:r>
    </w:p>
    <w:p>
      <w:pPr>
        <w:pStyle w:val="Normal"/>
        <w:tabs>
          <w:tab w:val="clear" w:pos="720"/>
          <w:tab w:val="right" w:pos="1800" w:leader="none"/>
        </w:tabs>
        <w:ind w:left="1890" w:hanging="1890"/>
        <w:rPr/>
      </w:pPr>
      <w:r>
        <w:rPr/>
        <w:tab/>
        <w:t xml:space="preserve">b. </w:t>
      </w:r>
      <w:r>
        <w:rPr>
          <w:rFonts w:cs="Arial;Arial" w:ascii="Arial;Arial" w:hAnsi="Arial;Arial"/>
          <w:b/>
          <w:bCs/>
          <w:sz w:val="20"/>
        </w:rPr>
        <w:tab/>
        <w:t>Date of last menstrual period</w:t>
      </w:r>
      <w:r>
        <w:rPr/>
        <w:t xml:space="preserve"> (if less than 12 months ago)? Give two-digit month and four-digit year.</w:t>
      </w:r>
    </w:p>
    <w:p>
      <w:pPr>
        <w:pStyle w:val="Normal"/>
        <w:tabs>
          <w:tab w:val="clear" w:pos="720"/>
          <w:tab w:val="right" w:pos="1800" w:leader="none"/>
        </w:tabs>
        <w:ind w:left="1890" w:hanging="1890"/>
        <w:rPr/>
      </w:pPr>
      <w:r>
        <w:rPr/>
      </w:r>
    </w:p>
    <w:p>
      <w:pPr>
        <w:pStyle w:val="Roman2A1"/>
        <w:rPr/>
      </w:pPr>
      <w:r>
        <w:rPr/>
        <w:tab/>
        <w:t xml:space="preserve">c. </w:t>
        <w:tab/>
      </w:r>
      <w:r>
        <w:rPr>
          <w:rFonts w:cs="Arial;Arial" w:ascii="Arial;Arial" w:hAnsi="Arial;Arial"/>
          <w:b/>
          <w:bCs/>
          <w:sz w:val="20"/>
        </w:rPr>
        <w:t>How many periods have you had in the last 12 months?</w:t>
      </w:r>
      <w:r>
        <w:rPr/>
        <w:t xml:space="preserve"> Give number.</w:t>
      </w:r>
    </w:p>
    <w:p>
      <w:pPr>
        <w:pStyle w:val="Normal"/>
        <w:rPr/>
      </w:pPr>
      <w:r>
        <w:rPr/>
      </w:r>
    </w:p>
    <w:p>
      <w:pPr>
        <w:pStyle w:val="Normal"/>
        <w:tabs>
          <w:tab w:val="clear" w:pos="720"/>
          <w:tab w:val="right" w:pos="1800" w:leader="none"/>
        </w:tabs>
        <w:ind w:left="1890" w:hanging="1890"/>
        <w:rPr/>
      </w:pPr>
      <w:r>
        <w:rPr/>
        <w:tab/>
        <w:t xml:space="preserve">d. </w:t>
        <w:tab/>
      </w:r>
      <w:r>
        <w:rPr>
          <w:rFonts w:cs="Arial;Arial" w:ascii="Arial;Arial" w:hAnsi="Arial;Arial"/>
          <w:b/>
          <w:bCs/>
          <w:sz w:val="20"/>
        </w:rPr>
        <w:t>At what age did you go through menopause?</w:t>
      </w:r>
      <w:r>
        <w:rPr/>
        <w:t xml:space="preserve"> Provide age; provide current age if currently going through menopause.</w:t>
      </w:r>
    </w:p>
    <w:p>
      <w:pPr>
        <w:pStyle w:val="Normal"/>
        <w:tabs>
          <w:tab w:val="clear" w:pos="720"/>
          <w:tab w:val="right" w:pos="1800" w:leader="none"/>
        </w:tabs>
        <w:ind w:left="1890" w:hanging="1890"/>
        <w:rPr/>
      </w:pPr>
      <w:r>
        <w:rPr/>
      </w:r>
    </w:p>
    <w:p>
      <w:pPr>
        <w:pStyle w:val="Roman2A1"/>
        <w:rPr/>
      </w:pPr>
      <w:r>
        <w:rPr/>
        <w:tab/>
        <w:t xml:space="preserve">e. </w:t>
        <w:tab/>
      </w:r>
      <w:r>
        <w:rPr>
          <w:rFonts w:cs="Arial;Arial" w:ascii="Arial;Arial" w:hAnsi="Arial;Arial"/>
          <w:b/>
          <w:bCs/>
          <w:sz w:val="20"/>
        </w:rPr>
        <w:t>Have you ever taken hormone replacement therapy?</w:t>
      </w:r>
    </w:p>
    <w:p>
      <w:pPr>
        <w:pStyle w:val="Normal"/>
        <w:tabs>
          <w:tab w:val="clear" w:pos="720"/>
          <w:tab w:val="right" w:pos="1800" w:leader="none"/>
        </w:tabs>
        <w:ind w:left="1890" w:hanging="1890"/>
        <w:rPr/>
      </w:pPr>
      <w:r>
        <w:rPr/>
        <w:tab/>
        <w:tab/>
      </w:r>
      <w:r>
        <w:rPr>
          <w:u w:val="single"/>
        </w:rPr>
        <w:t>If no, skip to question 18</w:t>
      </w:r>
    </w:p>
    <w:p>
      <w:pPr>
        <w:pStyle w:val="Normal"/>
        <w:tabs>
          <w:tab w:val="clear" w:pos="720"/>
          <w:tab w:val="right" w:pos="1800" w:leader="none"/>
        </w:tabs>
        <w:ind w:left="1890" w:hanging="1890"/>
        <w:rPr/>
      </w:pPr>
      <w:r>
        <w:rPr/>
        <w:tab/>
        <w:tab/>
      </w:r>
      <w:r>
        <w:rPr>
          <w:u w:val="single"/>
        </w:rPr>
        <w:t>If yes, answer the following</w:t>
      </w:r>
      <w:r>
        <w:rPr/>
        <w:t>:</w:t>
      </w:r>
    </w:p>
    <w:p>
      <w:pPr>
        <w:pStyle w:val="Normal"/>
        <w:tabs>
          <w:tab w:val="clear" w:pos="720"/>
          <w:tab w:val="right" w:pos="1800" w:leader="none"/>
        </w:tabs>
        <w:ind w:left="1890" w:hanging="1890"/>
        <w:rPr/>
      </w:pPr>
      <w:r>
        <w:rPr/>
      </w:r>
    </w:p>
    <w:p>
      <w:pPr>
        <w:pStyle w:val="Normal"/>
        <w:tabs>
          <w:tab w:val="clear" w:pos="720"/>
          <w:tab w:val="right" w:pos="1800" w:leader="none"/>
        </w:tabs>
        <w:ind w:left="1890" w:hanging="1890"/>
        <w:rPr/>
      </w:pPr>
      <w:r>
        <w:rPr/>
        <w:tab/>
        <w:t>f.</w:t>
        <w:tab/>
      </w:r>
      <w:r>
        <w:rPr>
          <w:rFonts w:cs="Arial;Arial" w:ascii="Arial;Arial" w:hAnsi="Arial;Arial"/>
          <w:b/>
          <w:bCs/>
          <w:sz w:val="20"/>
        </w:rPr>
        <w:t>Are you currently using hormone replacement therapy?</w:t>
      </w:r>
    </w:p>
    <w:p>
      <w:pPr>
        <w:pStyle w:val="Normal"/>
        <w:tabs>
          <w:tab w:val="clear" w:pos="720"/>
          <w:tab w:val="right" w:pos="1800" w:leader="none"/>
        </w:tabs>
        <w:ind w:left="1890" w:hanging="1890"/>
        <w:rPr/>
      </w:pPr>
      <w:r>
        <w:rPr/>
        <w:tab/>
        <w:tab/>
      </w:r>
      <w:r>
        <w:rPr>
          <w:u w:val="single"/>
        </w:rPr>
        <w:t>If yes, at what age did you begin</w:t>
      </w:r>
      <w:r>
        <w:rPr>
          <w:i/>
          <w:iCs/>
          <w:u w:val="single"/>
        </w:rPr>
        <w:t>?</w:t>
      </w:r>
    </w:p>
    <w:p>
      <w:pPr>
        <w:pStyle w:val="Normal"/>
        <w:tabs>
          <w:tab w:val="clear" w:pos="720"/>
          <w:tab w:val="right" w:pos="1800" w:leader="none"/>
        </w:tabs>
        <w:ind w:left="1890" w:hanging="1890"/>
        <w:rPr/>
      </w:pPr>
      <w:r>
        <w:rPr/>
        <w:tab/>
        <w:tab/>
      </w:r>
      <w:r>
        <w:rPr>
          <w:u w:val="single"/>
        </w:rPr>
        <w:t>If no, answer the following</w:t>
      </w:r>
      <w:r>
        <w:rPr/>
        <w:t>:</w:t>
      </w:r>
    </w:p>
    <w:p>
      <w:pPr>
        <w:pStyle w:val="Normal"/>
        <w:rPr/>
      </w:pPr>
      <w:r>
        <w:rPr/>
      </w:r>
    </w:p>
    <w:p>
      <w:pPr>
        <w:pStyle w:val="Normal"/>
        <w:tabs>
          <w:tab w:val="clear" w:pos="720"/>
          <w:tab w:val="right" w:pos="1980" w:leader="none"/>
        </w:tabs>
        <w:ind w:left="2070" w:hanging="2070"/>
        <w:rPr/>
      </w:pPr>
      <w:r>
        <w:rPr/>
        <w:tab/>
      </w:r>
      <w:r>
        <w:rPr>
          <w:rFonts w:eastAsia="Symbol" w:cs="Symbol" w:ascii="Symbol" w:hAnsi="Symbol"/>
        </w:rPr>
        <w:t></w:t>
      </w:r>
      <w:r>
        <w:rPr/>
        <w:tab/>
      </w:r>
      <w:r>
        <w:rPr>
          <w:rFonts w:cs="Arial;Arial" w:ascii="Arial;Arial" w:hAnsi="Arial;Arial"/>
          <w:b/>
          <w:bCs/>
          <w:sz w:val="20"/>
        </w:rPr>
        <w:t>At what ages did you start and stop taking hormones?</w:t>
      </w:r>
      <w:r>
        <w:rPr/>
        <w:t xml:space="preserve"> Provide ages.</w:t>
      </w:r>
    </w:p>
    <w:p>
      <w:pPr>
        <w:pStyle w:val="Normal"/>
        <w:tabs>
          <w:tab w:val="clear" w:pos="720"/>
          <w:tab w:val="right" w:pos="1980" w:leader="none"/>
        </w:tabs>
        <w:ind w:left="2070" w:hanging="2070"/>
        <w:rPr/>
      </w:pPr>
      <w:r>
        <w:rPr/>
        <w:tab/>
      </w:r>
      <w:r>
        <w:rPr>
          <w:rFonts w:eastAsia="Symbol" w:cs="Symbol" w:ascii="Symbol" w:hAnsi="Symbol"/>
        </w:rPr>
        <w:t></w:t>
      </w:r>
      <w:r>
        <w:rPr/>
        <w:tab/>
      </w:r>
      <w:r>
        <w:rPr>
          <w:rFonts w:cs="Arial;Arial" w:ascii="Arial;Arial" w:hAnsi="Arial;Arial"/>
          <w:b/>
          <w:bCs/>
          <w:sz w:val="20"/>
        </w:rPr>
        <w:t>What type of therapy were you on?</w:t>
      </w:r>
      <w:r>
        <w:rPr/>
        <w:t xml:space="preserve"> (Common estrogen-only preparations are Premarin or Estratab;  common estrogen+progestin regimen is Premarin plus Provera, Estratab plus Provera, Prempro, or Premphase.) Select “estrogen-only” or “estrogen+progestin.”</w:t>
      </w:r>
    </w:p>
    <w:p>
      <w:pPr>
        <w:pStyle w:val="Number11"/>
        <w:rPr/>
      </w:pPr>
      <w:r>
        <w:rPr/>
        <w:tab/>
        <w:t xml:space="preserve">18. </w:t>
        <w:tab/>
      </w:r>
      <w:r>
        <w:rPr>
          <w:rFonts w:cs="Arial;Arial" w:ascii="Arial;Arial" w:hAnsi="Arial;Arial"/>
          <w:b/>
          <w:bCs/>
          <w:sz w:val="20"/>
        </w:rPr>
        <w:t>Do you ever get pain in either leg or buttock while walking?</w:t>
      </w:r>
      <w:r>
        <w:rPr/>
        <w:t xml:space="preserve"> </w:t>
      </w:r>
    </w:p>
    <w:p>
      <w:pPr>
        <w:pStyle w:val="Number11"/>
        <w:rPr>
          <w:i/>
          <w:i/>
          <w:iCs/>
        </w:rPr>
      </w:pPr>
      <w:r>
        <w:rPr/>
        <w:tab/>
        <w:tab/>
      </w:r>
      <w:r>
        <w:rPr>
          <w:u w:val="single"/>
        </w:rPr>
        <w:t>If yes, answer the following</w:t>
      </w:r>
      <w:r>
        <w:rPr/>
        <w:t>:</w:t>
      </w:r>
    </w:p>
    <w:p>
      <w:pPr>
        <w:pStyle w:val="Normal"/>
        <w:tabs>
          <w:tab w:val="clear" w:pos="720"/>
          <w:tab w:val="right" w:pos="1350" w:leader="none"/>
        </w:tabs>
        <w:ind w:left="1440" w:hanging="1440"/>
        <w:rPr>
          <w:i/>
          <w:i/>
          <w:iCs/>
          <w:sz w:val="22"/>
        </w:rPr>
      </w:pPr>
      <w:r>
        <w:rPr>
          <w:i/>
          <w:iCs/>
          <w:sz w:val="22"/>
        </w:rPr>
      </w:r>
    </w:p>
    <w:p>
      <w:pPr>
        <w:pStyle w:val="11bodyletter"/>
        <w:rPr/>
      </w:pPr>
      <w:r>
        <w:rPr/>
        <w:tab/>
        <w:t xml:space="preserve">a. </w:t>
      </w:r>
      <w:r>
        <w:rPr>
          <w:rFonts w:cs="Arial;Arial" w:ascii="Arial;Arial" w:hAnsi="Arial;Arial"/>
          <w:b/>
          <w:bCs/>
          <w:sz w:val="20"/>
        </w:rPr>
        <w:tab/>
        <w:t>Does this pain ever begin when you are standing still or sitting?</w:t>
      </w:r>
      <w:r>
        <w:rPr/>
        <w:t xml:space="preserve"> </w:t>
      </w:r>
    </w:p>
    <w:p>
      <w:pPr>
        <w:pStyle w:val="11bodyletter"/>
        <w:rPr/>
      </w:pPr>
      <w:r>
        <w:rPr/>
      </w:r>
    </w:p>
    <w:p>
      <w:pPr>
        <w:pStyle w:val="11bodyletter"/>
        <w:rPr/>
      </w:pPr>
      <w:r>
        <w:rPr/>
        <w:tab/>
        <w:t xml:space="preserve">b. </w:t>
      </w:r>
      <w:r>
        <w:rPr>
          <w:rFonts w:cs="Arial;Arial" w:ascii="Arial;Arial" w:hAnsi="Arial;Arial"/>
          <w:b/>
          <w:bCs/>
          <w:sz w:val="20"/>
        </w:rPr>
        <w:tab/>
        <w:t>In what part of your leg or buttock do you feel the pain?</w:t>
      </w:r>
      <w:r>
        <w:rPr/>
        <w:t xml:space="preserve"> Select “includes calf” or “does not include calf.”</w:t>
      </w:r>
    </w:p>
    <w:p>
      <w:pPr>
        <w:pStyle w:val="11bodyletter"/>
        <w:rPr/>
      </w:pPr>
      <w:r>
        <w:rPr/>
      </w:r>
    </w:p>
    <w:p>
      <w:pPr>
        <w:pStyle w:val="11bodyletter"/>
        <w:rPr/>
      </w:pPr>
      <w:r>
        <w:rPr/>
        <w:tab/>
        <w:t>c.</w:t>
        <w:tab/>
      </w:r>
      <w:r>
        <w:rPr>
          <w:rFonts w:cs="Arial;Arial" w:ascii="Arial;Arial" w:hAnsi="Arial;Arial"/>
          <w:b/>
          <w:bCs/>
          <w:sz w:val="20"/>
        </w:rPr>
        <w:t>Do you have pain if you walk uphill or hurry?</w:t>
      </w:r>
    </w:p>
    <w:p>
      <w:pPr>
        <w:pStyle w:val="11bodyletter"/>
        <w:rPr/>
      </w:pPr>
      <w:r>
        <w:rPr/>
      </w:r>
    </w:p>
    <w:p>
      <w:pPr>
        <w:pStyle w:val="11bodyletter"/>
        <w:rPr/>
      </w:pPr>
      <w:r>
        <w:rPr/>
        <w:tab/>
        <w:t>d.</w:t>
        <w:tab/>
      </w:r>
      <w:r>
        <w:rPr>
          <w:rFonts w:cs="Arial;Arial" w:ascii="Arial;Arial" w:hAnsi="Arial;Arial"/>
          <w:b/>
          <w:bCs/>
          <w:sz w:val="20"/>
        </w:rPr>
        <w:t>Do you have pain if you walk at an ordinary pace on the level?</w:t>
      </w:r>
      <w:r>
        <w:rPr/>
        <w:t xml:space="preserve"> </w:t>
      </w:r>
    </w:p>
    <w:p>
      <w:pPr>
        <w:pStyle w:val="11bodyletter"/>
        <w:rPr/>
      </w:pPr>
      <w:r>
        <w:rPr/>
      </w:r>
    </w:p>
    <w:p>
      <w:pPr>
        <w:pStyle w:val="11bodyletter"/>
        <w:rPr/>
      </w:pPr>
      <w:r>
        <w:rPr/>
        <w:tab/>
        <w:t>e.</w:t>
        <w:tab/>
      </w:r>
      <w:r>
        <w:rPr>
          <w:rFonts w:cs="Arial;Arial" w:ascii="Arial;Arial" w:hAnsi="Arial;Arial"/>
          <w:b/>
          <w:bCs/>
          <w:sz w:val="20"/>
        </w:rPr>
        <w:t>Does the pain ever disappear while you are walking?</w:t>
      </w:r>
    </w:p>
    <w:p>
      <w:pPr>
        <w:pStyle w:val="11bodyletter"/>
        <w:rPr/>
      </w:pPr>
      <w:r>
        <w:rPr/>
      </w:r>
    </w:p>
    <w:p>
      <w:pPr>
        <w:pStyle w:val="11bodyletter"/>
        <w:rPr/>
      </w:pPr>
      <w:r>
        <w:rPr/>
        <w:tab/>
        <w:t>f.</w:t>
        <w:tab/>
      </w:r>
      <w:r>
        <w:rPr>
          <w:rFonts w:cs="Arial;Arial" w:ascii="Arial;Arial" w:hAnsi="Arial;Arial"/>
          <w:b/>
          <w:bCs/>
          <w:sz w:val="20"/>
        </w:rPr>
        <w:t>What do you do if you have pain when you are walking?</w:t>
      </w:r>
      <w:r>
        <w:rPr/>
        <w:t xml:space="preserve"> Select “stop or slow down” or “continue on.”</w:t>
      </w:r>
    </w:p>
    <w:p>
      <w:pPr>
        <w:pStyle w:val="11bodyletter"/>
        <w:rPr/>
      </w:pPr>
      <w:r>
        <w:rPr/>
      </w:r>
    </w:p>
    <w:p>
      <w:pPr>
        <w:pStyle w:val="11bodyletter"/>
        <w:rPr/>
      </w:pPr>
      <w:r>
        <w:rPr/>
        <w:tab/>
        <w:t>g.</w:t>
        <w:tab/>
      </w:r>
      <w:r>
        <w:rPr>
          <w:rFonts w:cs="Arial;Arial" w:ascii="Arial;Arial" w:hAnsi="Arial;Arial"/>
          <w:b/>
          <w:bCs/>
          <w:sz w:val="20"/>
        </w:rPr>
        <w:t>What happens to the pain if you stand still?</w:t>
      </w:r>
      <w:r>
        <w:rPr/>
        <w:t xml:space="preserve"> Select “relieved” or “not relieved.”</w:t>
      </w:r>
    </w:p>
    <w:p>
      <w:pPr>
        <w:pStyle w:val="11bodyletter"/>
        <w:rPr/>
      </w:pPr>
      <w:r>
        <w:rPr/>
        <w:tab/>
        <w:tab/>
      </w:r>
      <w:r>
        <w:rPr>
          <w:rFonts w:cs="Arial;Arial" w:ascii="Arial;Arial" w:hAnsi="Arial;Arial"/>
          <w:b/>
          <w:bCs/>
          <w:sz w:val="20"/>
        </w:rPr>
        <w:t>If relieved, how soon?</w:t>
      </w:r>
      <w:r>
        <w:rPr/>
        <w:t xml:space="preserve"> Select “10 minutes or less” or “more than 10 minutes.”</w:t>
      </w:r>
    </w:p>
    <w:p>
      <w:pPr>
        <w:pStyle w:val="11bodyletter"/>
        <w:rPr>
          <w:sz w:val="22"/>
        </w:rPr>
      </w:pPr>
      <w:r>
        <w:rPr>
          <w:sz w:val="22"/>
        </w:rPr>
        <w:tab/>
        <w:tab/>
      </w:r>
    </w:p>
    <w:p>
      <w:pPr>
        <w:pStyle w:val="11bodyletter"/>
        <w:rPr/>
      </w:pPr>
      <w:r>
        <w:rPr/>
        <w:tab/>
        <w:t>h.</w:t>
        <w:tab/>
      </w:r>
      <w:r>
        <w:rPr>
          <w:rFonts w:cs="Arial;Arial" w:ascii="Arial;Arial" w:hAnsi="Arial;Arial"/>
          <w:b/>
          <w:bCs/>
          <w:sz w:val="20"/>
        </w:rPr>
        <w:t>Is this pain predominantly in the right side, left side, or in both legs?</w:t>
      </w:r>
      <w:r>
        <w:rPr/>
        <w:t xml:space="preserve"> Select one.</w:t>
      </w:r>
    </w:p>
    <w:p>
      <w:pPr>
        <w:pStyle w:val="11bodyletter"/>
        <w:rPr/>
      </w:pPr>
      <w:r>
        <w:rPr/>
        <w:tab/>
        <w:tab/>
      </w:r>
    </w:p>
    <w:p>
      <w:pPr>
        <w:pStyle w:val="Number11"/>
        <w:rPr/>
      </w:pPr>
      <w:r>
        <w:rPr/>
        <w:tab/>
        <w:t>19.</w:t>
        <w:tab/>
      </w:r>
      <w:r>
        <w:rPr>
          <w:rFonts w:cs="Arial;Arial" w:ascii="Arial;Arial" w:hAnsi="Arial;Arial"/>
          <w:b/>
          <w:bCs/>
          <w:sz w:val="20"/>
        </w:rPr>
        <w:t>Have you ever had swelling (“edema”) of your feet or ankles?</w:t>
      </w:r>
      <w:r>
        <w:rPr/>
        <w:t xml:space="preserve"> For women, exclude edema during pregnancy. When the swollen extremity is pressed with a finger, an imprint or pit remains temporarily.  </w:t>
      </w:r>
    </w:p>
    <w:p>
      <w:pPr>
        <w:pStyle w:val="Number11"/>
        <w:rPr/>
      </w:pPr>
      <w:r>
        <w:rPr/>
        <w:tab/>
        <w:tab/>
      </w:r>
      <w:r>
        <w:rPr>
          <w:u w:val="single"/>
        </w:rPr>
        <w:t>If yes, answer the following</w:t>
      </w:r>
      <w:r>
        <w:rPr/>
        <w:t>:</w:t>
      </w:r>
    </w:p>
    <w:p>
      <w:pPr>
        <w:pStyle w:val="Normal"/>
        <w:rPr/>
      </w:pPr>
      <w:r>
        <w:rPr/>
        <w:tab/>
      </w:r>
    </w:p>
    <w:p>
      <w:pPr>
        <w:pStyle w:val="11bodyletter"/>
        <w:rPr/>
      </w:pPr>
      <w:r>
        <w:rPr/>
        <w:tab/>
        <w:t>a.</w:t>
        <w:tab/>
      </w:r>
      <w:r>
        <w:rPr>
          <w:rFonts w:cs="Arial;Arial" w:ascii="Arial;Arial" w:hAnsi="Arial;Arial"/>
          <w:b/>
          <w:bCs/>
          <w:sz w:val="20"/>
        </w:rPr>
        <w:t xml:space="preserve">Did it tend to come on during the day and go down overnight? </w:t>
      </w:r>
    </w:p>
    <w:p>
      <w:pPr>
        <w:pStyle w:val="Normal"/>
        <w:tabs>
          <w:tab w:val="clear" w:pos="720"/>
          <w:tab w:val="right" w:pos="1350" w:leader="none"/>
        </w:tabs>
        <w:ind w:left="1440" w:hanging="1440"/>
        <w:rPr>
          <w:sz w:val="22"/>
        </w:rPr>
      </w:pPr>
      <w:r>
        <w:rPr>
          <w:sz w:val="22"/>
        </w:rPr>
        <w:tab/>
      </w:r>
    </w:p>
    <w:p>
      <w:pPr>
        <w:pStyle w:val="Number11"/>
        <w:rPr/>
      </w:pPr>
      <w:r>
        <w:rPr/>
        <w:tab/>
        <w:t>20.</w:t>
        <w:tab/>
      </w:r>
      <w:r>
        <w:rPr>
          <w:rFonts w:cs="Arial;Arial" w:ascii="Arial;Arial" w:hAnsi="Arial;Arial"/>
          <w:b/>
          <w:bCs/>
          <w:sz w:val="20"/>
        </w:rPr>
        <w:t>Have you had to sleep on two or more pillows to help you breathe?</w:t>
      </w:r>
      <w:r>
        <w:rPr/>
        <w:t xml:space="preserve"> Some people may have to sleep in a chair to assist breathing; count this instance as “yes.”</w:t>
      </w:r>
    </w:p>
    <w:p>
      <w:pPr>
        <w:pStyle w:val="Number11"/>
        <w:rPr/>
      </w:pPr>
      <w:r>
        <w:rPr/>
        <w:tab/>
        <w:tab/>
      </w:r>
    </w:p>
    <w:p>
      <w:pPr>
        <w:pStyle w:val="Number11"/>
        <w:rPr>
          <w:rFonts w:ascii="Arial;Arial" w:hAnsi="Arial;Arial" w:cs="Arial;Arial"/>
          <w:sz w:val="20"/>
        </w:rPr>
      </w:pPr>
      <w:r>
        <w:rPr/>
        <w:tab/>
        <w:t xml:space="preserve">21. </w:t>
      </w:r>
      <w:r>
        <w:rPr>
          <w:b/>
          <w:bCs/>
        </w:rPr>
        <w:tab/>
      </w:r>
      <w:r>
        <w:rPr>
          <w:rFonts w:cs="Arial;Arial" w:ascii="Arial;Arial" w:hAnsi="Arial;Arial"/>
          <w:b/>
          <w:bCs/>
          <w:sz w:val="20"/>
        </w:rPr>
        <w:t>Have you been awakened at night by trouble breathing?</w:t>
      </w:r>
    </w:p>
    <w:p>
      <w:pPr>
        <w:pStyle w:val="Number11"/>
        <w:rPr>
          <w:rFonts w:ascii="Arial;Arial" w:hAnsi="Arial;Arial" w:cs="Arial;Arial"/>
          <w:sz w:val="20"/>
        </w:rPr>
      </w:pPr>
      <w:r>
        <w:rPr>
          <w:rFonts w:cs="Arial;Arial" w:ascii="Arial;Arial" w:hAnsi="Arial;Arial"/>
          <w:sz w:val="20"/>
        </w:rPr>
      </w:r>
    </w:p>
    <w:p>
      <w:pPr>
        <w:pStyle w:val="Number11"/>
        <w:rPr/>
      </w:pPr>
      <w:r>
        <w:rPr/>
        <w:tab/>
        <w:t xml:space="preserve">22. </w:t>
      </w:r>
      <w:r>
        <w:rPr>
          <w:b/>
          <w:bCs/>
        </w:rPr>
        <w:tab/>
      </w:r>
      <w:r>
        <w:rPr>
          <w:rFonts w:cs="Arial;Arial" w:ascii="Arial;Arial" w:hAnsi="Arial;Arial"/>
          <w:b/>
          <w:bCs/>
          <w:sz w:val="20"/>
        </w:rPr>
        <w:t>In the past two weeks, have you had any of the following:</w:t>
      </w:r>
      <w:r>
        <w:rPr/>
        <w:t xml:space="preserve"> This question is asked to determine if the participant has had some type of inflammatory condition.</w:t>
      </w:r>
      <w:r>
        <w:rPr>
          <w:b/>
          <w:bCs/>
        </w:rPr>
        <w:t xml:space="preserve"> </w:t>
      </w:r>
      <w:r>
        <w:rPr/>
        <w:t>Select all that apply.</w:t>
      </w:r>
    </w:p>
    <w:p>
      <w:pPr>
        <w:pStyle w:val="11bodyletter"/>
        <w:rPr/>
      </w:pPr>
      <w:r>
        <w:rPr/>
      </w:r>
    </w:p>
    <w:p>
      <w:pPr>
        <w:pStyle w:val="11bodyletter"/>
        <w:rPr/>
      </w:pPr>
      <w:r>
        <w:rPr/>
        <w:tab/>
        <w:t>a.</w:t>
        <w:tab/>
        <w:t>Fever</w:t>
        <w:tab/>
      </w:r>
    </w:p>
    <w:p>
      <w:pPr>
        <w:pStyle w:val="11bodyletter"/>
        <w:rPr/>
      </w:pPr>
      <w:r>
        <w:rPr/>
        <w:tab/>
        <w:t xml:space="preserve">b. </w:t>
        <w:tab/>
        <w:t>Cold, flu, or sore throat</w:t>
      </w:r>
    </w:p>
    <w:p>
      <w:pPr>
        <w:pStyle w:val="11bodyletter"/>
        <w:rPr/>
      </w:pPr>
      <w:r>
        <w:rPr/>
        <w:tab/>
        <w:t>c.</w:t>
        <w:tab/>
        <w:t>Urinary infection (also called “bladder infection”)</w:t>
      </w:r>
    </w:p>
    <w:p>
      <w:pPr>
        <w:pStyle w:val="11bodyletter"/>
        <w:rPr/>
      </w:pPr>
      <w:r>
        <w:rPr/>
        <w:tab/>
        <w:t>d.</w:t>
        <w:tab/>
        <w:t xml:space="preserve">Seasonal allergy, such as hayfever </w:t>
      </w:r>
    </w:p>
    <w:p>
      <w:pPr>
        <w:pStyle w:val="11bodyletter"/>
        <w:rPr/>
      </w:pPr>
      <w:r>
        <w:rPr/>
        <w:tab/>
        <w:t>e.</w:t>
        <w:tab/>
        <w:t>Bronchitis</w:t>
      </w:r>
    </w:p>
    <w:p>
      <w:pPr>
        <w:pStyle w:val="11bodyletter"/>
        <w:rPr/>
      </w:pPr>
      <w:r>
        <w:rPr/>
        <w:tab/>
        <w:t>f.</w:t>
        <w:tab/>
        <w:t xml:space="preserve"> Sinus infection or sinusitis</w:t>
      </w:r>
    </w:p>
    <w:p>
      <w:pPr>
        <w:pStyle w:val="11bodyletter"/>
        <w:rPr/>
      </w:pPr>
      <w:r>
        <w:rPr/>
        <w:tab/>
        <w:t xml:space="preserve">g. </w:t>
        <w:tab/>
        <w:t xml:space="preserve">Pneumonia </w:t>
      </w:r>
    </w:p>
    <w:p>
      <w:pPr>
        <w:pStyle w:val="11bodyletter"/>
        <w:rPr/>
      </w:pPr>
      <w:r>
        <w:rPr/>
        <w:tab/>
        <w:t>h.</w:t>
        <w:tab/>
        <w:t>Gums bleeding while brushing or flossing (include “periodontal disease” and “gingivitis”)</w:t>
      </w:r>
    </w:p>
    <w:p>
      <w:pPr>
        <w:pStyle w:val="11bodyletter"/>
        <w:rPr/>
      </w:pPr>
      <w:r>
        <w:rPr/>
        <w:tab/>
        <w:t>i.</w:t>
        <w:tab/>
        <w:t>Tooth infection requiring antibiotics and/or root canal</w:t>
      </w:r>
    </w:p>
    <w:p>
      <w:pPr>
        <w:pStyle w:val="11bodyletter"/>
        <w:rPr/>
      </w:pPr>
      <w:r>
        <w:rPr/>
        <w:tab/>
        <w:t>j.</w:t>
        <w:tab/>
        <w:t>Flare-up of gout</w:t>
      </w:r>
    </w:p>
    <w:p>
      <w:pPr>
        <w:pStyle w:val="11bodyletter"/>
        <w:rPr/>
      </w:pPr>
      <w:r>
        <w:rPr/>
        <w:tab/>
        <w:t>k.</w:t>
        <w:tab/>
        <w:t>Flare-up of arthritis</w:t>
      </w:r>
    </w:p>
    <w:p>
      <w:pPr>
        <w:pStyle w:val="Normal"/>
        <w:tabs>
          <w:tab w:val="clear" w:pos="720"/>
          <w:tab w:val="right" w:pos="1350" w:leader="none"/>
        </w:tabs>
        <w:ind w:left="1440" w:hanging="1440"/>
        <w:rPr>
          <w:sz w:val="22"/>
        </w:rPr>
      </w:pPr>
      <w:r>
        <w:rPr>
          <w:sz w:val="22"/>
        </w:rPr>
      </w:r>
    </w:p>
    <w:p>
      <w:pPr>
        <w:pStyle w:val="Number11"/>
        <w:rPr/>
      </w:pPr>
      <w:r>
        <w:rPr/>
        <w:tab/>
        <w:t>23.</w:t>
        <w:tab/>
      </w:r>
      <w:r>
        <w:rPr>
          <w:rFonts w:cs="Arial;Arial" w:ascii="Arial;Arial" w:hAnsi="Arial;Arial"/>
          <w:b/>
          <w:bCs/>
          <w:sz w:val="20"/>
        </w:rPr>
        <w:t>Approximately how many times have you been treated with antibiotics in the past year?</w:t>
      </w:r>
      <w:r>
        <w:rPr/>
        <w:t xml:space="preserve"> Estimate number of times or select “none.” If the participant has been on daily antibiotics for an extended period, record “99” and make comment.</w:t>
      </w:r>
    </w:p>
    <w:p>
      <w:pPr>
        <w:pStyle w:val="Number11"/>
        <w:rPr>
          <w:sz w:val="22"/>
        </w:rPr>
      </w:pPr>
      <w:r>
        <w:rPr>
          <w:sz w:val="22"/>
        </w:rPr>
      </w:r>
    </w:p>
    <w:p>
      <w:pPr>
        <w:pStyle w:val="Number11"/>
        <w:rPr/>
      </w:pPr>
      <w:r>
        <w:rPr/>
        <w:tab/>
        <w:t xml:space="preserve">24. </w:t>
        <w:tab/>
      </w:r>
      <w:r>
        <w:rPr>
          <w:rFonts w:cs="Arial;Arial" w:ascii="Arial;Arial" w:hAnsi="Arial;Arial"/>
          <w:b/>
          <w:bCs/>
          <w:sz w:val="20"/>
        </w:rPr>
        <w:t>Approximately how many times have you been treated with antibiotics in the last 5 years?</w:t>
      </w:r>
      <w:r>
        <w:rPr/>
        <w:t xml:space="preserve"> Estimate the number of times or select “don’t know.” If the participant has been on daily antibiotics for an extended period, record “99” and make comment.</w:t>
      </w:r>
    </w:p>
    <w:p>
      <w:pPr>
        <w:pStyle w:val="Number11"/>
        <w:rPr/>
      </w:pPr>
      <w:r>
        <w:rPr/>
      </w:r>
    </w:p>
    <w:p>
      <w:pPr>
        <w:pStyle w:val="Number11"/>
        <w:rPr/>
      </w:pPr>
      <w:r>
        <w:rPr/>
      </w:r>
    </w:p>
    <w:p>
      <w:pPr>
        <w:pStyle w:val="Number11"/>
        <w:rPr/>
      </w:pPr>
      <w:r>
        <w:rPr/>
        <w:tab/>
        <w:t>25.</w:t>
        <w:tab/>
      </w:r>
      <w:r>
        <w:rPr>
          <w:rFonts w:cs="Arial;Arial" w:ascii="Arial;Arial" w:hAnsi="Arial;Arial"/>
          <w:b/>
          <w:bCs/>
          <w:sz w:val="20"/>
        </w:rPr>
        <w:t>Have you ever used aspirin on a regular basis?</w:t>
      </w:r>
      <w:r>
        <w:rPr/>
        <w:t xml:space="preserve"> Examples of "regular" are daily, every other day, and weekly.  If the participant says he/she takes it less than once a week, indicate zero.</w:t>
      </w:r>
    </w:p>
    <w:p>
      <w:pPr>
        <w:pStyle w:val="Number11"/>
        <w:rPr/>
      </w:pPr>
      <w:r>
        <w:rPr/>
        <w:tab/>
        <w:tab/>
      </w:r>
      <w:r>
        <w:rPr>
          <w:u w:val="single"/>
        </w:rPr>
        <w:t>If no or don’t know, skip to question 26</w:t>
      </w:r>
    </w:p>
    <w:p>
      <w:pPr>
        <w:pStyle w:val="Number11"/>
        <w:rPr/>
      </w:pPr>
      <w:r>
        <w:rPr/>
        <w:tab/>
        <w:tab/>
      </w:r>
      <w:r>
        <w:rPr>
          <w:u w:val="single"/>
        </w:rPr>
        <w:t>If yes, answer the following</w:t>
      </w:r>
      <w:r>
        <w:rPr/>
        <w:t>:</w:t>
      </w:r>
    </w:p>
    <w:p>
      <w:pPr>
        <w:pStyle w:val="Number11"/>
        <w:rPr/>
      </w:pPr>
      <w:r>
        <w:rPr/>
      </w:r>
    </w:p>
    <w:p>
      <w:pPr>
        <w:pStyle w:val="11bodyletter"/>
        <w:rPr/>
      </w:pPr>
      <w:r>
        <w:rPr/>
        <w:tab/>
        <w:t>a.</w:t>
        <w:tab/>
      </w:r>
      <w:r>
        <w:rPr>
          <w:rFonts w:cs="Arial;Arial" w:ascii="Arial;Arial" w:hAnsi="Arial;Arial"/>
          <w:b/>
          <w:bCs/>
          <w:sz w:val="20"/>
        </w:rPr>
        <w:t>At what age did you start?</w:t>
      </w:r>
      <w:r>
        <w:rPr/>
        <w:t xml:space="preserve"> Provide age.</w:t>
      </w:r>
    </w:p>
    <w:p>
      <w:pPr>
        <w:pStyle w:val="11bodyletter"/>
        <w:rPr/>
      </w:pPr>
      <w:r>
        <w:rPr/>
      </w:r>
    </w:p>
    <w:p>
      <w:pPr>
        <w:pStyle w:val="11bodyletter"/>
        <w:rPr/>
      </w:pPr>
      <w:r>
        <w:rPr/>
        <w:tab/>
        <w:t>b.</w:t>
        <w:tab/>
      </w:r>
      <w:r>
        <w:rPr>
          <w:rFonts w:cs="Arial;Arial" w:ascii="Arial;Arial" w:hAnsi="Arial;Arial"/>
          <w:b/>
          <w:bCs/>
          <w:sz w:val="20"/>
        </w:rPr>
        <w:t>Are you taking aspirin now on a regular basis?</w:t>
      </w:r>
    </w:p>
    <w:p>
      <w:pPr>
        <w:pStyle w:val="11bodyletter"/>
        <w:rPr/>
      </w:pPr>
      <w:r>
        <w:rPr/>
        <w:tab/>
        <w:tab/>
      </w:r>
      <w:r>
        <w:rPr>
          <w:rFonts w:cs="Arial;Arial" w:ascii="Arial;Arial" w:hAnsi="Arial;Arial"/>
          <w:b/>
          <w:bCs/>
          <w:sz w:val="20"/>
          <w:u w:val="single"/>
        </w:rPr>
        <w:t>If yes, how many days a week are you taking aspirin?</w:t>
      </w:r>
      <w:r>
        <w:rPr/>
        <w:t xml:space="preserve"> Give number of days/week.</w:t>
      </w:r>
    </w:p>
    <w:p>
      <w:pPr>
        <w:pStyle w:val="11bodyletter"/>
        <w:rPr/>
      </w:pPr>
      <w:r>
        <w:rPr/>
        <w:tab/>
        <w:tab/>
      </w:r>
      <w:r>
        <w:rPr>
          <w:rFonts w:cs="Arial;Arial" w:ascii="Arial;Arial" w:hAnsi="Arial;Arial"/>
          <w:b/>
          <w:bCs/>
          <w:sz w:val="20"/>
          <w:u w:val="single"/>
        </w:rPr>
        <w:t>If no, at what age did you stop taking it?</w:t>
      </w:r>
      <w:r>
        <w:rPr/>
        <w:t xml:space="preserve"> Provide age.</w:t>
      </w:r>
    </w:p>
    <w:p>
      <w:pPr>
        <w:pStyle w:val="11bodyletter"/>
        <w:rPr>
          <w:sz w:val="22"/>
        </w:rPr>
      </w:pPr>
      <w:r>
        <w:rPr>
          <w:sz w:val="22"/>
        </w:rPr>
        <w:tab/>
        <w:tab/>
        <w:tab/>
      </w:r>
    </w:p>
    <w:p>
      <w:pPr>
        <w:pStyle w:val="Number11"/>
        <w:rPr/>
      </w:pPr>
      <w:r>
        <w:rPr/>
        <w:tab/>
        <w:t>26.</w:t>
        <w:tab/>
      </w:r>
      <w:r>
        <w:rPr>
          <w:rFonts w:cs="Arial;Arial" w:ascii="Arial;Arial" w:hAnsi="Arial;Arial"/>
          <w:b/>
          <w:bCs/>
          <w:sz w:val="20"/>
        </w:rPr>
        <w:t>Has a dentist ever told you that you have periodontitis or gum disease?</w:t>
      </w:r>
      <w:r>
        <w:rPr/>
        <w:t xml:space="preserve"> (“Gingivitis” is another term.)</w:t>
      </w:r>
    </w:p>
    <w:p>
      <w:pPr>
        <w:pStyle w:val="Number11"/>
        <w:rPr/>
      </w:pPr>
      <w:r>
        <w:rPr/>
      </w:r>
    </w:p>
    <w:p>
      <w:pPr>
        <w:pStyle w:val="Number11"/>
        <w:rPr/>
      </w:pPr>
      <w:r>
        <w:rPr/>
        <w:tab/>
        <w:t>27.</w:t>
        <w:tab/>
      </w:r>
      <w:r>
        <w:rPr>
          <w:rFonts w:cs="Arial;Arial" w:ascii="Arial;Arial" w:hAnsi="Arial;Arial"/>
          <w:b/>
          <w:bCs/>
          <w:sz w:val="20"/>
        </w:rPr>
        <w:t>Have you lost any of your teeth due to gum disease?</w:t>
      </w:r>
      <w:r>
        <w:rPr/>
        <w:t xml:space="preserve"> (Do not count tooth loss due to trauma.)</w:t>
      </w:r>
    </w:p>
    <w:p>
      <w:pPr>
        <w:pStyle w:val="Number11"/>
        <w:rPr/>
      </w:pPr>
      <w:r>
        <w:rPr/>
        <w:tab/>
        <w:tab/>
      </w:r>
      <w:r>
        <w:rPr>
          <w:rFonts w:cs="Arial;Arial" w:ascii="Arial;Arial" w:hAnsi="Arial;Arial"/>
          <w:b/>
          <w:bCs/>
          <w:sz w:val="20"/>
          <w:u w:val="single"/>
        </w:rPr>
        <w:t>If yes, how many teeth have you lost</w:t>
      </w:r>
      <w:r>
        <w:rPr>
          <w:rFonts w:cs="Arial;Arial" w:ascii="Arial;Arial" w:hAnsi="Arial;Arial"/>
          <w:b/>
          <w:bCs/>
          <w:sz w:val="20"/>
        </w:rPr>
        <w:t>?</w:t>
      </w:r>
    </w:p>
    <w:p>
      <w:pPr>
        <w:pStyle w:val="Number11"/>
        <w:rPr>
          <w:rFonts w:ascii="Arial;Arial" w:hAnsi="Arial;Arial" w:cs="Arial;Arial"/>
          <w:b/>
          <w:b/>
          <w:bCs/>
          <w:sz w:val="20"/>
        </w:rPr>
      </w:pPr>
      <w:r>
        <w:rPr>
          <w:rFonts w:cs="Arial;Arial" w:ascii="Arial;Arial" w:hAnsi="Arial;Arial"/>
          <w:b/>
          <w:bCs/>
          <w:sz w:val="20"/>
        </w:rPr>
      </w:r>
    </w:p>
    <w:p>
      <w:pPr>
        <w:pStyle w:val="Number11"/>
        <w:rPr>
          <w:rFonts w:ascii="Arial;Arial" w:hAnsi="Arial;Arial" w:cs="Arial;Arial"/>
          <w:b/>
          <w:b/>
          <w:bCs/>
          <w:sz w:val="20"/>
        </w:rPr>
      </w:pPr>
      <w:r>
        <w:rPr>
          <w:rFonts w:cs="Arial;Arial" w:ascii="Arial;Arial" w:hAnsi="Arial;Arial"/>
          <w:b/>
          <w:bCs/>
          <w:sz w:val="20"/>
        </w:rPr>
      </w:r>
    </w:p>
    <w:p>
      <w:pPr>
        <w:pStyle w:val="Number1body"/>
        <w:rPr>
          <w:i/>
          <w:i/>
          <w:iCs/>
        </w:rPr>
      </w:pPr>
      <w:r>
        <w:rPr>
          <w:i/>
          <w:iCs/>
        </w:rPr>
        <w:t>“</w:t>
      </w:r>
      <w:r>
        <w:rPr>
          <w:i/>
          <w:iCs/>
        </w:rPr>
        <w:t>The following are questions about medical conditions that other members of your family may have had. Please answer to the best of your knowledge.”</w:t>
      </w:r>
    </w:p>
    <w:p>
      <w:pPr>
        <w:pStyle w:val="Number1body"/>
        <w:rPr>
          <w:i/>
          <w:i/>
          <w:iCs/>
        </w:rPr>
      </w:pPr>
      <w:r>
        <w:rPr>
          <w:i/>
          <w:iCs/>
        </w:rPr>
      </w:r>
    </w:p>
    <w:p>
      <w:pPr>
        <w:pStyle w:val="Arialbold9"/>
        <w:ind w:left="900" w:hanging="0"/>
        <w:rPr/>
      </w:pPr>
      <w:r>
        <w:rPr/>
        <w:t>“</w:t>
      </w:r>
      <w:r>
        <w:rPr/>
        <w:t>Have any of the following family members had any of the listed medical conditions (include blood relatives only)”:</w:t>
      </w:r>
    </w:p>
    <w:p>
      <w:pPr>
        <w:pStyle w:val="Number1body"/>
        <w:rPr/>
      </w:pPr>
      <w:r>
        <w:rPr/>
      </w:r>
    </w:p>
    <w:p>
      <w:pPr>
        <w:pStyle w:val="Number1body"/>
        <w:rPr/>
      </w:pPr>
      <w:r>
        <w:rPr/>
        <w:t>Blood relatives do</w:t>
      </w:r>
      <w:r>
        <w:rPr>
          <w:i/>
          <w:iCs/>
        </w:rPr>
        <w:t xml:space="preserve"> not</w:t>
      </w:r>
      <w:r>
        <w:rPr/>
        <w:t xml:space="preserve"> include people related to the participant by adoption, marriage, or step-family arrangements. Mention that, although these may be important members of the family, we are trying to identify people who share genes through blood relations. Half-siblings </w:t>
      </w:r>
      <w:r>
        <w:rPr>
          <w:i/>
          <w:iCs/>
        </w:rPr>
        <w:t xml:space="preserve">are </w:t>
      </w:r>
      <w:r>
        <w:rPr/>
        <w:t>included.</w:t>
      </w:r>
    </w:p>
    <w:p>
      <w:pPr>
        <w:pStyle w:val="Number11"/>
        <w:rPr/>
      </w:pPr>
      <w:r>
        <w:rPr/>
      </w:r>
    </w:p>
    <w:p>
      <w:pPr>
        <w:pStyle w:val="Number11"/>
        <w:rPr/>
      </w:pPr>
      <w:r>
        <w:rPr/>
        <w:tab/>
        <w:t>28.</w:t>
        <w:tab/>
      </w:r>
      <w:r>
        <w:rPr>
          <w:b/>
          <w:bCs/>
        </w:rPr>
        <w:t xml:space="preserve">Parents. </w:t>
      </w:r>
      <w:r>
        <w:rPr/>
        <w:t>Select all that apply.</w:t>
      </w:r>
    </w:p>
    <w:p>
      <w:pPr>
        <w:pStyle w:val="Normal"/>
        <w:rPr/>
      </w:pPr>
      <w:r>
        <w:rPr/>
      </w:r>
    </w:p>
    <w:p>
      <w:pPr>
        <w:pStyle w:val="11bodyletter"/>
        <w:rPr/>
      </w:pPr>
      <w:r>
        <w:rPr/>
        <w:tab/>
        <w:t>a.</w:t>
        <w:tab/>
      </w:r>
      <w:r>
        <w:rPr>
          <w:rFonts w:cs="Arial;Arial" w:ascii="Arial;Arial" w:hAnsi="Arial;Arial"/>
          <w:b/>
          <w:bCs/>
          <w:sz w:val="20"/>
        </w:rPr>
        <w:t>Heart attack.</w:t>
      </w:r>
      <w:r>
        <w:rPr/>
        <w:t xml:space="preserve"> (Also called "myocardial infarctions" or "infarcts" but do not include angina, angina pectoris, or chest or heart pains that were not diagnosed as an infarction. Generally, these are diagnosed during hospitalization.)</w:t>
      </w:r>
    </w:p>
    <w:p>
      <w:pPr>
        <w:pStyle w:val="11bodyletter"/>
        <w:rPr/>
      </w:pPr>
      <w:r>
        <w:rPr/>
      </w:r>
    </w:p>
    <w:p>
      <w:pPr>
        <w:pStyle w:val="11bodyletter"/>
        <w:rPr/>
      </w:pPr>
      <w:r>
        <w:rPr/>
        <w:tab/>
        <w:t>b.</w:t>
        <w:tab/>
      </w:r>
      <w:r>
        <w:rPr>
          <w:rFonts w:cs="Arial;Arial" w:ascii="Arial;Arial" w:hAnsi="Arial;Arial"/>
          <w:b/>
          <w:bCs/>
          <w:sz w:val="20"/>
        </w:rPr>
        <w:t>Stroke?</w:t>
      </w:r>
      <w:r>
        <w:rPr/>
        <w:t xml:space="preserve"> Stroke may also be called "brain attack" or “brain shock” and generally causes persistent weakness, inability to speak, inability to walk, loss of vision or other neurologic symptoms.  Do not include "TIA" or "mini-stroke."</w:t>
      </w:r>
    </w:p>
    <w:p>
      <w:pPr>
        <w:pStyle w:val="11bodyletter"/>
        <w:rPr/>
      </w:pPr>
      <w:r>
        <w:rPr/>
      </w:r>
    </w:p>
    <w:p>
      <w:pPr>
        <w:pStyle w:val="11bodyletter"/>
        <w:rPr/>
      </w:pPr>
      <w:r>
        <w:rPr/>
        <w:tab/>
        <w:t>c.</w:t>
        <w:tab/>
      </w:r>
      <w:r>
        <w:rPr>
          <w:rFonts w:cs="Arial;Arial" w:ascii="Arial;Arial" w:hAnsi="Arial;Arial"/>
          <w:b/>
          <w:bCs/>
          <w:sz w:val="20"/>
        </w:rPr>
        <w:t>Amputation not due to a traumatic injury?</w:t>
      </w:r>
    </w:p>
    <w:p>
      <w:pPr>
        <w:pStyle w:val="11bodyletter"/>
        <w:rPr>
          <w:rFonts w:ascii="Arial;Arial" w:hAnsi="Arial;Arial" w:cs="Arial;Arial"/>
          <w:b/>
          <w:b/>
          <w:bCs/>
          <w:sz w:val="22"/>
        </w:rPr>
      </w:pPr>
      <w:r>
        <w:rPr>
          <w:rFonts w:cs="Arial;Arial" w:ascii="Arial;Arial" w:hAnsi="Arial;Arial"/>
          <w:b/>
          <w:bCs/>
          <w:sz w:val="22"/>
        </w:rPr>
      </w:r>
    </w:p>
    <w:p>
      <w:pPr>
        <w:pStyle w:val="Number11"/>
        <w:rPr/>
      </w:pPr>
      <w:r>
        <w:rPr/>
        <w:tab/>
        <w:t>29.</w:t>
        <w:tab/>
        <w:t xml:space="preserve"> </w:t>
      </w:r>
      <w:r>
        <w:rPr>
          <w:b/>
          <w:bCs/>
        </w:rPr>
        <w:t xml:space="preserve">Siblings. </w:t>
      </w:r>
      <w:r>
        <w:rPr/>
        <w:t>Select all that apply.</w:t>
      </w:r>
    </w:p>
    <w:p>
      <w:pPr>
        <w:pStyle w:val="Normal"/>
        <w:tabs>
          <w:tab w:val="clear" w:pos="720"/>
          <w:tab w:val="right" w:pos="1350" w:leader="none"/>
        </w:tabs>
        <w:ind w:left="1440" w:hanging="1440"/>
        <w:rPr>
          <w:sz w:val="22"/>
        </w:rPr>
      </w:pPr>
      <w:r>
        <w:rPr>
          <w:sz w:val="22"/>
        </w:rPr>
      </w:r>
    </w:p>
    <w:p>
      <w:pPr>
        <w:pStyle w:val="Number11"/>
        <w:rPr/>
      </w:pPr>
      <w:r>
        <w:rPr/>
        <w:tab/>
        <w:t>30.</w:t>
        <w:tab/>
        <w:t xml:space="preserve"> </w:t>
      </w:r>
      <w:r>
        <w:rPr>
          <w:b/>
          <w:bCs/>
        </w:rPr>
        <w:t xml:space="preserve">Children. </w:t>
      </w:r>
      <w:r>
        <w:rPr/>
        <w:t>Select all that apply.</w:t>
      </w:r>
    </w:p>
    <w:p>
      <w:pPr>
        <w:pStyle w:val="Normal"/>
        <w:tabs>
          <w:tab w:val="clear" w:pos="720"/>
          <w:tab w:val="right" w:pos="1350" w:leader="none"/>
        </w:tabs>
        <w:ind w:left="1440" w:hanging="1440"/>
        <w:rPr>
          <w:sz w:val="22"/>
        </w:rPr>
      </w:pPr>
      <w:r>
        <w:rPr>
          <w:sz w:val="22"/>
        </w:rPr>
      </w:r>
    </w:p>
    <w:p>
      <w:pPr>
        <w:sectPr>
          <w:headerReference w:type="even" r:id="rId72"/>
          <w:headerReference w:type="default" r:id="rId73"/>
          <w:footerReference w:type="even" r:id="rId74"/>
          <w:footerReference w:type="default" r:id="rId75"/>
          <w:type w:val="oddPage"/>
          <w:pgSz w:w="12240" w:h="15840"/>
          <w:pgMar w:left="2880" w:right="1080" w:gutter="0" w:header="720" w:top="1440" w:footer="720" w:bottom="1440"/>
          <w:pgNumType w:fmt="decimal"/>
          <w:formProt w:val="false"/>
          <w:textDirection w:val="lrTb"/>
          <w:docGrid w:type="default" w:linePitch="360" w:charSpace="0"/>
        </w:sectPr>
        <w:pStyle w:val="Romanbody"/>
        <w:rPr>
          <w:b/>
          <w:b/>
          <w:bCs/>
          <w:sz w:val="32"/>
        </w:rPr>
      </w:pPr>
      <w:r>
        <w:rPr/>
        <w:t>After completion of the form, check to make sure all questions were answered and attempt to  complete by asking the participant about specific skipped questions.</w:t>
      </w:r>
    </w:p>
    <w:p>
      <w:pPr>
        <w:pStyle w:val="Subsub"/>
        <w:rPr/>
      </w:pPr>
      <w:bookmarkStart w:id="19" w:name="__RefHeading___Toc503858975"/>
      <w:bookmarkEnd w:id="19"/>
      <w:r>
        <w:rPr/>
        <w:t>3.4.5  Medications</w:t>
      </w:r>
    </w:p>
    <w:p>
      <w:pPr>
        <w:pStyle w:val="Normal"/>
        <w:tabs>
          <w:tab w:val="clear" w:pos="720"/>
          <w:tab w:val="center" w:pos="1080" w:leader="none"/>
          <w:tab w:val="left" w:pos="1800" w:leader="none"/>
          <w:tab w:val="center" w:pos="7920" w:leader="dot"/>
        </w:tabs>
        <w:rPr>
          <w:sz w:val="22"/>
        </w:rPr>
      </w:pPr>
      <w:r>
        <w:rPr>
          <w:sz w:val="22"/>
        </w:rPr>
      </w:r>
    </w:p>
    <w:p>
      <w:pPr>
        <w:pStyle w:val="Romanbold"/>
        <w:rPr/>
      </w:pPr>
      <w:r>
        <w:rPr/>
        <w:tab/>
        <w:t>I.</w:t>
        <w:tab/>
        <w:t>Background and Rationale</w:t>
      </w:r>
    </w:p>
    <w:p>
      <w:pPr>
        <w:pStyle w:val="Number1"/>
        <w:rPr/>
      </w:pPr>
      <w:r>
        <w:rPr/>
      </w:r>
    </w:p>
    <w:p>
      <w:pPr>
        <w:pStyle w:val="Number1"/>
        <w:rPr/>
      </w:pPr>
      <w:r>
        <w:rPr/>
        <w:tab/>
        <w:t>1.</w:t>
        <w:tab/>
        <w:t>The MESA Medications Form and this section of the Manual of Operations were adapted from those used for  the Cardiovascular Health Study. The Medications Form is designed to enable collection of data on participants’ use of all types of medications, both prescription and non-prescription, including supplements. Information about participants’ use of medications is collected at the initial (baseline) clinic visit and at follow-up visits. The participant is asked to bring to the clinic containers for all medications used during the two weeks prior to the visit. The interviewer then transcribes the name of each medication,  its strength, and for prescription medications, frequency of administration from the containers onto the data collection form.  As the information is transcribed, the interviewer queries the participant about actual usage of each medication.</w:t>
      </w:r>
    </w:p>
    <w:p>
      <w:pPr>
        <w:pStyle w:val="Number1"/>
        <w:rPr/>
      </w:pPr>
      <w:r>
        <w:rPr/>
      </w:r>
    </w:p>
    <w:p>
      <w:pPr>
        <w:pStyle w:val="Number1"/>
        <w:rPr/>
      </w:pPr>
      <w:r>
        <w:rPr/>
        <w:tab/>
        <w:t>2.</w:t>
        <w:tab/>
        <w:t>Collecting this information will allow us to describe medication use and any changing patterns of use over time, and may help us ascertain the effect of medications on the progression of atherosclerosis  in this study population. It will be important to know what medications each participant is taking, in order to assess and perhaps attempt to explain subsequent participant events and any change in the degree of disease detected at follow-up visits.</w:t>
      </w:r>
    </w:p>
    <w:p>
      <w:pPr>
        <w:pStyle w:val="Normal"/>
        <w:rPr>
          <w:sz w:val="22"/>
        </w:rPr>
      </w:pPr>
      <w:r>
        <w:rPr>
          <w:sz w:val="22"/>
        </w:rPr>
      </w:r>
    </w:p>
    <w:p>
      <w:pPr>
        <w:pStyle w:val="Romanbold"/>
        <w:rPr/>
      </w:pPr>
      <w:r>
        <w:rPr/>
        <w:tab/>
        <w:t>II.</w:t>
        <w:tab/>
        <w:t>Materials and Equipment</w:t>
      </w:r>
    </w:p>
    <w:p>
      <w:pPr>
        <w:pStyle w:val="Normal"/>
        <w:rPr>
          <w:sz w:val="22"/>
        </w:rPr>
      </w:pPr>
      <w:r>
        <w:rPr>
          <w:sz w:val="22"/>
        </w:rPr>
      </w:r>
    </w:p>
    <w:p>
      <w:pPr>
        <w:pStyle w:val="Normal"/>
        <w:ind w:left="540" w:hanging="0"/>
        <w:rPr>
          <w:sz w:val="22"/>
        </w:rPr>
      </w:pPr>
      <w:r>
        <w:rPr>
          <w:sz w:val="22"/>
        </w:rPr>
        <w:t>Current version of the Physician’s Desk Reference (PDR)</w:t>
      </w:r>
    </w:p>
    <w:p>
      <w:pPr>
        <w:pStyle w:val="Normal"/>
        <w:rPr>
          <w:sz w:val="22"/>
        </w:rPr>
      </w:pPr>
      <w:r>
        <w:rPr>
          <w:sz w:val="22"/>
        </w:rPr>
      </w:r>
    </w:p>
    <w:p>
      <w:pPr>
        <w:pStyle w:val="Romanbold"/>
        <w:rPr/>
      </w:pPr>
      <w:r>
        <w:rPr/>
        <w:tab/>
        <w:t>III.</w:t>
        <w:tab/>
        <w:t>Definitions</w:t>
      </w:r>
    </w:p>
    <w:p>
      <w:pPr>
        <w:pStyle w:val="Number1"/>
        <w:rPr/>
      </w:pPr>
      <w:r>
        <w:rPr/>
      </w:r>
    </w:p>
    <w:p>
      <w:pPr>
        <w:pStyle w:val="Number1"/>
        <w:rPr/>
      </w:pPr>
      <w:r>
        <w:rPr/>
        <w:tab/>
        <w:t>1.</w:t>
        <w:tab/>
      </w:r>
      <w:r>
        <w:rPr>
          <w:u w:val="single"/>
        </w:rPr>
        <w:t>Time frame</w:t>
      </w:r>
      <w:r>
        <w:rPr/>
        <w:t>: All prescription and over-the-counter medications and supplements used during the two weeks prior to the clinic visit should be included.</w:t>
      </w:r>
    </w:p>
    <w:p>
      <w:pPr>
        <w:pStyle w:val="Number1"/>
        <w:rPr/>
      </w:pPr>
      <w:r>
        <w:rPr/>
      </w:r>
    </w:p>
    <w:p>
      <w:pPr>
        <w:pStyle w:val="Number1"/>
        <w:rPr/>
      </w:pPr>
      <w:r>
        <w:rPr/>
        <w:tab/>
        <w:t>2.</w:t>
        <w:tab/>
      </w:r>
      <w:r>
        <w:rPr>
          <w:u w:val="single"/>
        </w:rPr>
        <w:t>Prescription medication</w:t>
      </w:r>
      <w:r>
        <w:rPr/>
        <w:t xml:space="preserve">: Medication for which a prescription was written by a physician or physician assistant and dispensed by a pharmacist or a physician. </w:t>
      </w:r>
    </w:p>
    <w:p>
      <w:pPr>
        <w:pStyle w:val="Number1"/>
        <w:rPr/>
      </w:pPr>
      <w:r>
        <w:rPr/>
      </w:r>
    </w:p>
    <w:p>
      <w:pPr>
        <w:pStyle w:val="Number1"/>
        <w:rPr/>
      </w:pPr>
      <w:r>
        <w:rPr/>
        <w:tab/>
        <w:t>3.</w:t>
        <w:tab/>
      </w:r>
      <w:r>
        <w:rPr>
          <w:u w:val="single"/>
        </w:rPr>
        <w:t>Non-prescription or over-the-counter medication</w:t>
      </w:r>
      <w:r>
        <w:rPr/>
        <w:t>: Medication or supplements purchased without a prescription.</w:t>
      </w:r>
    </w:p>
    <w:p>
      <w:pPr>
        <w:pStyle w:val="Number1"/>
        <w:rPr/>
      </w:pPr>
      <w:r>
        <w:rPr/>
      </w:r>
    </w:p>
    <w:p>
      <w:pPr>
        <w:pStyle w:val="Number1"/>
        <w:rPr/>
      </w:pPr>
      <w:r>
        <w:rPr/>
        <w:tab/>
        <w:t>4.</w:t>
        <w:tab/>
        <w:t xml:space="preserve">It should be noted that occasionally a physician will write a prescription for an non-prescription medication. In that case, the medication should be recorded as prescription. If, however, the physician </w:t>
      </w:r>
      <w:r>
        <w:rPr>
          <w:i/>
          <w:iCs/>
        </w:rPr>
        <w:t>recommends</w:t>
      </w:r>
      <w:r>
        <w:rPr/>
        <w:t xml:space="preserve"> a medication, rather than actually writing a prescription for it, it should be recorded as non-prescription.</w:t>
      </w:r>
    </w:p>
    <w:p>
      <w:pPr>
        <w:pStyle w:val="Number1"/>
        <w:rPr/>
      </w:pPr>
      <w:r>
        <w:rPr/>
      </w:r>
    </w:p>
    <w:p>
      <w:pPr>
        <w:pStyle w:val="Romanbold"/>
        <w:rPr/>
      </w:pPr>
      <w:r>
        <w:rPr/>
        <w:tab/>
        <w:t>IV.</w:t>
        <w:tab/>
        <w:t>Methods</w:t>
      </w:r>
    </w:p>
    <w:p>
      <w:pPr>
        <w:pStyle w:val="Normal"/>
        <w:rPr/>
      </w:pPr>
      <w:r>
        <w:rPr/>
      </w:r>
    </w:p>
    <w:p>
      <w:pPr>
        <w:pStyle w:val="Number1"/>
        <w:rPr/>
      </w:pPr>
      <w:r>
        <w:rPr/>
        <w:tab/>
        <w:t>1.</w:t>
        <w:tab/>
      </w:r>
      <w:r>
        <w:rPr>
          <w:u w:val="single"/>
        </w:rPr>
        <w:t>Obtaining medication containers</w:t>
      </w:r>
      <w:r>
        <w:rPr/>
        <w:t>. A letter is sent to the participant before the clinic visit that includes instructions regarding medication containers. The participant is asked to bring to the clinic containers for all supplements and prescription and non-prescription medications taken during the two weeks prior to the clinic visit.</w:t>
      </w:r>
    </w:p>
    <w:p>
      <w:pPr>
        <w:pStyle w:val="Number1"/>
        <w:rPr/>
      </w:pPr>
      <w:r>
        <w:rPr/>
      </w:r>
    </w:p>
    <w:p>
      <w:pPr>
        <w:pStyle w:val="Number1"/>
        <w:rPr/>
      </w:pPr>
      <w:r>
        <w:rPr/>
        <w:tab/>
        <w:t>2.</w:t>
        <w:tab/>
      </w:r>
      <w:r>
        <w:rPr>
          <w:u w:val="single"/>
        </w:rPr>
        <w:t>Medication use interview</w:t>
      </w:r>
      <w:r>
        <w:rPr/>
        <w:t>. Prior to beginning the interview, place all medications in front of the participant. When asking the participant about a particular medication, show the container to the participant, keeping the other medications in view.  Always conclude the interview by asking the participant if any other medications have been taken during the previous two weeks. If the participant remembers other medications,  record the name, strength and frequency administered for each one in as much detail as possible. If you are unsure about the accuracy of the participant’s responses, schedule a telephone interview to verify the prescription label information. At the end of the visit, make sure to return all medications and other personal belongings to the participant. Guidelines for completing the Medications Form follow:</w:t>
      </w:r>
    </w:p>
    <w:p>
      <w:pPr>
        <w:pStyle w:val="Normal"/>
        <w:rPr/>
      </w:pPr>
      <w:r>
        <w:rPr/>
      </w:r>
    </w:p>
    <w:p>
      <w:pPr>
        <w:pStyle w:val="Roman2"/>
        <w:rPr/>
      </w:pPr>
      <w:r>
        <w:rPr/>
        <w:tab/>
        <w:t>A.</w:t>
        <w:tab/>
        <w:t>Medication Reception</w:t>
      </w:r>
    </w:p>
    <w:p>
      <w:pPr>
        <w:pStyle w:val="Roman2"/>
        <w:rPr/>
      </w:pPr>
      <w:r>
        <w:rPr/>
      </w:r>
    </w:p>
    <w:p>
      <w:pPr>
        <w:pStyle w:val="Arialbold9"/>
        <w:ind w:left="1260" w:hanging="1260"/>
        <w:rPr>
          <w:b w:val="false"/>
          <w:b w:val="false"/>
          <w:bCs w:val="false"/>
        </w:rPr>
      </w:pPr>
      <w:r>
        <w:rPr/>
        <w:tab/>
        <w:t>“As you know, the Multi-Ethnic Study of Atherosclerosis will be describing all medication its participants are using, both prescription and over-the-counter. These include pills, liquid medications, skin patches, eye drops, creams, salves, inhalers, and injections, as well as cold or allergy medications, vitamins, herbal remedies, and other supplements. The letter you received about this appointment included a plastic medications bag for all your current medications and asked you to bring them to the clinic. Have you brought this bag with you? Are these all the medications that you have taken in the past two weeks?”</w:t>
      </w:r>
    </w:p>
    <w:p>
      <w:pPr>
        <w:pStyle w:val="Roman2"/>
        <w:rPr>
          <w:b w:val="false"/>
          <w:b w:val="false"/>
          <w:bCs w:val="false"/>
        </w:rPr>
      </w:pPr>
      <w:r>
        <w:rPr>
          <w:b w:val="false"/>
          <w:bCs w:val="false"/>
        </w:rPr>
        <w:tab/>
        <w:tab/>
      </w:r>
      <w:r>
        <w:rPr>
          <w:b w:val="false"/>
          <w:bCs w:val="false"/>
          <w:u w:val="single"/>
        </w:rPr>
        <w:t>If yes, ask to see the medications and continue with Section B</w:t>
      </w:r>
    </w:p>
    <w:p>
      <w:pPr>
        <w:pStyle w:val="Roman2"/>
        <w:rPr/>
      </w:pPr>
      <w:r>
        <w:rPr>
          <w:b w:val="false"/>
          <w:bCs w:val="false"/>
        </w:rPr>
        <w:tab/>
        <w:tab/>
      </w:r>
      <w:r>
        <w:rPr>
          <w:b w:val="false"/>
          <w:bCs w:val="false"/>
          <w:u w:val="single"/>
        </w:rPr>
        <w:t>If no, make arrangements to obtain medications</w:t>
      </w:r>
    </w:p>
    <w:p>
      <w:pPr>
        <w:pStyle w:val="Roman2"/>
        <w:rPr/>
      </w:pPr>
      <w:r>
        <w:rPr>
          <w:b w:val="false"/>
          <w:bCs w:val="false"/>
        </w:rPr>
        <w:tab/>
        <w:tab/>
      </w:r>
      <w:r>
        <w:rPr>
          <w:b w:val="false"/>
          <w:bCs w:val="false"/>
          <w:u w:val="single"/>
        </w:rPr>
        <w:t>If refused, record reason for refusal in Comments Section</w:t>
      </w:r>
    </w:p>
    <w:p>
      <w:pPr>
        <w:pStyle w:val="Roman2"/>
        <w:rPr/>
      </w:pPr>
      <w:r>
        <w:rPr>
          <w:b w:val="false"/>
          <w:bCs w:val="false"/>
        </w:rPr>
        <w:tab/>
        <w:tab/>
      </w:r>
      <w:r>
        <w:rPr>
          <w:b w:val="false"/>
          <w:bCs w:val="false"/>
          <w:u w:val="single"/>
        </w:rPr>
        <w:t>If took no medicines,</w:t>
      </w:r>
      <w:r>
        <w:rPr>
          <w:b w:val="false"/>
          <w:bCs w:val="false"/>
          <w:i/>
          <w:iCs/>
          <w:u w:val="single"/>
        </w:rPr>
        <w:t xml:space="preserve"> form is completed</w:t>
      </w:r>
    </w:p>
    <w:p>
      <w:pPr>
        <w:pStyle w:val="Normal"/>
        <w:rPr>
          <w:b/>
          <w:b/>
          <w:bCs/>
          <w:i/>
          <w:i/>
          <w:iCs/>
          <w:u w:val="single"/>
        </w:rPr>
      </w:pPr>
      <w:r>
        <w:rPr>
          <w:b/>
          <w:bCs/>
          <w:i/>
          <w:iCs/>
          <w:u w:val="single"/>
        </w:rPr>
      </w:r>
    </w:p>
    <w:p>
      <w:pPr>
        <w:pStyle w:val="Roman2A"/>
        <w:rPr/>
      </w:pPr>
      <w:r>
        <w:rPr/>
        <w:tab/>
        <w:t xml:space="preserve">1. </w:t>
        <w:tab/>
        <w:t>Medication containers may be unavailable to the interviewer for a variety of reasons. Regardless of the reason, however, the interviewer should make an attempt to obtain the information necessary to complete the medication form.</w:t>
      </w:r>
    </w:p>
    <w:p>
      <w:pPr>
        <w:pStyle w:val="Roman2A"/>
        <w:rPr/>
      </w:pPr>
      <w:r>
        <w:rPr/>
      </w:r>
    </w:p>
    <w:p>
      <w:pPr>
        <w:pStyle w:val="Roman2A"/>
        <w:rPr/>
      </w:pPr>
      <w:r>
        <w:rPr/>
        <w:tab/>
        <w:t>2.</w:t>
        <w:tab/>
        <w:t>If the participant forgets to bring a medication(s) to the clinic, the interviewer is responsible for obtaining the necessary information at a second visit or by telephone interview.</w:t>
      </w:r>
    </w:p>
    <w:p>
      <w:pPr>
        <w:pStyle w:val="Roman2A"/>
        <w:rPr/>
      </w:pPr>
      <w:r>
        <w:rPr/>
      </w:r>
    </w:p>
    <w:p>
      <w:pPr>
        <w:pStyle w:val="Roman2A"/>
        <w:rPr/>
      </w:pPr>
      <w:r>
        <w:rPr/>
        <w:tab/>
        <w:t>3.</w:t>
        <w:tab/>
        <w:t xml:space="preserve">If the participant remembers additional medication(s) taken during the previous two weeks, the interviewer should record as much information about the medication as possible at the time of the visit and then follow up with a telephone interview to check for accuracy and completeness. </w:t>
      </w:r>
    </w:p>
    <w:p>
      <w:pPr>
        <w:pStyle w:val="Roman2A"/>
        <w:rPr/>
      </w:pPr>
      <w:r>
        <w:rPr/>
      </w:r>
    </w:p>
    <w:p>
      <w:pPr>
        <w:pStyle w:val="Roman2A"/>
        <w:rPr/>
      </w:pPr>
      <w:r>
        <w:rPr/>
        <w:tab/>
        <w:t>4.</w:t>
        <w:tab/>
        <w:t xml:space="preserve">If the medication containers are unavailable because the participant refuses to bring them to the clinic, the interviewer should document the reason for refusal in the Comment Section. The interviewer should then attempt to obtain the participant’s cooperation in obtaining the data, either by a second visit or by telephone. </w:t>
      </w:r>
    </w:p>
    <w:p>
      <w:pPr>
        <w:pStyle w:val="Roman2A"/>
        <w:rPr/>
      </w:pPr>
      <w:r>
        <w:rPr/>
      </w:r>
    </w:p>
    <w:p>
      <w:pPr>
        <w:pStyle w:val="Roman2A"/>
        <w:rPr/>
      </w:pPr>
      <w:r>
        <w:rPr/>
        <w:tab/>
        <w:t>5.</w:t>
        <w:tab/>
        <w:t xml:space="preserve">If the participant brings a list of medications, instead of the medication containers, record all pertinent information from the list and note this in the Comments Section. If the interviewer has any doubt about the accuracy of the list, a follow-up telephone call should be scheduled to confirm what has been recorded. </w:t>
      </w:r>
    </w:p>
    <w:p>
      <w:pPr>
        <w:pStyle w:val="Roman2A"/>
        <w:rPr/>
      </w:pPr>
      <w:r>
        <w:rPr/>
      </w:r>
    </w:p>
    <w:p>
      <w:pPr>
        <w:pStyle w:val="Roman2"/>
        <w:rPr/>
      </w:pPr>
      <w:r>
        <w:rPr/>
        <w:tab/>
        <w:t>B.</w:t>
        <w:tab/>
        <w:t>Prescription Medications</w:t>
      </w:r>
    </w:p>
    <w:p>
      <w:pPr>
        <w:pStyle w:val="Roman2A"/>
        <w:rPr/>
      </w:pPr>
      <w:r>
        <w:rPr/>
      </w:r>
    </w:p>
    <w:p>
      <w:pPr>
        <w:pStyle w:val="Roman2A"/>
        <w:rPr/>
      </w:pPr>
      <w:r>
        <w:rPr/>
        <w:tab/>
        <w:t>1.</w:t>
        <w:tab/>
        <w:t>The interviewer transcribes the name and dosage information from each medication container onto the Medications Form using the following guidelines:</w:t>
      </w:r>
    </w:p>
    <w:p>
      <w:pPr>
        <w:pStyle w:val="Roman2A"/>
        <w:rPr/>
      </w:pPr>
      <w:r>
        <w:rPr/>
      </w:r>
    </w:p>
    <w:p>
      <w:pPr>
        <w:pStyle w:val="Roman2A"/>
        <w:rPr/>
      </w:pPr>
      <w:r>
        <w:rPr/>
        <w:tab/>
        <w:t>2.</w:t>
        <w:tab/>
      </w:r>
      <w:r>
        <w:rPr>
          <w:u w:val="single"/>
        </w:rPr>
        <w:t>Medication name</w:t>
      </w:r>
      <w:r>
        <w:rPr/>
        <w:t xml:space="preserve">. Print complete medication name using block capital letters. Record all characters and numbers referring to strength. The name of each medication should be recorded </w:t>
      </w:r>
      <w:r>
        <w:rPr>
          <w:i/>
          <w:iCs/>
        </w:rPr>
        <w:t>exactly</w:t>
      </w:r>
      <w:r>
        <w:rPr/>
        <w:t xml:space="preserve"> as it is written on the container. Medication names that are misspelled or otherwise recorded incorrectly will cause data entry and analysis problems because they will not match the drug database. Do not record flavors of products or whether the preparations are sugar-free or sodium-free. If the medication name is longer than the 20 spaces available on the form, transcribe as much as possible and then record the complete medication name in the Comments Section. If it is not possible to transcribe the drug name, insert an asterisk (*) and explain in the Comments Section.</w:t>
      </w:r>
    </w:p>
    <w:p>
      <w:pPr>
        <w:pStyle w:val="Roman2A"/>
        <w:rPr/>
      </w:pPr>
      <w:r>
        <w:rPr/>
      </w:r>
    </w:p>
    <w:p>
      <w:pPr>
        <w:pStyle w:val="Roman2A"/>
        <w:rPr/>
      </w:pPr>
      <w:r>
        <w:rPr/>
        <w:tab/>
        <w:t>3.</w:t>
        <w:tab/>
      </w:r>
      <w:r>
        <w:rPr>
          <w:u w:val="single"/>
        </w:rPr>
        <w:t>Combination Medications</w:t>
      </w:r>
      <w:r>
        <w:rPr/>
        <w:t xml:space="preserve"> contain two or more drugs. Some combination medicines, such as Dyazide, come in only one fixed combination (hydrochlorothiazide 25mg and triamterene 50mg). These combination medicines do not usually list a strength. Record the name in the “Medication Name” space and leave the “Strength” column blank.</w:t>
      </w:r>
    </w:p>
    <w:p>
      <w:pPr>
        <w:pStyle w:val="Roman2A"/>
        <w:rPr/>
      </w:pPr>
      <w:r>
        <w:rPr/>
      </w:r>
    </w:p>
    <w:p>
      <w:pPr>
        <w:pStyle w:val="Roman2A"/>
        <w:rPr/>
      </w:pPr>
      <w:r>
        <w:rPr/>
        <w:tab/>
        <w:tab/>
        <w:t>Other combination medications are available in more than one fixed dose combination. For example, Inderide, which is a combination of propranolol and hydrochlorothiazide, is available as propranolol 40mg and hydrochlorothiazide 25mg, or propanolol 80mg and hydrochlorothiazide 25mg. These combination medications usually list the strength as in “Inderide 40/25" or “Inderide 80/25." For these medications, record the name in the “Medication Name” space and the strength combination (e.g., 40/25) in the “Strength” space.</w:t>
      </w:r>
    </w:p>
    <w:p>
      <w:pPr>
        <w:pStyle w:val="Roman2A"/>
        <w:rPr/>
      </w:pPr>
      <w:r>
        <w:rPr/>
        <w:t xml:space="preserve"> </w:t>
      </w:r>
    </w:p>
    <w:p>
      <w:pPr>
        <w:pStyle w:val="Roman2A"/>
        <w:rPr/>
      </w:pPr>
      <w:r>
        <w:rPr/>
        <w:tab/>
        <w:t>4.</w:t>
        <w:tab/>
      </w:r>
      <w:r>
        <w:rPr>
          <w:u w:val="single"/>
        </w:rPr>
        <w:t>Strength</w:t>
      </w:r>
      <w:r>
        <w:rPr/>
        <w:t>.</w:t>
      </w:r>
    </w:p>
    <w:p>
      <w:pPr>
        <w:pStyle w:val="Roman2A"/>
        <w:ind w:left="1710" w:hanging="180"/>
        <w:rPr>
          <w:sz w:val="22"/>
        </w:rPr>
      </w:pPr>
      <w:r>
        <w:rPr>
          <w:sz w:val="22"/>
        </w:rPr>
      </w:r>
    </w:p>
    <w:p>
      <w:pPr>
        <w:pStyle w:val="Roman2Abullet"/>
        <w:rPr/>
      </w:pPr>
      <w:r>
        <w:rPr>
          <w:rFonts w:eastAsia="Symbol" w:cs="Symbol" w:ascii="Symbol" w:hAnsi="Symbol"/>
        </w:rPr>
        <w:t></w:t>
      </w:r>
      <w:r>
        <w:rPr/>
        <w:tab/>
        <w:t>Record the strength of each medication in milligrams (mg) whenever possible, beginning with the first space on the left in the “Strength” column.</w:t>
      </w:r>
    </w:p>
    <w:p>
      <w:pPr>
        <w:pStyle w:val="Roman2Abullet"/>
        <w:rPr/>
      </w:pPr>
      <w:r>
        <w:rPr/>
      </w:r>
    </w:p>
    <w:p>
      <w:pPr>
        <w:pStyle w:val="Roman2Abullet"/>
        <w:rPr/>
      </w:pPr>
      <w:r>
        <w:rPr>
          <w:rFonts w:eastAsia="Symbol" w:cs="Symbol" w:ascii="Symbol" w:hAnsi="Symbol"/>
        </w:rPr>
        <w:t></w:t>
      </w:r>
      <w:r>
        <w:rPr/>
        <w:tab/>
        <w:t xml:space="preserve">When strength is in milligrams, </w:t>
      </w:r>
      <w:r>
        <w:rPr>
          <w:i/>
          <w:iCs/>
        </w:rPr>
        <w:t>do not</w:t>
      </w:r>
      <w:r>
        <w:rPr/>
        <w:t xml:space="preserve"> record the abbreviation “mg;” record </w:t>
      </w:r>
      <w:r>
        <w:rPr>
          <w:i/>
          <w:iCs/>
        </w:rPr>
        <w:t xml:space="preserve">only </w:t>
      </w:r>
      <w:r>
        <w:rPr/>
        <w:t>the amount of drug (e.g., if the strength is “250 mg,” record only “250”).</w:t>
      </w:r>
    </w:p>
    <w:p>
      <w:pPr>
        <w:pStyle w:val="Roman2Abullet"/>
        <w:rPr/>
      </w:pPr>
      <w:r>
        <w:rPr/>
      </w:r>
    </w:p>
    <w:p>
      <w:pPr>
        <w:pStyle w:val="Roman2Abullet"/>
        <w:rPr/>
      </w:pPr>
      <w:r>
        <w:rPr>
          <w:rFonts w:eastAsia="Symbol" w:cs="Symbol" w:ascii="Symbol" w:hAnsi="Symbol"/>
        </w:rPr>
        <w:t></w:t>
      </w:r>
      <w:r>
        <w:rPr/>
        <w:tab/>
        <w:t xml:space="preserve">When strength is not recorded as milligrams, record </w:t>
      </w:r>
      <w:r>
        <w:rPr>
          <w:i/>
          <w:iCs/>
        </w:rPr>
        <w:t>all</w:t>
      </w:r>
      <w:r>
        <w:rPr/>
        <w:t xml:space="preserve"> numbers, digits, and characters used to denote strength, including:</w:t>
      </w:r>
    </w:p>
    <w:p>
      <w:pPr>
        <w:pStyle w:val="Roman2Abullet"/>
        <w:rPr/>
      </w:pPr>
      <w:r>
        <w:rPr/>
        <w:tab/>
      </w:r>
    </w:p>
    <w:p>
      <w:pPr>
        <w:pStyle w:val="Roman2Abullet"/>
        <w:rPr/>
      </w:pPr>
      <w:r>
        <w:rPr/>
        <w:tab/>
        <w:t>- milliliter (ml)</w:t>
      </w:r>
    </w:p>
    <w:p>
      <w:pPr>
        <w:pStyle w:val="Roman2Abullet"/>
        <w:rPr/>
      </w:pPr>
      <w:r>
        <w:rPr/>
        <w:tab/>
        <w:t>- per milliliter (/ml)</w:t>
      </w:r>
    </w:p>
    <w:p>
      <w:pPr>
        <w:pStyle w:val="Roman2Abullet"/>
        <w:rPr/>
      </w:pPr>
      <w:r>
        <w:rPr/>
        <w:tab/>
        <w:t>- milliequivalent (mEq)</w:t>
      </w:r>
    </w:p>
    <w:p>
      <w:pPr>
        <w:pStyle w:val="Roman2Abullet"/>
        <w:rPr/>
      </w:pPr>
      <w:r>
        <w:rPr/>
        <w:tab/>
        <w:t>- hour (hr)</w:t>
      </w:r>
    </w:p>
    <w:p>
      <w:pPr>
        <w:pStyle w:val="Roman2Abullet"/>
        <w:rPr/>
      </w:pPr>
      <w:r>
        <w:rPr/>
        <w:tab/>
        <w:t>- per hour (/hr)</w:t>
      </w:r>
    </w:p>
    <w:p>
      <w:pPr>
        <w:pStyle w:val="Roman2Abullet"/>
        <w:rPr/>
      </w:pPr>
      <w:r>
        <w:rPr/>
        <w:tab/>
        <w:t>- percent (%)</w:t>
      </w:r>
    </w:p>
    <w:p>
      <w:pPr>
        <w:pStyle w:val="Roman2Abullet"/>
        <w:rPr/>
      </w:pPr>
      <w:r>
        <w:rPr/>
      </w:r>
    </w:p>
    <w:p>
      <w:pPr>
        <w:pStyle w:val="Roman2Abullet"/>
        <w:rPr/>
      </w:pPr>
      <w:r>
        <w:rPr>
          <w:rFonts w:eastAsia="Symbol" w:cs="Symbol" w:ascii="Symbol" w:hAnsi="Symbol"/>
        </w:rPr>
        <w:t></w:t>
      </w:r>
      <w:r>
        <w:rPr/>
        <w:tab/>
        <w:t>When strength is separated by a “/” (e.g.,  40/25, as in combination medications) record in this section.</w:t>
      </w:r>
    </w:p>
    <w:p>
      <w:pPr>
        <w:pStyle w:val="Roman2Abullet"/>
        <w:rPr/>
      </w:pPr>
      <w:r>
        <w:rPr/>
      </w:r>
    </w:p>
    <w:p>
      <w:pPr>
        <w:pStyle w:val="Roman2Abullet"/>
        <w:rPr/>
      </w:pPr>
      <w:r>
        <w:rPr>
          <w:rFonts w:eastAsia="Symbol" w:cs="Symbol" w:ascii="Symbol" w:hAnsi="Symbol"/>
        </w:rPr>
        <w:t></w:t>
      </w:r>
      <w:r>
        <w:rPr/>
        <w:tab/>
        <w:t xml:space="preserve">When strength is given in grains (gr), convert to milligrams using the following formula: (number of grains) x 65 = number of milligrams. (1 gr = 65 mg.) </w:t>
      </w:r>
    </w:p>
    <w:p>
      <w:pPr>
        <w:pStyle w:val="Roman2Abullet"/>
        <w:rPr/>
      </w:pPr>
      <w:r>
        <w:rPr/>
        <w:t xml:space="preserve">                      </w:t>
      </w:r>
    </w:p>
    <w:p>
      <w:pPr>
        <w:pStyle w:val="Roman2Abullet"/>
        <w:rPr/>
      </w:pPr>
      <w:r>
        <w:rPr>
          <w:rFonts w:eastAsia="Symbol" w:cs="Symbol" w:ascii="Symbol" w:hAnsi="Symbol"/>
        </w:rPr>
        <w:t></w:t>
      </w:r>
      <w:r>
        <w:rPr/>
        <w:tab/>
        <w:t xml:space="preserve">When strength is given in micrograms (mcg or µg), convert to milligrams using the following formula: (number of micrograms) </w:t>
      </w:r>
      <w:r>
        <w:rPr>
          <w:rFonts w:eastAsia="Symbol" w:cs="Symbol" w:ascii="Symbol" w:hAnsi="Symbol"/>
        </w:rPr>
        <w:t></w:t>
      </w:r>
      <w:r>
        <w:rPr/>
        <w:t xml:space="preserve"> 1000 = number of milligrams. (1000 mcg = 1 mg.)</w:t>
      </w:r>
    </w:p>
    <w:p>
      <w:pPr>
        <w:pStyle w:val="Roman2Abullet"/>
        <w:rPr/>
      </w:pPr>
      <w:r>
        <w:rPr/>
      </w:r>
    </w:p>
    <w:p>
      <w:pPr>
        <w:pStyle w:val="Roman2Abullet"/>
        <w:rPr/>
      </w:pPr>
      <w:r>
        <w:rPr>
          <w:rFonts w:eastAsia="Symbol" w:cs="Symbol" w:ascii="Symbol" w:hAnsi="Symbol"/>
        </w:rPr>
        <w:t></w:t>
      </w:r>
      <w:r>
        <w:rPr/>
        <w:tab/>
        <w:t>When strength is given in milligrams per milliliter (mg/ml), as is often the case with liquid medicine, record as in the following example: Ampicillin 125 mg / 5 ml is recorded as “125/5 ml.” (Note omission of  “mg.”)</w:t>
      </w:r>
    </w:p>
    <w:p>
      <w:pPr>
        <w:pStyle w:val="Roman2Abullet"/>
        <w:rPr/>
      </w:pPr>
      <w:r>
        <w:rPr/>
        <w:t xml:space="preserve">                            </w:t>
      </w:r>
    </w:p>
    <w:p>
      <w:pPr>
        <w:pStyle w:val="Roman2Abullet"/>
        <w:rPr/>
      </w:pPr>
      <w:r>
        <w:rPr>
          <w:rFonts w:eastAsia="Symbol" w:cs="Symbol" w:ascii="Symbol" w:hAnsi="Symbol"/>
        </w:rPr>
        <w:t></w:t>
      </w:r>
      <w:r>
        <w:rPr/>
        <w:tab/>
        <w:t>When strength is given as a percentage (%), record as such.</w:t>
      </w:r>
    </w:p>
    <w:p>
      <w:pPr>
        <w:pStyle w:val="Roman2Abullet"/>
        <w:rPr/>
      </w:pPr>
      <w:r>
        <w:rPr/>
      </w:r>
    </w:p>
    <w:p>
      <w:pPr>
        <w:pStyle w:val="Roman2Abullet"/>
        <w:rPr/>
      </w:pPr>
      <w:r>
        <w:rPr>
          <w:rFonts w:eastAsia="Symbol" w:cs="Symbol" w:ascii="Symbol" w:hAnsi="Symbol"/>
        </w:rPr>
        <w:t></w:t>
      </w:r>
      <w:r>
        <w:rPr/>
        <w:tab/>
        <w:t xml:space="preserve">When strength is given in units (U) or units/milliliter (U/ml), as is often the case with Insulin, record as in the following examples:  “100/ml” or “100U/ml.” </w:t>
      </w:r>
    </w:p>
    <w:p>
      <w:pPr>
        <w:pStyle w:val="Roman2Abullet"/>
        <w:rPr/>
      </w:pPr>
      <w:r>
        <w:rPr/>
      </w:r>
    </w:p>
    <w:p>
      <w:pPr>
        <w:pStyle w:val="Roman2Abullet"/>
        <w:rPr/>
      </w:pPr>
      <w:r>
        <w:rPr>
          <w:rFonts w:eastAsia="Symbol" w:cs="Symbol" w:ascii="Symbol" w:hAnsi="Symbol"/>
        </w:rPr>
        <w:t></w:t>
      </w:r>
      <w:r>
        <w:rPr/>
        <w:tab/>
        <w:t>When it is not possible to record the strength, such as when it is not recorded on the medication label, record an asterisk (*) and explain in the Comments Section.</w:t>
      </w:r>
    </w:p>
    <w:p>
      <w:pPr>
        <w:pStyle w:val="Roman2Abullet"/>
        <w:rPr/>
      </w:pPr>
      <w:r>
        <w:rPr/>
      </w:r>
    </w:p>
    <w:p>
      <w:pPr>
        <w:pStyle w:val="Roman2Abullet"/>
        <w:rPr/>
      </w:pPr>
      <w:r>
        <w:rPr>
          <w:rFonts w:eastAsia="Symbol" w:cs="Symbol" w:ascii="Symbol" w:hAnsi="Symbol"/>
        </w:rPr>
        <w:t></w:t>
      </w:r>
      <w:r>
        <w:rPr/>
        <w:tab/>
        <w:t>Note: Do not record in the “Strength” column the number or quantity of medication items (e.g., number of tablets or tablespoons). See “Number Prescribed,” below.</w:t>
      </w:r>
    </w:p>
    <w:p>
      <w:pPr>
        <w:pStyle w:val="Normal"/>
        <w:rPr/>
      </w:pPr>
      <w:r>
        <w:rPr/>
      </w:r>
    </w:p>
    <w:p>
      <w:pPr>
        <w:pStyle w:val="Roman2A"/>
        <w:rPr>
          <w:u w:val="single"/>
        </w:rPr>
      </w:pPr>
      <w:r>
        <w:rPr/>
        <w:tab/>
        <w:t>5.</w:t>
        <w:tab/>
      </w:r>
      <w:r>
        <w:rPr>
          <w:u w:val="single"/>
        </w:rPr>
        <w:t>Number Prescribed</w:t>
      </w:r>
      <w:r>
        <w:rPr/>
        <w:t xml:space="preserve">. This column is designed to capture information on the number of pills (or milliliters, drops, units, etc) </w:t>
      </w:r>
      <w:r>
        <w:rPr>
          <w:i/>
        </w:rPr>
        <w:t>prescribed</w:t>
      </w:r>
      <w:r>
        <w:rPr/>
        <w:t xml:space="preserve"> as opposed to the number actually taken.  Information on the number prescribed should be taken from the medication labels.</w:t>
      </w:r>
    </w:p>
    <w:p>
      <w:pPr>
        <w:pStyle w:val="Roman2A"/>
        <w:rPr>
          <w:u w:val="single"/>
        </w:rPr>
      </w:pPr>
      <w:r>
        <w:rPr>
          <w:u w:val="single"/>
        </w:rPr>
      </w:r>
    </w:p>
    <w:p>
      <w:pPr>
        <w:pStyle w:val="Roman2Abullet"/>
        <w:rPr/>
      </w:pPr>
      <w:r>
        <w:rPr>
          <w:rFonts w:eastAsia="Symbol" w:cs="Symbol" w:ascii="Symbol" w:hAnsi="Symbol"/>
        </w:rPr>
        <w:t></w:t>
      </w:r>
      <w:r>
        <w:rPr/>
        <w:tab/>
        <w:t>Record the total number of medication items (e.g., “tablets”) prescribed per the given time period (e.g., day, week, or month). Circle the appropriate letter in the “Number Prescribed” column to show whether the prescribed number is per day (D), per week (W), or per month (M).</w:t>
      </w:r>
    </w:p>
    <w:p>
      <w:pPr>
        <w:pStyle w:val="Roman2Abullet"/>
        <w:rPr/>
      </w:pPr>
      <w:r>
        <w:rPr/>
      </w:r>
    </w:p>
    <w:p>
      <w:pPr>
        <w:pStyle w:val="Roman2Abullet"/>
        <w:rPr/>
      </w:pPr>
      <w:r>
        <w:rPr>
          <w:rFonts w:eastAsia="Symbol" w:cs="Symbol" w:ascii="Symbol" w:hAnsi="Symbol"/>
        </w:rPr>
        <w:t></w:t>
      </w:r>
      <w:r>
        <w:rPr/>
        <w:tab/>
        <w:t>If the instructions include a range in the number of medication items and/or times/day (or week or month) they are to be taken, record the lowest number of each. For example, if the label says, “take 1–2 tablets 3–4 times per day,” record as “3 tablets/day” (i.e., 1 tablet 3 times/day = 3 tablets/day); or, if the label says, “take 1–2 tablets every 4 hours while awake,” record as “5 tablets/day” (i.e., 1 tablet every 4 hours from 7 a.m. to 11 p.m.).</w:t>
      </w:r>
    </w:p>
    <w:p>
      <w:pPr>
        <w:pStyle w:val="Roman2Abullet"/>
        <w:rPr/>
      </w:pPr>
      <w:r>
        <w:rPr/>
        <w:t xml:space="preserve"> </w:t>
      </w:r>
    </w:p>
    <w:p>
      <w:pPr>
        <w:pStyle w:val="Roman2Abullet"/>
        <w:rPr/>
      </w:pPr>
      <w:r>
        <w:rPr>
          <w:rFonts w:eastAsia="Symbol" w:cs="Symbol" w:ascii="Symbol" w:hAnsi="Symbol"/>
        </w:rPr>
        <w:t></w:t>
      </w:r>
      <w:r>
        <w:rPr/>
        <w:tab/>
        <w:t>When it is not possible to record the number of medication items prescribed per day, record an asterisk (*) and explain in the Comments Section.</w:t>
      </w:r>
    </w:p>
    <w:p>
      <w:pPr>
        <w:pStyle w:val="Roman2Abullet"/>
        <w:rPr/>
      </w:pPr>
      <w:r>
        <w:rPr/>
      </w:r>
    </w:p>
    <w:p>
      <w:pPr>
        <w:pStyle w:val="Roman2Abullet"/>
        <w:rPr/>
      </w:pPr>
      <w:r>
        <w:rPr>
          <w:rFonts w:eastAsia="Symbol" w:cs="Symbol" w:ascii="Symbol" w:hAnsi="Symbol"/>
        </w:rPr>
        <w:t></w:t>
      </w:r>
      <w:r>
        <w:rPr/>
        <w:tab/>
        <w:t>When instructions read “take as directed,” record “1” as the number prescribed per day.</w:t>
      </w:r>
    </w:p>
    <w:p>
      <w:pPr>
        <w:pStyle w:val="Roman2Abullet"/>
        <w:rPr/>
      </w:pPr>
      <w:r>
        <w:rPr/>
      </w:r>
    </w:p>
    <w:p>
      <w:pPr>
        <w:pStyle w:val="Roman2Abullet"/>
        <w:rPr/>
      </w:pPr>
      <w:r>
        <w:rPr>
          <w:rFonts w:eastAsia="Symbol" w:cs="Symbol" w:ascii="Symbol" w:hAnsi="Symbol"/>
        </w:rPr>
        <w:t></w:t>
      </w:r>
      <w:r>
        <w:rPr/>
        <w:tab/>
        <w:t xml:space="preserve">When dosing instructions are complex (e.g., “take 1 pill every other day, alternating with 2 pills every other day”), record the </w:t>
      </w:r>
      <w:r>
        <w:rPr>
          <w:i/>
          <w:iCs/>
        </w:rPr>
        <w:t>average</w:t>
      </w:r>
      <w:r>
        <w:rPr/>
        <w:t xml:space="preserve"> number per day (or week or month).</w:t>
      </w:r>
    </w:p>
    <w:p>
      <w:pPr>
        <w:pStyle w:val="Roman2Abullet"/>
        <w:rPr/>
      </w:pPr>
      <w:r>
        <w:rPr/>
      </w:r>
    </w:p>
    <w:p>
      <w:pPr>
        <w:pStyle w:val="Roman2A"/>
        <w:rPr/>
      </w:pPr>
      <w:r>
        <w:rPr/>
        <w:tab/>
        <w:t>6.</w:t>
        <w:tab/>
      </w:r>
      <w:r>
        <w:rPr>
          <w:u w:val="single"/>
        </w:rPr>
        <w:t>Number Prescribed: Specific Medications</w:t>
      </w:r>
      <w:r>
        <w:rPr/>
        <w:t>.</w:t>
      </w:r>
    </w:p>
    <w:p>
      <w:pPr>
        <w:pStyle w:val="Roman2Abullet"/>
        <w:rPr/>
      </w:pPr>
      <w:r>
        <w:rPr/>
      </w:r>
    </w:p>
    <w:p>
      <w:pPr>
        <w:pStyle w:val="Roman2Abullet"/>
        <w:rPr/>
      </w:pPr>
      <w:r>
        <w:rPr>
          <w:rFonts w:eastAsia="Symbol" w:cs="Symbol" w:ascii="Symbol" w:hAnsi="Symbol"/>
        </w:rPr>
        <w:t></w:t>
      </w:r>
      <w:r>
        <w:rPr/>
        <w:tab/>
      </w:r>
      <w:r>
        <w:rPr>
          <w:u w:val="single"/>
        </w:rPr>
        <w:t>Pill/Tablets/Capsules</w:t>
      </w:r>
      <w:r>
        <w:rPr/>
        <w:t>: Record the total number prescribed per day (or week or month).</w:t>
      </w:r>
    </w:p>
    <w:p>
      <w:pPr>
        <w:pStyle w:val="Roman2Abullet"/>
        <w:rPr/>
      </w:pPr>
      <w:r>
        <w:rPr/>
      </w:r>
    </w:p>
    <w:p>
      <w:pPr>
        <w:pStyle w:val="Roman2Abullet"/>
        <w:rPr/>
      </w:pPr>
      <w:r>
        <w:rPr>
          <w:rFonts w:eastAsia="Symbol" w:cs="Symbol" w:ascii="Symbol" w:hAnsi="Symbol"/>
        </w:rPr>
        <w:t></w:t>
      </w:r>
      <w:r>
        <w:rPr/>
        <w:tab/>
      </w:r>
      <w:r>
        <w:rPr>
          <w:u w:val="single"/>
        </w:rPr>
        <w:t>Solutions</w:t>
      </w:r>
      <w:r>
        <w:rPr/>
        <w:t>: Record the total number of milliliters prescribed per day (or week or month). Use the following conversions:</w:t>
      </w:r>
    </w:p>
    <w:p>
      <w:pPr>
        <w:pStyle w:val="Roman2Abullet"/>
        <w:rPr/>
      </w:pPr>
      <w:r>
        <w:rPr/>
        <w:t>- 1 teaspoon = 5 ml</w:t>
      </w:r>
    </w:p>
    <w:p>
      <w:pPr>
        <w:pStyle w:val="Roman2Abullet"/>
        <w:rPr/>
      </w:pPr>
      <w:r>
        <w:rPr/>
        <w:t>- 1 tablespoon = 15 ml</w:t>
      </w:r>
    </w:p>
    <w:p>
      <w:pPr>
        <w:pStyle w:val="Roman2Abullet"/>
        <w:rPr/>
      </w:pPr>
      <w:r>
        <w:rPr/>
        <w:t>- 1 ounce  = 30 ml</w:t>
        <w:tab/>
      </w:r>
    </w:p>
    <w:p>
      <w:pPr>
        <w:pStyle w:val="Roman2Abullet"/>
        <w:rPr/>
      </w:pPr>
      <w:r>
        <w:rPr/>
      </w:r>
    </w:p>
    <w:p>
      <w:pPr>
        <w:pStyle w:val="Roman2Abullet"/>
        <w:rPr/>
      </w:pPr>
      <w:r>
        <w:rPr>
          <w:rFonts w:eastAsia="Symbol" w:cs="Symbol" w:ascii="Symbol" w:hAnsi="Symbol"/>
        </w:rPr>
        <w:t></w:t>
      </w:r>
      <w:r>
        <w:rPr/>
        <w:tab/>
      </w:r>
      <w:r>
        <w:rPr>
          <w:u w:val="single"/>
        </w:rPr>
        <w:t>Eye Drops</w:t>
      </w:r>
      <w:r>
        <w:rPr/>
        <w:t>: Record the total number of drops prescribed per day (or week or month). For example, “two drops in right eye, three times a day” = 6 drops, or “one drop in each eye, twice a day” = 4 drops.</w:t>
      </w:r>
    </w:p>
    <w:p>
      <w:pPr>
        <w:pStyle w:val="Roman2Abullet"/>
        <w:rPr/>
      </w:pPr>
      <w:r>
        <w:rPr/>
      </w:r>
    </w:p>
    <w:p>
      <w:pPr>
        <w:pStyle w:val="Roman2Abullet"/>
        <w:rPr/>
      </w:pPr>
      <w:r>
        <w:rPr>
          <w:rFonts w:eastAsia="Symbol" w:cs="Symbol" w:ascii="Symbol" w:hAnsi="Symbol"/>
        </w:rPr>
        <w:t></w:t>
      </w:r>
      <w:r>
        <w:rPr/>
        <w:tab/>
      </w:r>
      <w:r>
        <w:rPr>
          <w:u w:val="single"/>
        </w:rPr>
        <w:t>Inhalers</w:t>
      </w:r>
      <w:r>
        <w:rPr/>
        <w:t>: Record the total number of sprays or puffs prescribed per day (or week or month).</w:t>
      </w:r>
    </w:p>
    <w:p>
      <w:pPr>
        <w:pStyle w:val="Roman2Abullet"/>
        <w:rPr/>
      </w:pPr>
      <w:r>
        <w:rPr/>
      </w:r>
    </w:p>
    <w:p>
      <w:pPr>
        <w:pStyle w:val="Roman2Abullet"/>
        <w:rPr/>
      </w:pPr>
      <w:r>
        <w:rPr>
          <w:rFonts w:eastAsia="Symbol" w:cs="Symbol" w:ascii="Symbol" w:hAnsi="Symbol"/>
        </w:rPr>
        <w:t></w:t>
      </w:r>
      <w:r>
        <w:rPr/>
        <w:tab/>
      </w:r>
      <w:r>
        <w:rPr>
          <w:u w:val="single"/>
        </w:rPr>
        <w:t>Insulin</w:t>
      </w:r>
      <w:r>
        <w:rPr/>
        <w:t>: Record the total number of units injected per day  (or week or month).</w:t>
      </w:r>
    </w:p>
    <w:p>
      <w:pPr>
        <w:pStyle w:val="Roman2Abullet"/>
        <w:rPr/>
      </w:pPr>
      <w:r>
        <w:rPr/>
      </w:r>
    </w:p>
    <w:p>
      <w:pPr>
        <w:pStyle w:val="Roman2Abullet"/>
        <w:rPr/>
      </w:pPr>
      <w:r>
        <w:rPr>
          <w:rFonts w:eastAsia="Symbol" w:cs="Symbol" w:ascii="Symbol" w:hAnsi="Symbol"/>
        </w:rPr>
        <w:t></w:t>
      </w:r>
      <w:r>
        <w:rPr/>
        <w:tab/>
      </w:r>
      <w:r>
        <w:rPr>
          <w:u w:val="single"/>
        </w:rPr>
        <w:t>Creams/Lotions/Ointments</w:t>
      </w:r>
      <w:r>
        <w:rPr/>
        <w:t>: Record the total number of applications prescribed per day (or week or month).</w:t>
      </w:r>
    </w:p>
    <w:p>
      <w:pPr>
        <w:pStyle w:val="Roman2Abullet"/>
        <w:rPr/>
      </w:pPr>
      <w:r>
        <w:rPr/>
      </w:r>
    </w:p>
    <w:p>
      <w:pPr>
        <w:pStyle w:val="Roman2Abullet"/>
        <w:rPr/>
      </w:pPr>
      <w:r>
        <w:rPr>
          <w:rFonts w:eastAsia="Symbol" w:cs="Symbol" w:ascii="Symbol" w:hAnsi="Symbol"/>
        </w:rPr>
        <w:t></w:t>
      </w:r>
      <w:r>
        <w:rPr/>
        <w:tab/>
      </w:r>
      <w:r>
        <w:rPr>
          <w:u w:val="single"/>
        </w:rPr>
        <w:t>Patches</w:t>
      </w:r>
      <w:r>
        <w:rPr/>
        <w:t>: Record the total number to be applied to the skin per day (or week or month).</w:t>
      </w:r>
    </w:p>
    <w:p>
      <w:pPr>
        <w:pStyle w:val="Roman2Abullet"/>
        <w:rPr/>
      </w:pPr>
      <w:r>
        <w:rPr/>
      </w:r>
    </w:p>
    <w:p>
      <w:pPr>
        <w:pStyle w:val="Roman2Abullet"/>
        <w:rPr/>
      </w:pPr>
      <w:r>
        <w:rPr>
          <w:rFonts w:eastAsia="Symbol" w:cs="Symbol" w:ascii="Symbol" w:hAnsi="Symbol"/>
        </w:rPr>
        <w:t></w:t>
      </w:r>
      <w:r>
        <w:rPr/>
        <w:tab/>
      </w:r>
      <w:r>
        <w:rPr>
          <w:u w:val="single"/>
        </w:rPr>
        <w:t>Nitroglycerin Ointment</w:t>
      </w:r>
      <w:r>
        <w:rPr/>
        <w:t>: Record the total number of inches to be applied to the skin per day (or week or month).</w:t>
      </w:r>
    </w:p>
    <w:p>
      <w:pPr>
        <w:pStyle w:val="Roman2Abullet"/>
        <w:rPr/>
      </w:pPr>
      <w:r>
        <w:rPr/>
      </w:r>
    </w:p>
    <w:p>
      <w:pPr>
        <w:pStyle w:val="Roman2A"/>
        <w:rPr/>
      </w:pPr>
      <w:r>
        <w:rPr/>
        <w:tab/>
        <w:t>7.</w:t>
        <w:tab/>
      </w:r>
      <w:r>
        <w:rPr>
          <w:u w:val="single"/>
        </w:rPr>
        <w:t>PRN (“as needed”) Medication</w:t>
      </w:r>
      <w:r>
        <w:rPr/>
        <w:t xml:space="preserve"> is generally used for allergy, pain, or sleep; sublingual nitroglycerin is also used PRN.</w:t>
      </w:r>
    </w:p>
    <w:p>
      <w:pPr>
        <w:pStyle w:val="Roman2Abullet"/>
        <w:rPr/>
      </w:pPr>
      <w:r>
        <w:rPr/>
      </w:r>
    </w:p>
    <w:p>
      <w:pPr>
        <w:pStyle w:val="Roman2Abullet"/>
        <w:rPr/>
      </w:pPr>
      <w:r>
        <w:rPr>
          <w:rFonts w:eastAsia="Symbol" w:cs="Symbol" w:ascii="Symbol" w:hAnsi="Symbol"/>
        </w:rPr>
        <w:t></w:t>
      </w:r>
      <w:r>
        <w:rPr/>
        <w:tab/>
        <w:t>Record in the “PRN Medicine?” column whether the medication is prescribed to be taken on an “as needed” basis.</w:t>
      </w:r>
    </w:p>
    <w:p>
      <w:pPr>
        <w:pStyle w:val="Roman2Abullet"/>
        <w:rPr/>
      </w:pPr>
      <w:r>
        <w:rPr/>
      </w:r>
    </w:p>
    <w:p>
      <w:pPr>
        <w:pStyle w:val="Roman2Abullet"/>
        <w:rPr/>
      </w:pPr>
      <w:r>
        <w:rPr>
          <w:rFonts w:eastAsia="Symbol" w:cs="Symbol" w:ascii="Symbol" w:hAnsi="Symbol"/>
        </w:rPr>
        <w:t></w:t>
      </w:r>
      <w:r>
        <w:rPr/>
        <w:tab/>
        <w:t>Circle “Y” only when the prescription instructions state “as needed,” “when needed,” “if needed,” etc.</w:t>
      </w:r>
    </w:p>
    <w:p>
      <w:pPr>
        <w:pStyle w:val="Roman2Abullet"/>
        <w:rPr/>
      </w:pPr>
      <w:r>
        <w:rPr/>
      </w:r>
    </w:p>
    <w:p>
      <w:pPr>
        <w:pStyle w:val="Roman2Abullet"/>
        <w:rPr/>
      </w:pPr>
      <w:r>
        <w:rPr>
          <w:rFonts w:eastAsia="Symbol" w:cs="Symbol" w:ascii="Symbol" w:hAnsi="Symbol"/>
        </w:rPr>
        <w:t></w:t>
      </w:r>
      <w:r>
        <w:rPr/>
        <w:tab/>
        <w:t xml:space="preserve">Circle “N” when the prescription instructions do </w:t>
      </w:r>
      <w:r>
        <w:rPr>
          <w:i/>
          <w:iCs/>
        </w:rPr>
        <w:t>not</w:t>
      </w:r>
      <w:r>
        <w:rPr/>
        <w:t xml:space="preserve"> use the words “as needed,” “when needed,” “if needed,” etc.</w:t>
      </w:r>
    </w:p>
    <w:p>
      <w:pPr>
        <w:pStyle w:val="Roman2Abullet"/>
        <w:rPr/>
      </w:pPr>
      <w:r>
        <w:rPr/>
        <w:t xml:space="preserve"> </w:t>
      </w:r>
    </w:p>
    <w:p>
      <w:pPr>
        <w:pStyle w:val="Roman2Abullet"/>
        <w:rPr/>
      </w:pPr>
      <w:r>
        <w:rPr>
          <w:rFonts w:eastAsia="Symbol" w:cs="Symbol" w:ascii="Symbol" w:hAnsi="Symbol"/>
        </w:rPr>
        <w:t></w:t>
      </w:r>
      <w:r>
        <w:rPr/>
        <w:tab/>
        <w:t>The words “as directed” do</w:t>
      </w:r>
      <w:r>
        <w:rPr>
          <w:i/>
          <w:iCs/>
        </w:rPr>
        <w:t xml:space="preserve"> not</w:t>
      </w:r>
      <w:r>
        <w:rPr/>
        <w:t xml:space="preserve"> mean the same as “as needed.”</w:t>
      </w:r>
    </w:p>
    <w:p>
      <w:pPr>
        <w:pStyle w:val="Roman2Abullet"/>
        <w:rPr/>
      </w:pPr>
      <w:r>
        <w:rPr/>
      </w:r>
    </w:p>
    <w:p>
      <w:pPr>
        <w:pStyle w:val="Roman2A"/>
        <w:rPr/>
      </w:pPr>
      <w:r>
        <w:rPr/>
        <w:tab/>
        <w:t>8.</w:t>
        <w:tab/>
        <w:t xml:space="preserve">Number Taken. This column is designed to capture information on the number of pills (or milliliters, drops, units, etc) </w:t>
      </w:r>
      <w:r>
        <w:rPr>
          <w:i/>
        </w:rPr>
        <w:t>actually taken</w:t>
      </w:r>
      <w:r>
        <w:rPr/>
        <w:t xml:space="preserve"> as opposed to the number prescribed.  Information on the number </w:t>
      </w:r>
      <w:r>
        <w:rPr>
          <w:i/>
        </w:rPr>
        <w:t>actually taken</w:t>
      </w:r>
      <w:r>
        <w:rPr/>
        <w:t xml:space="preserve"> should come directly from the participant.  People do not always take their medications as prescribed.  It is important to record information about both the number prescribed and the number actually taken as accurately as possible.</w:t>
      </w:r>
    </w:p>
    <w:p>
      <w:pPr>
        <w:pStyle w:val="Roman2Abullet"/>
        <w:rPr/>
      </w:pPr>
      <w:r>
        <w:rPr/>
      </w:r>
    </w:p>
    <w:p>
      <w:pPr>
        <w:pStyle w:val="Roman2Abullet"/>
        <w:rPr/>
      </w:pPr>
      <w:r>
        <w:rPr>
          <w:rFonts w:eastAsia="Symbol" w:cs="Symbol" w:ascii="Symbol" w:hAnsi="Symbol"/>
        </w:rPr>
        <w:t></w:t>
      </w:r>
      <w:r>
        <w:rPr/>
        <w:tab/>
        <w:t xml:space="preserve">Ask the participant, </w:t>
      </w:r>
      <w:r>
        <w:rPr>
          <w:rFonts w:cs="Arial;Arial" w:ascii="Arial;Arial" w:hAnsi="Arial;Arial"/>
          <w:b/>
          <w:bCs/>
          <w:sz w:val="20"/>
        </w:rPr>
        <w:t>“On average during the last two weeks, how many of these pills (or other medication items) did you take per day (or week or month).”</w:t>
      </w:r>
    </w:p>
    <w:p>
      <w:pPr>
        <w:pStyle w:val="Roman2Abullet"/>
        <w:rPr>
          <w:rFonts w:ascii="Arial;Arial" w:hAnsi="Arial;Arial" w:cs="Arial;Arial"/>
          <w:b/>
          <w:b/>
          <w:bCs/>
          <w:sz w:val="20"/>
        </w:rPr>
      </w:pPr>
      <w:r>
        <w:rPr>
          <w:rFonts w:cs="Arial;Arial" w:ascii="Arial;Arial" w:hAnsi="Arial;Arial"/>
          <w:b/>
          <w:bCs/>
          <w:sz w:val="20"/>
        </w:rPr>
      </w:r>
    </w:p>
    <w:p>
      <w:pPr>
        <w:pStyle w:val="Roman2Abullet"/>
        <w:rPr/>
      </w:pPr>
      <w:r>
        <w:rPr>
          <w:rFonts w:eastAsia="Symbol" w:cs="Symbol" w:ascii="Symbol" w:hAnsi="Symbol"/>
        </w:rPr>
        <w:t></w:t>
      </w:r>
      <w:r>
        <w:rPr/>
        <w:tab/>
        <w:t>Record the average number of pills (or other medication items) taken per day (or week or month) during the last two weeks.</w:t>
      </w:r>
    </w:p>
    <w:p>
      <w:pPr>
        <w:pStyle w:val="Roman2Abullet"/>
        <w:rPr/>
      </w:pPr>
      <w:r>
        <w:rPr/>
      </w:r>
    </w:p>
    <w:p>
      <w:pPr>
        <w:pStyle w:val="Roman2Abullet"/>
        <w:rPr/>
      </w:pPr>
      <w:r>
        <w:rPr>
          <w:rFonts w:eastAsia="Symbol" w:cs="Symbol" w:ascii="Symbol" w:hAnsi="Symbol"/>
        </w:rPr>
        <w:t></w:t>
      </w:r>
      <w:r>
        <w:rPr/>
        <w:tab/>
        <w:t>Code “0” if none of the medication items was taken during the previous two weeks. This includes instances in which a prescription was filled but none of the medication was taken during the past 2 weeks.</w:t>
      </w:r>
    </w:p>
    <w:p>
      <w:pPr>
        <w:pStyle w:val="Roman2Abullet"/>
        <w:rPr/>
      </w:pPr>
      <w:r>
        <w:rPr/>
      </w:r>
    </w:p>
    <w:p>
      <w:pPr>
        <w:pStyle w:val="Roman2Abullet"/>
        <w:rPr/>
      </w:pPr>
      <w:r>
        <w:rPr>
          <w:rFonts w:eastAsia="Symbol" w:cs="Symbol" w:ascii="Symbol" w:hAnsi="Symbol"/>
        </w:rPr>
        <w:t></w:t>
      </w:r>
      <w:r>
        <w:rPr/>
        <w:tab/>
        <w:t>When the number taken cannot be determined, record two asterisks (**) and explain in the Comments Section.</w:t>
      </w:r>
    </w:p>
    <w:p>
      <w:pPr>
        <w:pStyle w:val="Roman2Abullet"/>
        <w:rPr/>
      </w:pPr>
      <w:r>
        <w:rPr/>
      </w:r>
    </w:p>
    <w:p>
      <w:pPr>
        <w:pStyle w:val="Roman2Abullet"/>
        <w:rPr/>
      </w:pPr>
      <w:r>
        <w:rPr>
          <w:rFonts w:eastAsia="Symbol" w:cs="Symbol" w:ascii="Symbol" w:hAnsi="Symbol"/>
        </w:rPr>
        <w:t></w:t>
      </w:r>
      <w:r>
        <w:rPr/>
        <w:tab/>
        <w:t>Circle the appropriate letter (D, W, M) to show whether the prescribed medication was taken per day, per week, or per month.</w:t>
      </w:r>
    </w:p>
    <w:p>
      <w:pPr>
        <w:pStyle w:val="Roman2Abullet"/>
        <w:rPr/>
      </w:pPr>
      <w:r>
        <w:rPr/>
      </w:r>
    </w:p>
    <w:p>
      <w:pPr>
        <w:pStyle w:val="Roman2"/>
        <w:rPr/>
      </w:pPr>
      <w:r>
        <w:rPr/>
        <w:tab/>
        <w:t>C.</w:t>
        <w:tab/>
        <w:t>Over-the-Counter Medications</w:t>
      </w:r>
    </w:p>
    <w:p>
      <w:pPr>
        <w:pStyle w:val="Normal"/>
        <w:rPr/>
      </w:pPr>
      <w:r>
        <w:rPr/>
      </w:r>
    </w:p>
    <w:p>
      <w:pPr>
        <w:pStyle w:val="Roman2"/>
        <w:rPr/>
      </w:pPr>
      <w:r>
        <w:rPr/>
        <w:tab/>
        <w:tab/>
      </w:r>
      <w:r>
        <w:rPr>
          <w:b w:val="false"/>
          <w:bCs w:val="false"/>
        </w:rPr>
        <w:t>Complete this section following instructions for Section B, above, but disregarding the instructions pertaining to  “Number Prescribed” and “PRN Medication.”</w:t>
      </w:r>
    </w:p>
    <w:p>
      <w:pPr>
        <w:pStyle w:val="Roman2"/>
        <w:rPr>
          <w:b w:val="false"/>
          <w:b w:val="false"/>
          <w:bCs w:val="false"/>
        </w:rPr>
      </w:pPr>
      <w:r>
        <w:rPr>
          <w:b w:val="false"/>
          <w:bCs w:val="false"/>
        </w:rPr>
      </w:r>
    </w:p>
    <w:p>
      <w:pPr>
        <w:pStyle w:val="Roman2"/>
        <w:rPr/>
      </w:pPr>
      <w:r>
        <w:rPr>
          <w:b w:val="false"/>
          <w:bCs w:val="false"/>
        </w:rPr>
        <w:tab/>
      </w:r>
      <w:r>
        <w:rPr/>
        <w:t>D.</w:t>
        <w:tab/>
        <w:t>Chinese and Other Traditional Medicines</w:t>
      </w:r>
    </w:p>
    <w:p>
      <w:pPr>
        <w:pStyle w:val="Roman2"/>
        <w:rPr/>
      </w:pPr>
      <w:r>
        <w:rPr/>
      </w:r>
    </w:p>
    <w:p>
      <w:pPr>
        <w:pStyle w:val="Roman2"/>
        <w:rPr/>
      </w:pPr>
      <w:r>
        <w:rPr/>
        <w:tab/>
        <w:tab/>
      </w:r>
      <w:r>
        <w:rPr>
          <w:b w:val="false"/>
          <w:bCs w:val="false"/>
        </w:rPr>
        <w:t xml:space="preserve">Whenever possible, record traditional medicines in the usual way, according to MOP protocol. If this is not possible, record the </w:t>
      </w:r>
      <w:r>
        <w:rPr>
          <w:b w:val="false"/>
          <w:bCs w:val="false"/>
          <w:i/>
          <w:iCs/>
        </w:rPr>
        <w:t xml:space="preserve">purpose </w:t>
      </w:r>
      <w:r>
        <w:rPr>
          <w:b w:val="false"/>
          <w:bCs w:val="false"/>
        </w:rPr>
        <w:t>of the medicine.</w:t>
      </w:r>
    </w:p>
    <w:p>
      <w:pPr>
        <w:pStyle w:val="Subsub"/>
        <w:rPr>
          <w:b w:val="false"/>
          <w:b w:val="false"/>
          <w:bCs w:val="false"/>
        </w:rPr>
      </w:pPr>
      <w:r>
        <w:rPr>
          <w:b w:val="false"/>
          <w:bCs w:val="false"/>
        </w:rPr>
      </w:r>
    </w:p>
    <w:p>
      <w:pPr>
        <w:sectPr>
          <w:headerReference w:type="even" r:id="rId76"/>
          <w:headerReference w:type="default" r:id="rId77"/>
          <w:footerReference w:type="even" r:id="rId78"/>
          <w:footerReference w:type="default" r:id="rId79"/>
          <w:type w:val="oddPage"/>
          <w:pgSz w:w="12240" w:h="15840"/>
          <w:pgMar w:left="2880" w:right="1080" w:gutter="0" w:header="720" w:top="1440" w:footer="720" w:bottom="1440"/>
          <w:pgNumType w:fmt="decimal"/>
          <w:formProt w:val="false"/>
          <w:textDirection w:val="lrTb"/>
          <w:docGrid w:type="default" w:linePitch="360" w:charSpace="0"/>
        </w:sectPr>
        <w:pStyle w:val="Subsub"/>
        <w:rPr/>
      </w:pPr>
      <w:r>
        <w:rPr/>
      </w:r>
    </w:p>
    <w:p>
      <w:pPr>
        <w:pStyle w:val="Subsub"/>
        <w:rPr/>
      </w:pPr>
      <w:bookmarkStart w:id="20" w:name="__RefHeading___Toc503858976"/>
      <w:bookmarkEnd w:id="20"/>
      <w:r>
        <w:rPr/>
        <w:t>3.4.6  Physical Activity</w:t>
      </w:r>
    </w:p>
    <w:p>
      <w:pPr>
        <w:pStyle w:val="Normal"/>
        <w:jc w:val="center"/>
        <w:rPr>
          <w:b/>
          <w:b/>
          <w:sz w:val="36"/>
        </w:rPr>
      </w:pPr>
      <w:r>
        <w:rPr>
          <w:b/>
          <w:sz w:val="36"/>
        </w:rPr>
      </w:r>
    </w:p>
    <w:p>
      <w:pPr>
        <w:pStyle w:val="Normal"/>
        <w:jc w:val="center"/>
        <w:rPr>
          <w:b/>
          <w:b/>
          <w:bCs/>
        </w:rPr>
      </w:pPr>
      <w:r>
        <w:rPr>
          <w:b/>
          <w:bCs/>
        </w:rPr>
        <w:t xml:space="preserve">MESA Typical Week Physical Activity Survey (MESA-TWPAS) </w:t>
      </w:r>
    </w:p>
    <w:p>
      <w:pPr>
        <w:pStyle w:val="Normal"/>
        <w:jc w:val="center"/>
        <w:rPr>
          <w:b/>
          <w:b/>
          <w:bCs/>
        </w:rPr>
      </w:pPr>
      <w:r>
        <w:rPr>
          <w:b/>
          <w:bCs/>
        </w:rPr>
        <w:t>Administration Guidelines</w:t>
      </w:r>
    </w:p>
    <w:p>
      <w:pPr>
        <w:pStyle w:val="Normal"/>
        <w:rPr>
          <w:b/>
          <w:b/>
          <w:bCs/>
        </w:rPr>
      </w:pPr>
      <w:r>
        <w:rPr>
          <w:b/>
          <w:bCs/>
        </w:rPr>
      </w:r>
    </w:p>
    <w:p>
      <w:pPr>
        <w:pStyle w:val="Normal"/>
        <w:rPr/>
      </w:pPr>
      <w:r>
        <w:rPr/>
      </w:r>
    </w:p>
    <w:p>
      <w:pPr>
        <w:pStyle w:val="Romanbold"/>
        <w:rPr/>
      </w:pPr>
      <w:r>
        <w:rPr/>
        <w:tab/>
        <w:t>I.</w:t>
        <w:tab/>
        <w:t>Purpose</w:t>
      </w:r>
    </w:p>
    <w:p>
      <w:pPr>
        <w:pStyle w:val="Romanbold"/>
        <w:rPr/>
      </w:pPr>
      <w:r>
        <w:rPr/>
      </w:r>
    </w:p>
    <w:p>
      <w:pPr>
        <w:pStyle w:val="Romanbody"/>
        <w:rPr/>
      </w:pPr>
      <w:r>
        <w:rPr/>
        <w:t>The MESA Typical Week Physical Activity Survey (TWPAS) is designed to identify the time and frequency spent in various physical activities during a typical week in the past month.  The rationale for the selected time frame of a typical week in the past month is the intention to capture typical activity patterns in one’s daily life.</w:t>
      </w:r>
    </w:p>
    <w:p>
      <w:pPr>
        <w:pStyle w:val="Romanbody"/>
        <w:rPr/>
      </w:pPr>
      <w:r>
        <w:rPr/>
      </w:r>
    </w:p>
    <w:p>
      <w:pPr>
        <w:pStyle w:val="Romanbody"/>
        <w:rPr/>
      </w:pPr>
      <w:r>
        <w:rPr/>
        <w:t>The survey has 28 questionnaire items in categories of household chores, lawn/yard/garden/farm, care of children/adults, transportation, walking (not at work), dancing and sport activities, conditioning activities, leisure activities, occupational and volunteer activities.</w:t>
      </w:r>
    </w:p>
    <w:p>
      <w:pPr>
        <w:pStyle w:val="Romanbody"/>
        <w:rPr/>
      </w:pPr>
      <w:r>
        <w:rPr/>
      </w:r>
    </w:p>
    <w:p>
      <w:pPr>
        <w:pStyle w:val="Romanbold"/>
        <w:rPr/>
      </w:pPr>
      <w:r>
        <w:rPr/>
        <w:tab/>
        <w:t>II.</w:t>
        <w:tab/>
        <w:t>materials/equipment</w:t>
      </w:r>
    </w:p>
    <w:p>
      <w:pPr>
        <w:pStyle w:val="Romanbold"/>
        <w:rPr/>
      </w:pPr>
      <w:r>
        <w:rPr/>
      </w:r>
    </w:p>
    <w:p>
      <w:pPr>
        <w:pStyle w:val="Romanbody"/>
        <w:rPr/>
      </w:pPr>
      <w:r>
        <w:rPr/>
        <w:t>None.</w:t>
      </w:r>
    </w:p>
    <w:p>
      <w:pPr>
        <w:pStyle w:val="Romanbody"/>
        <w:rPr/>
      </w:pPr>
      <w:r>
        <w:rPr/>
      </w:r>
    </w:p>
    <w:p>
      <w:pPr>
        <w:pStyle w:val="Romanbold"/>
        <w:rPr/>
      </w:pPr>
      <w:r>
        <w:rPr/>
        <w:tab/>
        <w:t>III.</w:t>
        <w:tab/>
        <w:t>Definitions</w:t>
      </w:r>
    </w:p>
    <w:p>
      <w:pPr>
        <w:pStyle w:val="Romanbold"/>
        <w:rPr/>
      </w:pPr>
      <w:r>
        <w:rPr/>
      </w:r>
    </w:p>
    <w:p>
      <w:pPr>
        <w:pStyle w:val="Romanbody"/>
        <w:rPr/>
      </w:pPr>
      <w:r>
        <w:rPr/>
        <w:t>None.</w:t>
      </w:r>
    </w:p>
    <w:p>
      <w:pPr>
        <w:pStyle w:val="Romanbody"/>
        <w:rPr/>
      </w:pPr>
      <w:r>
        <w:rPr/>
      </w:r>
    </w:p>
    <w:p>
      <w:pPr>
        <w:pStyle w:val="Romanbold"/>
        <w:rPr/>
      </w:pPr>
      <w:r>
        <w:rPr/>
        <w:tab/>
        <w:t>IV.</w:t>
        <w:tab/>
        <w:t>Methods</w:t>
      </w:r>
    </w:p>
    <w:p>
      <w:pPr>
        <w:pStyle w:val="Normal"/>
        <w:rPr/>
      </w:pPr>
      <w:r>
        <w:rPr/>
      </w:r>
    </w:p>
    <w:p>
      <w:pPr>
        <w:pStyle w:val="Number1"/>
        <w:rPr/>
      </w:pPr>
      <w:r>
        <w:rPr/>
        <w:tab/>
        <w:t>1.</w:t>
        <w:tab/>
      </w:r>
      <w:r>
        <w:rPr>
          <w:u w:val="single"/>
        </w:rPr>
        <w:t>General Instructions</w:t>
      </w:r>
    </w:p>
    <w:p>
      <w:pPr>
        <w:pStyle w:val="Normal"/>
        <w:rPr/>
      </w:pPr>
      <w:r>
        <w:rPr/>
      </w:r>
    </w:p>
    <w:p>
      <w:pPr>
        <w:pStyle w:val="Number11"/>
        <w:rPr/>
      </w:pPr>
      <w:r>
        <w:rPr/>
        <w:tab/>
        <w:t>1.1</w:t>
        <w:tab/>
        <w:t>Read the following instructions to the participant.</w:t>
      </w:r>
    </w:p>
    <w:p>
      <w:pPr>
        <w:pStyle w:val="Number11"/>
        <w:rPr/>
      </w:pPr>
      <w:r>
        <w:rPr/>
      </w:r>
    </w:p>
    <w:p>
      <w:pPr>
        <w:pStyle w:val="Number11"/>
        <w:rPr>
          <w:rFonts w:ascii="Arial;Arial" w:hAnsi="Arial;Arial" w:cs="Arial;Arial"/>
          <w:b/>
          <w:b/>
          <w:bCs/>
          <w:sz w:val="20"/>
        </w:rPr>
      </w:pPr>
      <w:r>
        <w:rPr>
          <w:rFonts w:cs="Arial;Arial" w:ascii="Arial;Arial" w:hAnsi="Arial;Arial"/>
          <w:b/>
          <w:bCs/>
          <w:sz w:val="20"/>
        </w:rPr>
        <w:tab/>
        <w:tab/>
        <w:t>“Think about the types of activities you did in a typical week in the past month.  For each activity, note which you did in a typical week by filling in the circle for ‘yes’ (Y) or ‘no’ (N).  For each item that you mark as ‘yes,’ fill in the circle for the number of days in a typical week you did these activities and the average time per day in hours and minutes you did these activities.”</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1.2</w:t>
        <w:tab/>
        <w:t>Define intensity levels for the participant.</w:t>
      </w:r>
    </w:p>
    <w:p>
      <w:pPr>
        <w:pStyle w:val="Number11"/>
        <w:rPr/>
      </w:pPr>
      <w:r>
        <w:rPr/>
      </w:r>
    </w:p>
    <w:p>
      <w:pPr>
        <w:pStyle w:val="Number11"/>
        <w:rPr/>
      </w:pPr>
      <w:r>
        <w:rPr/>
        <w:tab/>
        <w:tab/>
      </w:r>
      <w:r>
        <w:rPr>
          <w:rFonts w:cs="Arial;Arial" w:ascii="Arial;Arial" w:hAnsi="Arial;Arial"/>
          <w:b/>
          <w:bCs/>
          <w:sz w:val="20"/>
        </w:rPr>
        <w:t>“Most of the survey questions ask about light, moderate, and heavy intensity activities. Light intensity refers to activities that require little effort and are easy to do. Moderate intensity refers to an effort that is harder than light intensity but is not an all-out effort. Vigorous intensity is a very hard activity and requires all-out effort.”</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1.3</w:t>
        <w:tab/>
        <w:t>Explain the example to the participant. To orient the him/her to the past month, you will identify that period for the participant. In the text below, if we assume, for instance, that the current date is March 15, the past month would start on Feb 15.</w:t>
      </w:r>
    </w:p>
    <w:p>
      <w:pPr>
        <w:pStyle w:val="Number11"/>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47">
                <wp:simplePos x="0" y="0"/>
                <wp:positionH relativeFrom="page">
                  <wp:posOffset>1532890</wp:posOffset>
                </wp:positionH>
                <wp:positionV relativeFrom="paragraph">
                  <wp:posOffset>264795</wp:posOffset>
                </wp:positionV>
                <wp:extent cx="4349750" cy="3364865"/>
                <wp:effectExtent l="0" t="0" r="0" b="0"/>
                <wp:wrapTopAndBottom/>
                <wp:docPr id="12" name="Frame5"/>
                <a:graphic xmlns:a="http://schemas.openxmlformats.org/drawingml/2006/main">
                  <a:graphicData uri="http://schemas.microsoft.com/office/word/2010/wordprocessingShape">
                    <wps:wsp>
                      <wps:cNvSpPr txBox="1"/>
                      <wps:spPr>
                        <a:xfrm>
                          <a:off x="0" y="0"/>
                          <a:ext cx="4349750" cy="3364865"/>
                        </a:xfrm>
                        <a:prstGeom prst="rect"/>
                        <a:solidFill>
                          <a:srgbClr val="FFFFFF"/>
                        </a:solidFill>
                        <a:ln w="9525">
                          <a:solidFill>
                            <a:srgbClr val="000000"/>
                          </a:solidFill>
                        </a:ln>
                      </wps:spPr>
                      <wps:txbx>
                        <w:txbxContent>
                          <w:p>
                            <w:pPr>
                              <w:pStyle w:val="Normal"/>
                              <w:rPr/>
                            </w:pPr>
                            <w:r>
                              <w:rPr/>
                              <w:t>Questions people might ask about completing the TWPAS,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every week in the past month was different?</w:t>
                            </w:r>
                          </w:p>
                          <w:p>
                            <w:pPr>
                              <w:pStyle w:val="Normal"/>
                              <w:tabs>
                                <w:tab w:val="clear" w:pos="720"/>
                                <w:tab w:val="right" w:pos="360" w:leader="none"/>
                              </w:tabs>
                              <w:ind w:left="450" w:hanging="450"/>
                              <w:rPr/>
                            </w:pPr>
                            <w:r>
                              <w:rPr/>
                              <w:tab/>
                              <w:tab/>
                            </w:r>
                            <w:r>
                              <w:rPr>
                                <w:rFonts w:cs="Arial;Arial" w:ascii="Arial;Arial" w:hAnsi="Arial;Arial"/>
                                <w:b/>
                                <w:bCs/>
                                <w:sz w:val="20"/>
                              </w:rPr>
                              <w:t>“Think about the week that was most typical of your activity patterns for that activity in other times of the year and fill in the circle for the number of days and hours per day and or minutes per day.”</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the length of time is different each day?</w:t>
                            </w:r>
                          </w:p>
                          <w:p>
                            <w:pPr>
                              <w:pStyle w:val="Normal"/>
                              <w:tabs>
                                <w:tab w:val="clear" w:pos="720"/>
                                <w:tab w:val="right" w:pos="360" w:leader="none"/>
                              </w:tabs>
                              <w:ind w:left="450" w:hanging="450"/>
                              <w:rPr/>
                            </w:pPr>
                            <w:r>
                              <w:rPr/>
                              <w:tab/>
                              <w:tab/>
                            </w:r>
                            <w:r>
                              <w:rPr>
                                <w:rFonts w:cs="Arial;Arial" w:ascii="Arial;Arial" w:hAnsi="Arial;Arial"/>
                                <w:b/>
                                <w:bCs/>
                                <w:sz w:val="20"/>
                              </w:rPr>
                              <w:t>“Think about the average in all the days that reflects your typical time for the activity in a typical week.”</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i/>
                                <w:iCs/>
                              </w:rPr>
                              <w:tab/>
                              <w:t>I was on vacation in the past month when I went on a 2 week bicycle trip.  Should I include this in the estimates?</w:t>
                            </w:r>
                          </w:p>
                          <w:p>
                            <w:pPr>
                              <w:pStyle w:val="Normal"/>
                              <w:tabs>
                                <w:tab w:val="clear" w:pos="720"/>
                                <w:tab w:val="right" w:pos="360" w:leader="none"/>
                              </w:tabs>
                              <w:ind w:left="450" w:hanging="450"/>
                              <w:rPr/>
                            </w:pPr>
                            <w:r>
                              <w:rPr/>
                              <w:tab/>
                              <w:tab/>
                              <w:t>“In this case, think about a typical week in the past couple of months that reflects your usual activity patterns.  We are trying to identify the activity patterns you do on a usual basis, so if your vacation was not typical, do not include it.”</w:t>
                            </w:r>
                          </w:p>
                        </w:txbxContent>
                      </wps:txbx>
                      <wps:bodyPr anchor="t" lIns="91440" tIns="45720" rIns="91440" bIns="45720">
                        <a:noAutofit/>
                      </wps:bodyPr>
                    </wps:wsp>
                  </a:graphicData>
                </a:graphic>
              </wp:anchor>
            </w:drawing>
          </mc:Choice>
          <mc:Fallback>
            <w:pict>
              <v:rect fillcolor="#FFFFFF" strokecolor="#000000" strokeweight="0pt" style="position:absolute;rotation:-0;width:342.5pt;height:264.95pt;mso-wrap-distance-left:9.05pt;mso-wrap-distance-right:9.05pt;mso-wrap-distance-top:0pt;mso-wrap-distance-bottom:0pt;margin-top:20.85pt;mso-position-vertical-relative:text;margin-left:120.7pt;mso-position-horizontal-relative:page">
                <v:textbox>
                  <w:txbxContent>
                    <w:p>
                      <w:pPr>
                        <w:pStyle w:val="Normal"/>
                        <w:rPr/>
                      </w:pPr>
                      <w:r>
                        <w:rPr/>
                        <w:t>Questions people might ask about completing the TWPAS,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every week in the past month was different?</w:t>
                      </w:r>
                    </w:p>
                    <w:p>
                      <w:pPr>
                        <w:pStyle w:val="Normal"/>
                        <w:tabs>
                          <w:tab w:val="clear" w:pos="720"/>
                          <w:tab w:val="right" w:pos="360" w:leader="none"/>
                        </w:tabs>
                        <w:ind w:left="450" w:hanging="450"/>
                        <w:rPr/>
                      </w:pPr>
                      <w:r>
                        <w:rPr/>
                        <w:tab/>
                        <w:tab/>
                      </w:r>
                      <w:r>
                        <w:rPr>
                          <w:rFonts w:cs="Arial;Arial" w:ascii="Arial;Arial" w:hAnsi="Arial;Arial"/>
                          <w:b/>
                          <w:bCs/>
                          <w:sz w:val="20"/>
                        </w:rPr>
                        <w:t>“Think about the week that was most typical of your activity patterns for that activity in other times of the year and fill in the circle for the number of days and hours per day and or minutes per day.”</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the length of time is different each day?</w:t>
                      </w:r>
                    </w:p>
                    <w:p>
                      <w:pPr>
                        <w:pStyle w:val="Normal"/>
                        <w:tabs>
                          <w:tab w:val="clear" w:pos="720"/>
                          <w:tab w:val="right" w:pos="360" w:leader="none"/>
                        </w:tabs>
                        <w:ind w:left="450" w:hanging="450"/>
                        <w:rPr/>
                      </w:pPr>
                      <w:r>
                        <w:rPr/>
                        <w:tab/>
                        <w:tab/>
                      </w:r>
                      <w:r>
                        <w:rPr>
                          <w:rFonts w:cs="Arial;Arial" w:ascii="Arial;Arial" w:hAnsi="Arial;Arial"/>
                          <w:b/>
                          <w:bCs/>
                          <w:sz w:val="20"/>
                        </w:rPr>
                        <w:t>“Think about the average in all the days that reflects your typical time for the activity in a typical week.”</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i/>
                          <w:iCs/>
                        </w:rPr>
                        <w:tab/>
                        <w:t>I was on vacation in the past month when I went on a 2 week bicycle trip.  Should I include this in the estimates?</w:t>
                      </w:r>
                    </w:p>
                    <w:p>
                      <w:pPr>
                        <w:pStyle w:val="Normal"/>
                        <w:tabs>
                          <w:tab w:val="clear" w:pos="720"/>
                          <w:tab w:val="right" w:pos="360" w:leader="none"/>
                        </w:tabs>
                        <w:ind w:left="450" w:hanging="450"/>
                        <w:rPr/>
                      </w:pPr>
                      <w:r>
                        <w:rPr/>
                        <w:tab/>
                        <w:tab/>
                        <w:t>“In this case, think about a typical week in the past couple of months that reflects your usual activity patterns.  We are trying to identify the activity patterns you do on a usual basis, so if your vacation was not typical, do not include it.”</w:t>
                      </w:r>
                    </w:p>
                  </w:txbxContent>
                </v:textbox>
                <w10:wrap type="topAndBottom"/>
              </v:rect>
            </w:pict>
          </mc:Fallback>
        </mc:AlternateContent>
      </w:r>
    </w:p>
    <w:p>
      <w:pPr>
        <w:pStyle w:val="Number11"/>
        <w:rPr/>
      </w:pPr>
      <w:r>
        <w:rPr/>
      </w:r>
    </w:p>
    <w:p>
      <w:pPr>
        <w:pStyle w:val="Number11"/>
        <w:rPr/>
      </w:pPr>
      <w:r>
        <w:rPr/>
      </w:r>
    </w:p>
    <w:p>
      <w:pPr>
        <w:pStyle w:val="Number11"/>
        <w:rPr/>
      </w:pPr>
      <w:r>
        <w:rPr/>
        <w:tab/>
        <w:tab/>
      </w:r>
      <w:r>
        <w:rPr>
          <w:rFonts w:cs="Arial;Arial" w:ascii="Arial;Arial" w:hAnsi="Arial;Arial"/>
          <w:b/>
          <w:bCs/>
          <w:sz w:val="20"/>
        </w:rPr>
        <w:t>“Let me show you an example of how you will fill out the survey.”</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1.4</w:t>
        <w:tab/>
        <w:t xml:space="preserve">Provide the example and review each step with the participant. Give him/her time to consider each step and to ask questions. Explain that, if the participant continued usual physical activities while on vacation (or during some other atypical period of time), he/she should report them as usual for a typical week. However, if usual activities were stopped during a vacation, or if the participant took up other activities </w:t>
      </w:r>
      <w:r>
        <w:rPr>
          <w:i/>
          <w:iCs/>
        </w:rPr>
        <w:t xml:space="preserve">only during that period¸ </w:t>
      </w:r>
      <w:r>
        <w:rPr/>
        <w:t xml:space="preserve">then he/she should not record them as typical activities. </w:t>
      </w:r>
    </w:p>
    <w:p>
      <w:pPr>
        <w:pStyle w:val="Number11"/>
        <w:rPr/>
      </w:pPr>
      <w:r>
        <w:rPr/>
        <w:tab/>
      </w:r>
    </w:p>
    <w:p>
      <w:pPr>
        <w:pStyle w:val="Number11"/>
        <w:rPr/>
      </w:pPr>
      <w:r>
        <w:rPr/>
        <w:tab/>
        <w:t>1.5</w:t>
        <w:tab/>
        <w:t xml:space="preserve">Once you have reviewed the sample question with the participant and explained the difference between typical and atypical activities, ask if he/she has any questions. </w:t>
      </w:r>
    </w:p>
    <w:p>
      <w:pPr>
        <w:pStyle w:val="Normal"/>
        <w:ind w:left="576" w:hanging="0"/>
        <w:rPr/>
      </w:pPr>
      <w:r>
        <w:rPr/>
      </w:r>
    </w:p>
    <w:p>
      <w:pPr>
        <w:pStyle w:val="Number11"/>
        <w:rPr/>
      </w:pPr>
      <w:r>
        <w:rPr/>
        <w:tab/>
        <w:t>1.6</w:t>
        <w:tab/>
        <w:t>It is possible that a person will spend more time doing activities on one day or another (e.g., weekends).  If this is the case, ask him/her to estimate the usual time during each event in a typical week, averaging in the longer and shorter days.</w:t>
      </w:r>
    </w:p>
    <w:p>
      <w:pPr>
        <w:pStyle w:val="Number11"/>
        <w:rPr/>
      </w:pPr>
      <w:r>
        <w:rPr/>
      </w:r>
    </w:p>
    <w:p>
      <w:pPr>
        <w:pStyle w:val="Number11"/>
        <w:rPr/>
      </w:pPr>
      <w:r>
        <w:rPr/>
        <w:tab/>
        <w:tab/>
        <w:t>For example, if the participant engages in an activity for 30 minutes/day 5 days/week and 2 hours/day 1 day/week, ask him/her to add about 15 minutes extra to each day, to take into account a single day that has a prolonged bout of activity compared to the usual.</w:t>
      </w:r>
    </w:p>
    <w:p>
      <w:pPr>
        <w:pStyle w:val="Normal"/>
        <w:ind w:left="576" w:hanging="0"/>
        <w:rPr/>
      </w:pPr>
      <w:r>
        <w:rPr/>
      </w:r>
    </w:p>
    <w:p>
      <w:pPr>
        <w:pStyle w:val="Number11"/>
        <w:rPr/>
      </w:pPr>
      <w:r>
        <w:rPr/>
        <w:tab/>
        <w:t>1.7</w:t>
        <w:tab/>
        <w:t>At this point allow the participant to complete the form him-/herself, but be available to answer questions and provide clarification.</w:t>
      </w:r>
    </w:p>
    <w:p>
      <w:pPr>
        <w:pStyle w:val="Normal"/>
        <w:rPr/>
      </w:pPr>
      <w:r>
        <w:rPr/>
      </w:r>
    </w:p>
    <w:p>
      <w:pPr>
        <w:pStyle w:val="Number1"/>
        <w:rPr/>
      </w:pPr>
      <w:r>
        <w:rPr/>
        <w:tab/>
      </w:r>
    </w:p>
    <w:p>
      <w:pPr>
        <w:pStyle w:val="Number1"/>
        <w:rPr/>
      </w:pPr>
      <w:r>
        <w:rPr/>
        <w:tab/>
        <w:t>2.</w:t>
        <w:tab/>
      </w:r>
      <w:r>
        <w:rPr>
          <w:u w:val="single"/>
        </w:rPr>
        <w:t>Specific Instructions</w:t>
      </w:r>
    </w:p>
    <w:p>
      <w:pPr>
        <w:pStyle w:val="Number1"/>
        <w:rPr/>
      </w:pPr>
      <w:r>
        <w:rPr/>
      </w:r>
    </w:p>
    <w:p>
      <w:pPr>
        <w:pStyle w:val="Number1"/>
        <w:rPr/>
      </w:pPr>
      <w:r>
        <w:rPr/>
        <w:tab/>
        <w:tab/>
        <w:t>Items to be completed by the interviewer:</w:t>
      </w:r>
    </w:p>
    <w:p>
      <w:pPr>
        <w:pStyle w:val="Number1"/>
        <w:rPr>
          <w:u w:val="single"/>
        </w:rPr>
      </w:pPr>
      <w:r>
        <w:rPr>
          <w:u w:val="single"/>
        </w:rPr>
      </w:r>
    </w:p>
    <w:p>
      <w:pPr>
        <w:pStyle w:val="Number1bodybullet"/>
        <w:rPr/>
      </w:pPr>
      <w:r>
        <w:rPr>
          <w:rFonts w:eastAsia="Symbol" w:cs="Symbol" w:ascii="Symbol" w:hAnsi="Symbol"/>
        </w:rPr>
        <w:t></w:t>
      </w:r>
      <w:r>
        <w:rPr/>
        <w:tab/>
        <w:t xml:space="preserve">For </w:t>
      </w:r>
      <w:r>
        <w:rPr>
          <w:b/>
          <w:bCs/>
          <w:i/>
          <w:iCs/>
        </w:rPr>
        <w:t>date</w:t>
      </w:r>
      <w:r>
        <w:rPr/>
        <w:t xml:space="preserve"> enter date form was completed. For example, July 7, 2000 would be entered 07/07/2000.</w:t>
      </w:r>
    </w:p>
    <w:p>
      <w:pPr>
        <w:pStyle w:val="Normal"/>
        <w:ind w:left="1170" w:hanging="270"/>
        <w:rPr/>
      </w:pPr>
      <w:r>
        <w:rPr>
          <w:rFonts w:eastAsia="Symbol" w:cs="Symbol" w:ascii="Symbol" w:hAnsi="Symbol"/>
        </w:rPr>
        <w:t></w:t>
      </w:r>
      <w:r>
        <w:rPr/>
        <w:tab/>
        <w:t xml:space="preserve">For </w:t>
      </w:r>
      <w:r>
        <w:rPr>
          <w:b/>
          <w:bCs/>
          <w:i/>
          <w:iCs/>
        </w:rPr>
        <w:t>ID #</w:t>
      </w:r>
      <w:r>
        <w:rPr/>
        <w:t xml:space="preserve"> enter the participant’s study identification number.</w:t>
      </w:r>
    </w:p>
    <w:p>
      <w:pPr>
        <w:pStyle w:val="Normal"/>
        <w:ind w:left="1170" w:hanging="270"/>
        <w:rPr/>
      </w:pPr>
      <w:r>
        <w:rPr/>
      </w:r>
    </w:p>
    <w:p>
      <w:pPr>
        <w:pStyle w:val="Number1"/>
        <w:rPr/>
      </w:pPr>
      <w:r>
        <w:rPr/>
        <w:tab/>
      </w:r>
    </w:p>
    <w:p>
      <w:pPr>
        <w:pStyle w:val="Number1"/>
        <w:rPr/>
      </w:pPr>
      <w:r>
        <w:rPr/>
        <w:tab/>
        <w:t>3.</w:t>
        <w:tab/>
      </w:r>
      <w:r>
        <w:rPr>
          <w:u w:val="single"/>
        </w:rPr>
        <w:t>Item-by-Item Clarification</w:t>
      </w:r>
    </w:p>
    <w:p>
      <w:pPr>
        <w:pStyle w:val="Normal"/>
        <w:rPr>
          <w:b/>
          <w:b/>
          <w:bCs/>
        </w:rPr>
      </w:pPr>
      <w:r>
        <w:rPr>
          <w:b/>
          <w:bCs/>
        </w:rPr>
      </w:r>
    </w:p>
    <w:p>
      <w:pPr>
        <w:pStyle w:val="Roman2"/>
        <w:rPr/>
      </w:pPr>
      <w:r>
        <w:rPr/>
        <w:tab/>
        <w:tab/>
      </w:r>
      <w:r>
        <w:rPr>
          <w:i/>
          <w:iCs/>
        </w:rPr>
        <w:t>“In a typical week in the past month, did you do…”</w:t>
      </w:r>
    </w:p>
    <w:p>
      <w:pPr>
        <w:pStyle w:val="Roman2"/>
        <w:rPr/>
      </w:pPr>
      <w:r>
        <w:rPr/>
      </w:r>
    </w:p>
    <w:p>
      <w:pPr>
        <w:pStyle w:val="Roman2"/>
        <w:rPr>
          <w:i/>
          <w:i/>
          <w:iCs/>
        </w:rPr>
      </w:pPr>
      <w:r>
        <w:rPr/>
        <w:tab/>
        <w:tab/>
        <w:t>Household chores</w:t>
      </w:r>
    </w:p>
    <w:p>
      <w:pPr>
        <w:pStyle w:val="Normal"/>
        <w:rPr>
          <w:i/>
          <w:i/>
          <w:iCs/>
        </w:rPr>
      </w:pPr>
      <w:r>
        <w:rPr>
          <w:i/>
          <w:iCs/>
        </w:rPr>
      </w:r>
    </w:p>
    <w:p>
      <w:pPr>
        <w:pStyle w:val="Roman2A"/>
        <w:rPr/>
      </w:pPr>
      <w:r>
        <w:rPr/>
        <w:tab/>
        <w:t>1.</w:t>
        <w:tab/>
      </w:r>
      <w:r>
        <w:rPr>
          <w:u w:val="single"/>
        </w:rPr>
        <w:t>Light effort</w:t>
      </w:r>
      <w:r>
        <w:rPr/>
        <w:t>:  These activities are light intensity, routine, usually daily activities that people do during the care and maintenance of a household. Examples include cooking and cleaning after cooking, straightening up the house, grocery and household shopping and putting things away, changing the bed, doing the laundry, ironing. Housecleaning in a structured, organized way should not be included here, as that would involve more moderate intensity chores</w:t>
      </w:r>
    </w:p>
    <w:p>
      <w:pPr>
        <w:pStyle w:val="Roman2A"/>
        <w:rPr/>
      </w:pPr>
      <w:r>
        <w:rPr/>
      </w:r>
    </w:p>
    <w:p>
      <w:pPr>
        <w:pStyle w:val="Roman2A"/>
        <w:rPr/>
      </w:pPr>
      <w:r>
        <w:rPr/>
        <w:tab/>
        <w:t>2.</w:t>
        <w:tab/>
      </w:r>
      <w:r>
        <w:rPr>
          <w:u w:val="single"/>
        </w:rPr>
        <w:t>Moderate or Heavy Effort</w:t>
      </w:r>
      <w:r>
        <w:rPr/>
        <w:t xml:space="preserve">:  These activities are more structured and might not occur on a daily basis. Examples include heavy cleaning (washing windows, moving furniture to clean), vacuuming, scrubbing the floors or walls, mopping—either standing up or on hands and knees—repairing home appliances or lawn and garden tools, washing the car.   </w:t>
      </w:r>
    </w:p>
    <w:p>
      <w:pPr>
        <w:pStyle w:val="Normal"/>
        <w:rPr/>
      </w:pPr>
      <w:r>
        <w:rPr/>
      </w:r>
    </w:p>
    <w:p>
      <w:pPr>
        <w:pStyle w:val="Roman2"/>
        <w:rPr/>
      </w:pPr>
      <w:r>
        <w:rPr/>
        <w:tab/>
        <w:tab/>
        <w:t>Lawn/Yard/Garden/Farm</w:t>
      </w:r>
    </w:p>
    <w:p>
      <w:pPr>
        <w:pStyle w:val="Roman2"/>
        <w:rPr/>
      </w:pPr>
      <w:r>
        <w:rPr/>
      </w:r>
    </w:p>
    <w:p>
      <w:pPr>
        <w:pStyle w:val="Roman2A"/>
        <w:rPr/>
      </w:pPr>
      <w:r>
        <w:rPr/>
        <w:tab/>
        <w:t>3.</w:t>
        <w:tab/>
      </w:r>
      <w:r>
        <w:rPr>
          <w:u w:val="single"/>
        </w:rPr>
        <w:t>Moderate Effort:</w:t>
      </w:r>
      <w:r>
        <w:rPr/>
        <w:t xml:space="preserve">  These activities refer to outside chores involved in caring for a house, farm, or ranch.  They may involve yard work, cleaning out the garage, raking the leaves, sweeping the porch or sidewalk, or other moderate effort chores.  Encourage the participant to think of activities done in a typical week in the past month. This category may include seasonal activities; if so, the activities reported should be typical of the past month.</w:t>
      </w:r>
    </w:p>
    <w:p>
      <w:pPr>
        <w:pStyle w:val="Roman2A"/>
        <w:rPr>
          <w:u w:val="single"/>
        </w:rPr>
      </w:pPr>
      <w:r>
        <w:rPr>
          <w:u w:val="single"/>
        </w:rPr>
      </w:r>
    </w:p>
    <w:p>
      <w:pPr>
        <w:pStyle w:val="Roman2A"/>
        <w:rPr/>
      </w:pPr>
      <w:r>
        <w:rPr/>
        <w:tab/>
        <w:t>4.</w:t>
        <w:tab/>
      </w:r>
      <w:r>
        <w:rPr>
          <w:u w:val="single"/>
        </w:rPr>
        <w:t>Heavy Effort</w:t>
      </w:r>
      <w:r>
        <w:rPr/>
        <w:t>:  These activities require heavy effort and may be seasonal. Examples include digging dirt, shoveling snow or using a snow blower, chipping ice, tilling a garden, chopping and hauling wood, and removing trees.</w:t>
      </w:r>
    </w:p>
    <w:p>
      <w:pPr>
        <w:pStyle w:val="Roman2A"/>
        <w:rPr>
          <w:u w:val="single"/>
        </w:rPr>
      </w:pPr>
      <w:r>
        <w:rPr>
          <w:u w:val="single"/>
        </w:rPr>
      </w:r>
    </w:p>
    <w:p>
      <w:pPr>
        <w:pStyle w:val="Roman2"/>
        <w:rPr/>
      </w:pPr>
      <w:r>
        <w:rPr/>
        <w:tab/>
        <w:tab/>
        <w:t>Care of Children/Adults</w:t>
      </w:r>
    </w:p>
    <w:p>
      <w:pPr>
        <w:pStyle w:val="Roman2A"/>
        <w:rPr/>
      </w:pPr>
      <w:r>
        <w:rPr/>
      </w:r>
    </w:p>
    <w:p>
      <w:pPr>
        <w:pStyle w:val="Roman2A"/>
        <w:rPr/>
      </w:pPr>
      <w:r>
        <w:rPr/>
        <w:tab/>
        <w:t>5.</w:t>
        <w:tab/>
      </w:r>
      <w:r>
        <w:rPr>
          <w:u w:val="single"/>
        </w:rPr>
        <w:t>Light Effort</w:t>
      </w:r>
      <w:r>
        <w:rPr/>
        <w:t>: These activities require physical movement by the respondent and include bathing, feeding, changing diapers, playing with a child, or other similar activities. Do not count time sitting with a child (as in babysitting) without active engagement in physical activities. Include only the time spent involved in physical activities.</w:t>
      </w:r>
    </w:p>
    <w:p>
      <w:pPr>
        <w:pStyle w:val="Roman2A"/>
        <w:rPr>
          <w:u w:val="single"/>
        </w:rPr>
      </w:pPr>
      <w:r>
        <w:rPr>
          <w:u w:val="single"/>
        </w:rPr>
      </w:r>
    </w:p>
    <w:p>
      <w:pPr>
        <w:pStyle w:val="Roman2A"/>
        <w:rPr/>
      </w:pPr>
      <w:r>
        <w:rPr/>
        <w:tab/>
        <w:t>6.</w:t>
        <w:tab/>
      </w:r>
      <w:r>
        <w:rPr>
          <w:u w:val="single"/>
        </w:rPr>
        <w:t>Moderate Effort</w:t>
      </w:r>
      <w:r>
        <w:rPr/>
        <w:t>: These are intentional activities that require moderate effort to complete and may include activities of lifting and carrying dependent others, pushing a wheelchair or stroller. Include only the time spent moving.</w:t>
      </w:r>
    </w:p>
    <w:p>
      <w:pPr>
        <w:pStyle w:val="Roman2A"/>
        <w:rPr>
          <w:u w:val="single"/>
        </w:rPr>
      </w:pPr>
      <w:r>
        <w:rPr>
          <w:u w:val="single"/>
        </w:rPr>
      </w:r>
    </w:p>
    <w:p>
      <w:pPr>
        <w:pStyle w:val="Roman2"/>
        <w:rPr/>
      </w:pPr>
      <w:r>
        <w:rPr/>
        <w:tab/>
        <w:tab/>
        <w:t>Transportation</w:t>
      </w:r>
    </w:p>
    <w:p>
      <w:pPr>
        <w:pStyle w:val="Normal"/>
        <w:ind w:left="285" w:hanging="285"/>
        <w:rPr/>
      </w:pPr>
      <w:r>
        <w:rPr/>
      </w:r>
    </w:p>
    <w:p>
      <w:pPr>
        <w:pStyle w:val="Roman2A"/>
        <w:rPr/>
      </w:pPr>
      <w:r>
        <w:rPr/>
        <w:tab/>
        <w:t>7.</w:t>
        <w:tab/>
        <w:t xml:space="preserve">These are all light activities and do not include walking. Have the respondent include all time spent in transportation where they are sitting.  </w:t>
      </w:r>
    </w:p>
    <w:p>
      <w:pPr>
        <w:pStyle w:val="Normal"/>
        <w:ind w:left="285" w:hanging="285"/>
        <w:rPr/>
      </w:pPr>
      <w:r>
        <w:rPr/>
      </w:r>
    </w:p>
    <w:p>
      <w:pPr>
        <w:pStyle w:val="Roman2"/>
        <w:rPr/>
      </w:pPr>
      <w:r>
        <w:rPr/>
        <w:tab/>
        <w:tab/>
        <w:t>Walking (not at work)</w:t>
      </w:r>
    </w:p>
    <w:p>
      <w:pPr>
        <w:pStyle w:val="Roman2A"/>
        <w:rPr/>
      </w:pPr>
      <w:r>
        <w:rPr/>
      </w:r>
    </w:p>
    <w:p>
      <w:pPr>
        <w:pStyle w:val="Roman2A"/>
        <w:rPr/>
      </w:pPr>
      <w:r>
        <w:rPr/>
        <w:tab/>
        <w:t>8.</w:t>
        <w:tab/>
        <w:t>Walking to get places.  In general, walking is underreported in the time estimates. This would include walking for transportation, walking to and from work, walking to the store or from the car into the store and back, walking to get the mail, etc.</w:t>
      </w:r>
    </w:p>
    <w:p>
      <w:pPr>
        <w:pStyle w:val="Roman2A"/>
        <w:rPr/>
      </w:pPr>
      <w:r>
        <w:rPr/>
      </w:r>
    </w:p>
    <w:p>
      <w:pPr>
        <w:pStyle w:val="Roman2A"/>
        <w:rPr/>
      </w:pPr>
      <w:r>
        <w:rPr/>
        <w:tab/>
        <w:t>9.</w:t>
        <w:tab/>
        <w:t>Walking for exercise, pleasure, social reasons, walking during work breaks, and walking the dog is classified as intentional walking. The walking may be for exercise or part of a daily routine that is done with family members, animals, or for personal reasons. Walking for transportation should be included in item 8.</w:t>
      </w:r>
    </w:p>
    <w:p>
      <w:pPr>
        <w:pStyle w:val="Roman2"/>
        <w:rPr/>
      </w:pPr>
      <w:r>
        <w:rPr/>
      </w:r>
    </w:p>
    <w:p>
      <w:pPr>
        <w:pStyle w:val="Roman2"/>
        <w:rPr/>
      </w:pPr>
      <w:r>
        <w:rPr/>
        <w:tab/>
        <w:tab/>
        <w:t>Dancing/Sport Activities</w:t>
      </w:r>
    </w:p>
    <w:p>
      <w:pPr>
        <w:pStyle w:val="Roman2A"/>
        <w:rPr/>
      </w:pPr>
      <w:r>
        <w:rPr/>
      </w:r>
    </w:p>
    <w:p>
      <w:pPr>
        <w:pStyle w:val="Roman2A"/>
        <w:rPr/>
      </w:pPr>
      <w:r>
        <w:rPr/>
        <w:tab/>
        <w:t>10.</w:t>
        <w:tab/>
        <w:t>Dancing in church, ceremonies, or for pleasure. Remind the participant to think of a typical week in the past month to estimate usual dancing behaviors. Some may dance only occasionally—a few times a year. This would not be included as a “yes” response to this category unless it was typical of the past month. Ceremonial or religious dancing would need to be done regularly enough to represent a typical week in the past month.</w:t>
      </w:r>
    </w:p>
    <w:p>
      <w:pPr>
        <w:pStyle w:val="Roman2A"/>
        <w:rPr/>
      </w:pPr>
      <w:r>
        <w:rPr/>
      </w:r>
    </w:p>
    <w:p>
      <w:pPr>
        <w:pStyle w:val="Roman2A"/>
        <w:rPr/>
      </w:pPr>
      <w:r>
        <w:rPr/>
        <w:tab/>
        <w:t>11.</w:t>
        <w:tab/>
        <w:t>Team sport. The purpose of including team sports activities is to group exercise activities that are done with others. These are probably seasonal activities that are done in leagues or other organized settings.  Remind the participant to think of a typical week in the past month and to stay within that framework when responding.</w:t>
      </w:r>
    </w:p>
    <w:p>
      <w:pPr>
        <w:pStyle w:val="Roman2A"/>
        <w:rPr/>
      </w:pPr>
      <w:r>
        <w:rPr/>
      </w:r>
    </w:p>
    <w:p>
      <w:pPr>
        <w:pStyle w:val="Roman2A"/>
        <w:rPr/>
      </w:pPr>
      <w:r>
        <w:rPr/>
        <w:tab/>
        <w:t>12.</w:t>
        <w:tab/>
        <w:t>Dual sports. These activities involve mostly racket sports or other one-on-one sports activities. They could include fencing, ping-pong, or other activities done with another person.</w:t>
      </w:r>
    </w:p>
    <w:p>
      <w:pPr>
        <w:pStyle w:val="Roman2A"/>
        <w:rPr/>
      </w:pPr>
      <w:r>
        <w:rPr/>
      </w:r>
    </w:p>
    <w:p>
      <w:pPr>
        <w:pStyle w:val="Roman2A"/>
        <w:rPr/>
      </w:pPr>
      <w:r>
        <w:rPr/>
        <w:tab/>
        <w:t>13.</w:t>
        <w:tab/>
        <w:t>Individual activities. These may be sports activities, such as golf and bowling, or more individual relaxation/mediation activities, such as yoga or Tai Chi. Remind respondents to think of days and time spent during a typical week in the past month only.</w:t>
      </w:r>
    </w:p>
    <w:p>
      <w:pPr>
        <w:pStyle w:val="Roman2A"/>
        <w:rPr/>
      </w:pPr>
      <w:r>
        <w:rPr/>
      </w:r>
    </w:p>
    <w:p>
      <w:pPr>
        <w:pStyle w:val="Roman2"/>
        <w:rPr/>
      </w:pPr>
      <w:r>
        <w:rPr/>
        <w:tab/>
        <w:tab/>
        <w:t>Conditioning Activities.</w:t>
      </w:r>
    </w:p>
    <w:p>
      <w:pPr>
        <w:pStyle w:val="Normal"/>
        <w:ind w:left="285" w:hanging="285"/>
        <w:rPr>
          <w:b/>
          <w:b/>
          <w:bCs/>
          <w:u w:val="single"/>
        </w:rPr>
      </w:pPr>
      <w:r>
        <w:rPr>
          <w:b/>
          <w:bCs/>
          <w:u w:val="single"/>
        </w:rPr>
      </w:r>
    </w:p>
    <w:p>
      <w:pPr>
        <w:pStyle w:val="Roman2A"/>
        <w:rPr/>
      </w:pPr>
      <w:r>
        <w:rPr/>
        <w:tab/>
        <w:t>14.</w:t>
        <w:tab/>
      </w:r>
      <w:r>
        <w:rPr>
          <w:u w:val="single"/>
        </w:rPr>
        <w:t>Moderate Effort</w:t>
      </w:r>
      <w:r>
        <w:rPr/>
        <w:t>. Conditioning activities are those that can be done alone or with others. They are different from sports, because the intention is to gain an element of fitness rather than have a contest or win a game. Moderate effort activities are not for competition, nor are they all-out effort. Intensity of exercise should be moderate enough that respondents should be able to talk with others while they are performing the activities. Examples are low impact aerobics, recreational (slow) bicycling, rowing on a rowing machine or in a lake, swimming in a pool or lake, or using weight lifting or conditioning machines at a health club.</w:t>
      </w:r>
    </w:p>
    <w:p>
      <w:pPr>
        <w:pStyle w:val="Roman2A"/>
        <w:rPr>
          <w:u w:val="single"/>
        </w:rPr>
      </w:pPr>
      <w:r>
        <w:rPr>
          <w:u w:val="single"/>
        </w:rPr>
      </w:r>
    </w:p>
    <w:p>
      <w:pPr>
        <w:pStyle w:val="Roman2A"/>
        <w:rPr/>
      </w:pPr>
      <w:r>
        <w:rPr/>
        <w:tab/>
        <w:t>15.</w:t>
        <w:tab/>
      </w:r>
      <w:r>
        <w:rPr>
          <w:u w:val="single"/>
        </w:rPr>
        <w:t>Heavy Effort</w:t>
      </w:r>
      <w:r>
        <w:rPr/>
        <w:t>. These are very intense activities done for maximum fitness levels and include high impact aerobics (e.g., Tai-bo, kick boxing), competitive or maximum effort running, bicycling, swimming, and work on health club machines. Exercise at this intensity would be very hard and the respondent would have difficulty carrying on a conversation during the performance.</w:t>
      </w:r>
    </w:p>
    <w:p>
      <w:pPr>
        <w:pStyle w:val="Roman2A"/>
        <w:rPr/>
      </w:pPr>
      <w:r>
        <w:rPr/>
      </w:r>
    </w:p>
    <w:p>
      <w:pPr>
        <w:pStyle w:val="Roman2"/>
        <w:rPr/>
      </w:pPr>
      <w:r>
        <w:rPr/>
        <w:tab/>
        <w:tab/>
        <w:t>Leisure Activities.</w:t>
      </w:r>
    </w:p>
    <w:p>
      <w:pPr>
        <w:pStyle w:val="Normal"/>
        <w:ind w:left="285" w:hanging="285"/>
        <w:rPr>
          <w:b/>
          <w:b/>
          <w:bCs/>
          <w:u w:val="single"/>
        </w:rPr>
      </w:pPr>
      <w:r>
        <w:rPr>
          <w:b/>
          <w:bCs/>
          <w:u w:val="single"/>
        </w:rPr>
      </w:r>
    </w:p>
    <w:p>
      <w:pPr>
        <w:pStyle w:val="Roman2A"/>
        <w:rPr/>
      </w:pPr>
      <w:r>
        <w:rPr/>
        <w:tab/>
        <w:t xml:space="preserve">16. </w:t>
        <w:tab/>
      </w:r>
      <w:r>
        <w:rPr>
          <w:u w:val="single"/>
        </w:rPr>
        <w:t>Watching TV</w:t>
      </w:r>
      <w:r>
        <w:rPr/>
        <w:t xml:space="preserve">.  This is a sedentary, leisure-time pursuit. Do not include the time watching TV while doing other things. The question is to be used as a marker of sitting or reclining and watching TV as a single pursuit. </w:t>
      </w:r>
    </w:p>
    <w:p>
      <w:pPr>
        <w:pStyle w:val="Roman2A"/>
        <w:rPr/>
      </w:pPr>
      <w:r>
        <w:rPr/>
      </w:r>
    </w:p>
    <w:p>
      <w:pPr>
        <w:pStyle w:val="Roman2A"/>
        <w:rPr/>
      </w:pPr>
      <w:r>
        <w:rPr/>
        <w:tab/>
        <w:t>17.</w:t>
        <w:tab/>
      </w:r>
      <w:r>
        <w:rPr>
          <w:u w:val="single"/>
        </w:rPr>
        <w:t>Read, knit, sew, visit, do nothing, non-work recreational computer</w:t>
      </w:r>
      <w:r>
        <w:rPr/>
        <w:t>.  These are markers of sedentary activities that exclude watching TV.  If people report knitting while watching TV, make sure they select one category or the other and avoid duplicate category reporting.</w:t>
      </w:r>
    </w:p>
    <w:p>
      <w:pPr>
        <w:pStyle w:val="Roman2A"/>
        <w:rPr>
          <w:u w:val="single"/>
        </w:rPr>
      </w:pPr>
      <w:r>
        <w:rPr>
          <w:u w:val="single"/>
        </w:rPr>
      </w:r>
    </w:p>
    <w:p>
      <w:pPr>
        <w:pStyle w:val="Roman2"/>
        <w:rPr/>
      </w:pPr>
      <w:r>
        <w:rPr/>
        <w:tab/>
        <w:tab/>
        <w:t>Occupational Activities.</w:t>
      </w:r>
    </w:p>
    <w:p>
      <w:pPr>
        <w:pStyle w:val="Normal"/>
        <w:ind w:left="285" w:hanging="285"/>
        <w:rPr>
          <w:b/>
          <w:b/>
          <w:bCs/>
          <w:u w:val="single"/>
        </w:rPr>
      </w:pPr>
      <w:r>
        <w:rPr>
          <w:b/>
          <w:bCs/>
          <w:u w:val="single"/>
        </w:rPr>
      </w:r>
    </w:p>
    <w:p>
      <w:pPr>
        <w:pStyle w:val="Roman2A"/>
        <w:rPr/>
      </w:pPr>
      <w:r>
        <w:rPr/>
        <w:tab/>
        <w:t>18.</w:t>
        <w:tab/>
      </w:r>
      <w:r>
        <w:rPr>
          <w:b/>
          <w:bCs/>
        </w:rPr>
        <w:t>Do you work to earn money?</w:t>
      </w:r>
    </w:p>
    <w:p>
      <w:pPr>
        <w:pStyle w:val="Roman2A"/>
        <w:rPr/>
      </w:pPr>
      <w:r>
        <w:rPr>
          <w:b/>
          <w:bCs/>
        </w:rPr>
        <w:tab/>
        <w:tab/>
      </w:r>
      <w:r>
        <w:rPr>
          <w:u w:val="single"/>
        </w:rPr>
        <w:t>If no, skip to question 24</w:t>
      </w:r>
      <w:r>
        <w:rPr/>
        <w:t>.</w:t>
      </w:r>
    </w:p>
    <w:p>
      <w:pPr>
        <w:pStyle w:val="Roman2A"/>
        <w:rPr/>
      </w:pPr>
      <w:r>
        <w:rPr/>
        <w:tab/>
        <w:tab/>
      </w:r>
      <w:r>
        <w:rPr>
          <w:u w:val="single"/>
        </w:rPr>
        <w:t>If yes, continue to question 19</w:t>
      </w:r>
      <w:r>
        <w:rPr/>
        <w:t>.</w:t>
      </w:r>
    </w:p>
    <w:p>
      <w:pPr>
        <w:pStyle w:val="Roman2A"/>
        <w:rPr/>
      </w:pPr>
      <w:r>
        <w:rPr/>
        <w:tab/>
        <w:tab/>
        <w:t>Respondents should report activities only if they work to earn money.  Volunteer activities will be asked about next. Unpaid household activities and caring for others were included in questions 1–6.</w:t>
      </w:r>
    </w:p>
    <w:p>
      <w:pPr>
        <w:pStyle w:val="Roman2A"/>
        <w:rPr/>
      </w:pPr>
      <w:r>
        <w:rPr/>
      </w:r>
    </w:p>
    <w:p>
      <w:pPr>
        <w:pStyle w:val="Roman2A"/>
        <w:rPr/>
      </w:pPr>
      <w:r>
        <w:rPr/>
        <w:tab/>
        <w:t>19.</w:t>
        <w:tab/>
      </w:r>
      <w:r>
        <w:rPr>
          <w:u w:val="single"/>
        </w:rPr>
        <w:t>Days/week and hours/day worked</w:t>
      </w:r>
      <w:r>
        <w:rPr/>
        <w:t>. If the respondent works at more than one job, record the total days worked per week in all jobs. To estimate the average hours worked per week, ask the respondent to consider the hours they work in the second job (or third, if applicable) and then add them to the average time they work per day. See the example about averaging time per day when activities are done longer on some days of the week than on others.</w:t>
      </w:r>
    </w:p>
    <w:p>
      <w:pPr>
        <w:pStyle w:val="Roman2A"/>
        <w:rPr>
          <w:u w:val="single"/>
        </w:rPr>
      </w:pPr>
      <w:r>
        <w:rPr>
          <w:u w:val="single"/>
        </w:rPr>
      </w:r>
    </w:p>
    <w:p>
      <w:pPr>
        <w:pStyle w:val="Roman2A"/>
        <w:rPr/>
      </w:pPr>
      <w:r>
        <w:rPr/>
        <w:tab/>
        <w:tab/>
        <w:t>Respondent should fill in the circles for the time spent in each activity at work. The hours per day for all activities should equal the total hours per day worked. Recommend that the respondent keep a cumulative total of the hours recorded doing occupational activities, in order to avoid estimating more time in occupational tasks than time they work on an average day. They can also subtract the hours from the total time worked per day as they identify how the time is spent in different types of activities.</w:t>
      </w:r>
    </w:p>
    <w:p>
      <w:pPr>
        <w:pStyle w:val="Roman2A"/>
        <w:rPr/>
      </w:pPr>
      <w:r>
        <w:rPr/>
      </w:r>
    </w:p>
    <w:p>
      <w:pPr>
        <w:pStyle w:val="Roman2A"/>
        <w:rPr/>
      </w:pPr>
      <w:r>
        <w:rPr/>
        <w:tab/>
        <w:tab/>
      </w:r>
      <w:r>
        <w:rPr>
          <w:b/>
          <w:bCs/>
          <w:i/>
          <w:iCs/>
        </w:rPr>
        <w:t>“At work, did you do….”</w:t>
      </w:r>
    </w:p>
    <w:p>
      <w:pPr>
        <w:pStyle w:val="Roman2A"/>
        <w:rPr>
          <w:b/>
          <w:b/>
          <w:bCs/>
          <w:i/>
          <w:i/>
          <w:iCs/>
        </w:rPr>
      </w:pPr>
      <w:r>
        <w:rPr>
          <w:b/>
          <w:bCs/>
          <w:i/>
          <w:iCs/>
        </w:rPr>
      </w:r>
    </w:p>
    <w:p>
      <w:pPr>
        <w:pStyle w:val="Roman2A"/>
        <w:rPr/>
      </w:pPr>
      <w:r>
        <w:rPr/>
        <w:tab/>
        <w:t>20.</w:t>
        <w:tab/>
      </w:r>
      <w:r>
        <w:rPr>
          <w:u w:val="single"/>
        </w:rPr>
        <w:t>Light Effort/Sitting Activities</w:t>
      </w:r>
      <w:r>
        <w:rPr/>
        <w:t>. For most respondents, this will be the most hours in the work day.</w:t>
      </w:r>
    </w:p>
    <w:p>
      <w:pPr>
        <w:pStyle w:val="Roman2A"/>
        <w:rPr>
          <w:u w:val="single"/>
        </w:rPr>
      </w:pPr>
      <w:r>
        <w:rPr>
          <w:u w:val="single"/>
        </w:rPr>
      </w:r>
    </w:p>
    <w:p>
      <w:pPr>
        <w:pStyle w:val="Roman2A"/>
        <w:rPr/>
      </w:pPr>
      <w:r>
        <w:rPr/>
        <w:tab/>
        <w:t>21.</w:t>
        <w:tab/>
      </w:r>
      <w:r>
        <w:rPr>
          <w:u w:val="single"/>
        </w:rPr>
        <w:t>Light Effort/Standing Activities</w:t>
      </w:r>
      <w:r>
        <w:rPr/>
        <w:t>. These are likely intermittent activities that would be done in a clerical setting (e.g., office work related to filing, using a copy machine) or sustained activities done in a labor setting (e.g., check-out clerk in a store, assembly line worker assembling parts, medical field examining patients). Teaching in a classroom falls into this category.</w:t>
      </w:r>
    </w:p>
    <w:p>
      <w:pPr>
        <w:pStyle w:val="Roman2A"/>
        <w:rPr>
          <w:u w:val="single"/>
        </w:rPr>
      </w:pPr>
      <w:r>
        <w:rPr>
          <w:u w:val="single"/>
        </w:rPr>
      </w:r>
    </w:p>
    <w:p>
      <w:pPr>
        <w:pStyle w:val="Roman2A"/>
        <w:rPr/>
      </w:pPr>
      <w:r>
        <w:rPr/>
        <w:tab/>
        <w:t>22.</w:t>
        <w:tab/>
      </w:r>
      <w:r>
        <w:rPr>
          <w:u w:val="single"/>
        </w:rPr>
        <w:t>Moderate Effort/Standing or Walking Activities</w:t>
      </w:r>
      <w:r>
        <w:rPr/>
        <w:t>: For some occupations (office work, clerical, professional), these may be more intermittent, as in walking down the hall, walking between office buildings, and delivering items. For labor settings, this could relate to jobs such as delivery person (overnight express delivery, food delivery, mail delivery) or jobs that require mostly walking and standing (nurse, custodian, physical education teacher, coach, firefighter, police officer, physical therapist).</w:t>
      </w:r>
    </w:p>
    <w:p>
      <w:pPr>
        <w:pStyle w:val="Roman2A"/>
        <w:rPr>
          <w:u w:val="single"/>
        </w:rPr>
      </w:pPr>
      <w:r>
        <w:rPr>
          <w:u w:val="single"/>
        </w:rPr>
      </w:r>
    </w:p>
    <w:p>
      <w:pPr>
        <w:pStyle w:val="Roman2A"/>
        <w:rPr/>
      </w:pPr>
      <w:r>
        <w:rPr/>
        <w:tab/>
        <w:t>23.</w:t>
        <w:tab/>
      </w:r>
      <w:r>
        <w:rPr>
          <w:u w:val="single"/>
        </w:rPr>
        <w:t>Heavy Effort</w:t>
      </w:r>
      <w:r>
        <w:rPr/>
        <w:t>: These occupations require manual effort that involves substantial movement and labor. Types of activities may include digging ditches, ranch or farm labor, delivering furniture, loading and unloading trucks, seasonal farm work.</w:t>
      </w:r>
    </w:p>
    <w:p>
      <w:pPr>
        <w:pStyle w:val="Normal"/>
        <w:ind w:left="285" w:hanging="285"/>
        <w:rPr>
          <w:u w:val="single"/>
        </w:rPr>
      </w:pPr>
      <w:r>
        <w:rPr>
          <w:u w:val="single"/>
        </w:rPr>
      </w:r>
    </w:p>
    <w:p>
      <w:pPr>
        <w:pStyle w:val="Roman2"/>
        <w:rPr/>
      </w:pPr>
      <w:r>
        <w:rPr/>
        <w:tab/>
        <w:tab/>
        <w:t>Volunteer Activities</w:t>
      </w:r>
    </w:p>
    <w:p>
      <w:pPr>
        <w:pStyle w:val="Normal"/>
        <w:ind w:left="285" w:hanging="285"/>
        <w:rPr/>
      </w:pPr>
      <w:r>
        <w:rPr/>
      </w:r>
    </w:p>
    <w:p>
      <w:pPr>
        <w:pStyle w:val="Roman2A"/>
        <w:rPr/>
      </w:pPr>
      <w:r>
        <w:rPr/>
        <w:tab/>
        <w:t>24.</w:t>
        <w:tab/>
      </w:r>
      <w:r>
        <w:rPr>
          <w:b/>
          <w:bCs/>
        </w:rPr>
        <w:t>Did you work as a volunteer doing activities you have not yet mentioned on this survey?</w:t>
      </w:r>
    </w:p>
    <w:p>
      <w:pPr>
        <w:pStyle w:val="Roman2A"/>
        <w:rPr/>
      </w:pPr>
      <w:r>
        <w:rPr>
          <w:b/>
          <w:bCs/>
        </w:rPr>
        <w:tab/>
        <w:tab/>
      </w:r>
      <w:r>
        <w:rPr>
          <w:u w:val="single"/>
        </w:rPr>
        <w:t>If no, skip to question 28</w:t>
      </w:r>
      <w:r>
        <w:rPr/>
        <w:t>.</w:t>
      </w:r>
    </w:p>
    <w:p>
      <w:pPr>
        <w:pStyle w:val="Roman2A"/>
        <w:rPr/>
      </w:pPr>
      <w:r>
        <w:rPr/>
        <w:tab/>
        <w:tab/>
      </w:r>
      <w:r>
        <w:rPr>
          <w:u w:val="single"/>
        </w:rPr>
        <w:t>If yes, continue to question 25</w:t>
      </w:r>
      <w:r>
        <w:rPr/>
        <w:t xml:space="preserve">. </w:t>
      </w:r>
    </w:p>
    <w:p>
      <w:pPr>
        <w:pStyle w:val="Roman2A"/>
        <w:rPr/>
      </w:pPr>
      <w:r>
        <w:rPr/>
        <w:tab/>
        <w:tab/>
        <w:t>This question is designed to identify time spent in unpaid, work-like activities outside the home.</w:t>
      </w:r>
    </w:p>
    <w:p>
      <w:pPr>
        <w:pStyle w:val="Roman2A"/>
        <w:rPr/>
      </w:pPr>
      <w:r>
        <w:rPr/>
      </w:r>
    </w:p>
    <w:p>
      <w:pPr>
        <w:pStyle w:val="Roman2A"/>
        <w:rPr/>
      </w:pPr>
      <w:r>
        <w:rPr/>
        <w:tab/>
        <w:tab/>
      </w:r>
      <w:r>
        <w:rPr>
          <w:b/>
          <w:bCs/>
          <w:i/>
          <w:iCs/>
        </w:rPr>
        <w:t>“Did your volunteer work include….”</w:t>
      </w:r>
    </w:p>
    <w:p>
      <w:pPr>
        <w:pStyle w:val="Roman2A"/>
        <w:rPr>
          <w:b/>
          <w:b/>
          <w:bCs/>
          <w:i/>
          <w:i/>
          <w:iCs/>
        </w:rPr>
      </w:pPr>
      <w:r>
        <w:rPr>
          <w:b/>
          <w:bCs/>
          <w:i/>
          <w:iCs/>
        </w:rPr>
      </w:r>
    </w:p>
    <w:p>
      <w:pPr>
        <w:pStyle w:val="Roman2A"/>
        <w:rPr/>
      </w:pPr>
      <w:r>
        <w:rPr/>
        <w:tab/>
        <w:t>25.</w:t>
        <w:tab/>
      </w:r>
      <w:r>
        <w:rPr>
          <w:u w:val="single"/>
        </w:rPr>
        <w:t>Light Effort</w:t>
      </w:r>
      <w:r>
        <w:rPr/>
        <w:t>. The respondent should identify light activities that required little effort and were done predominantly while sitting or standing (e.g., cooking at church banquet).</w:t>
      </w:r>
    </w:p>
    <w:p>
      <w:pPr>
        <w:pStyle w:val="Roman2A"/>
        <w:rPr>
          <w:u w:val="single"/>
        </w:rPr>
      </w:pPr>
      <w:r>
        <w:rPr>
          <w:u w:val="single"/>
        </w:rPr>
      </w:r>
    </w:p>
    <w:p>
      <w:pPr>
        <w:pStyle w:val="Roman2A"/>
        <w:rPr/>
      </w:pPr>
      <w:r>
        <w:rPr/>
        <w:tab/>
        <w:t>26.</w:t>
        <w:tab/>
      </w:r>
      <w:r>
        <w:rPr>
          <w:u w:val="single"/>
        </w:rPr>
        <w:t>Moderate Effort</w:t>
      </w:r>
      <w:r>
        <w:rPr/>
        <w:t>:  The respondent should identify activities that required moderate effort and were done predominantly while standing and walking (e.g., participating in a neighborhood clean-up project).</w:t>
      </w:r>
    </w:p>
    <w:p>
      <w:pPr>
        <w:pStyle w:val="Roman2A"/>
        <w:rPr>
          <w:u w:val="single"/>
        </w:rPr>
      </w:pPr>
      <w:r>
        <w:rPr>
          <w:u w:val="single"/>
        </w:rPr>
      </w:r>
    </w:p>
    <w:p>
      <w:pPr>
        <w:pStyle w:val="Roman2A"/>
        <w:rPr/>
      </w:pPr>
      <w:r>
        <w:rPr/>
        <w:tab/>
        <w:t>27.</w:t>
        <w:tab/>
      </w:r>
      <w:r>
        <w:rPr>
          <w:u w:val="single"/>
        </w:rPr>
        <w:t>Heavy Effort</w:t>
      </w:r>
      <w:r>
        <w:rPr/>
        <w:t>. The respondent should identify activities that required heavy effort, such as pushing, lifting, carrying, and climbing (e.g., building a house for Habitat for Humanity.</w:t>
      </w:r>
    </w:p>
    <w:p>
      <w:pPr>
        <w:pStyle w:val="Normal"/>
        <w:ind w:left="285" w:hanging="285"/>
        <w:rPr/>
      </w:pPr>
      <w:r>
        <w:rPr/>
      </w:r>
    </w:p>
    <w:p>
      <w:pPr>
        <w:pStyle w:val="Roman2"/>
        <w:rPr/>
      </w:pPr>
      <w:r>
        <w:rPr/>
        <w:tab/>
        <w:tab/>
        <w:t>Walking Pace</w:t>
      </w:r>
    </w:p>
    <w:p>
      <w:pPr>
        <w:pStyle w:val="Normal"/>
        <w:ind w:left="285" w:hanging="285"/>
        <w:rPr/>
      </w:pPr>
      <w:r>
        <w:rPr/>
      </w:r>
    </w:p>
    <w:p>
      <w:pPr>
        <w:pStyle w:val="Roman2A"/>
        <w:rPr/>
      </w:pPr>
      <w:r>
        <w:rPr/>
        <w:tab/>
        <w:t>28.</w:t>
        <w:tab/>
      </w:r>
      <w:r>
        <w:rPr>
          <w:b/>
          <w:bCs/>
        </w:rPr>
        <w:t>When you walk outside of your home, what is your usual pace?</w:t>
      </w:r>
    </w:p>
    <w:p>
      <w:pPr>
        <w:pStyle w:val="Roman2A"/>
        <w:rPr/>
      </w:pPr>
      <w:r>
        <w:rPr>
          <w:b/>
          <w:bCs/>
        </w:rPr>
        <w:tab/>
        <w:tab/>
      </w:r>
      <w:r>
        <w:rPr/>
        <w:t xml:space="preserve">Fill in appropriate circle. Ask respondent to estimate the usual pace he/she walks most of the time. Consider all walking activities (e.g., at work, on the way to work, for exercise, in walking with children or others, or when running errands). </w:t>
      </w:r>
    </w:p>
    <w:p>
      <w:pPr>
        <w:pStyle w:val="Roman2A"/>
        <w:rPr/>
      </w:pPr>
      <w:r>
        <w:rPr/>
      </w:r>
    </w:p>
    <w:p>
      <w:pPr>
        <w:pStyle w:val="Roman2A"/>
        <w:rPr/>
      </w:pPr>
      <w:r>
        <w:rPr/>
        <w:tab/>
        <w:tab/>
        <w:t>Offer the following guidelines:</w:t>
      </w:r>
    </w:p>
    <w:p>
      <w:pPr>
        <w:pStyle w:val="Normal"/>
        <w:ind w:left="285" w:hanging="285"/>
        <w:rPr/>
      </w:pPr>
      <w:r>
        <w:rPr/>
      </w:r>
    </w:p>
    <w:p>
      <w:pPr>
        <w:pStyle w:val="Roman2A1"/>
        <w:rPr/>
      </w:pPr>
      <w:r>
        <w:rPr/>
        <w:tab/>
      </w:r>
      <w:r>
        <w:rPr>
          <w:rFonts w:eastAsia="Symbol" w:cs="Symbol" w:ascii="Symbol" w:hAnsi="Symbol"/>
        </w:rPr>
        <w:t></w:t>
      </w:r>
      <w:r>
        <w:rPr/>
        <w:tab/>
        <w:t>2 mph = 30 minutes per mile (slow or casual)</w:t>
      </w:r>
    </w:p>
    <w:p>
      <w:pPr>
        <w:pStyle w:val="Roman2A1"/>
        <w:rPr/>
      </w:pPr>
      <w:r>
        <w:rPr/>
        <w:tab/>
      </w:r>
      <w:r>
        <w:rPr>
          <w:rFonts w:eastAsia="Symbol" w:cs="Symbol" w:ascii="Symbol" w:hAnsi="Symbol"/>
        </w:rPr>
        <w:t></w:t>
      </w:r>
      <w:r>
        <w:rPr/>
        <w:tab/>
        <w:t>2-3 mph = 20-30 minutes per mile (typical or average)</w:t>
      </w:r>
    </w:p>
    <w:p>
      <w:pPr>
        <w:pStyle w:val="Roman2A1"/>
        <w:rPr/>
      </w:pPr>
      <w:r>
        <w:rPr/>
        <w:tab/>
      </w:r>
      <w:r>
        <w:rPr>
          <w:rFonts w:eastAsia="Symbol" w:cs="Symbol" w:ascii="Symbol" w:hAnsi="Symbol"/>
        </w:rPr>
        <w:t></w:t>
      </w:r>
      <w:r>
        <w:rPr/>
        <w:tab/>
        <w:t>4-5 mph = 12-15 minutes per mile (very fast or almost a slow jog)</w:t>
      </w:r>
    </w:p>
    <w:p>
      <w:pPr>
        <w:pStyle w:val="Roman2A1"/>
        <w:rPr/>
      </w:pPr>
      <w:r>
        <w:rPr/>
        <w:tab/>
      </w:r>
      <w:r>
        <w:rPr>
          <w:rFonts w:eastAsia="Symbol" w:cs="Symbol" w:ascii="Symbol" w:hAnsi="Symbol"/>
        </w:rPr>
        <w:t></w:t>
      </w:r>
      <w:r>
        <w:rPr/>
        <w:tab/>
        <w:t>More than 5 mph = 10 minutes per mile (race-walking)</w:t>
      </w:r>
    </w:p>
    <w:p>
      <w:pPr>
        <w:sectPr>
          <w:headerReference w:type="even" r:id="rId80"/>
          <w:headerReference w:type="default" r:id="rId81"/>
          <w:footerReference w:type="even" r:id="rId82"/>
          <w:footerReference w:type="default" r:id="rId83"/>
          <w:type w:val="oddPage"/>
          <w:pgSz w:w="12240" w:h="15840"/>
          <w:pgMar w:left="2880" w:right="1080" w:gutter="0" w:header="720" w:top="1440" w:footer="720" w:bottom="1440"/>
          <w:pgNumType w:fmt="decimal"/>
          <w:formProt w:val="false"/>
          <w:textDirection w:val="lrTb"/>
          <w:docGrid w:type="default" w:linePitch="360" w:charSpace="0"/>
        </w:sectPr>
        <w:pStyle w:val="Normal"/>
        <w:ind w:left="285" w:hanging="285"/>
        <w:rPr>
          <w:sz w:val="22"/>
        </w:rPr>
      </w:pPr>
      <w:r>
        <w:rPr>
          <w:sz w:val="22"/>
        </w:rPr>
      </w:r>
    </w:p>
    <w:p>
      <w:pPr>
        <w:pStyle w:val="Subsub"/>
        <w:rPr/>
      </w:pPr>
      <w:bookmarkStart w:id="21" w:name="__RefHeading___Toc503858977"/>
      <w:bookmarkEnd w:id="21"/>
      <w:r>
        <w:rPr/>
        <w:t>3.4.7  Health and Life</w:t>
      </w:r>
    </w:p>
    <w:p>
      <w:pPr>
        <w:pStyle w:val="Heading1"/>
        <w:rPr/>
      </w:pPr>
      <w:r>
        <w:rPr/>
      </w:r>
    </w:p>
    <w:p>
      <w:pPr>
        <w:pStyle w:val="Normal"/>
        <w:rPr/>
      </w:pPr>
      <w:r>
        <w:rPr/>
      </w:r>
    </w:p>
    <w:p>
      <w:pPr>
        <w:pStyle w:val="Romanbold"/>
        <w:rPr/>
      </w:pPr>
      <w:r>
        <w:rPr/>
        <w:tab/>
        <w:t>I.</w:t>
        <w:tab/>
        <w:t>Purpose</w:t>
      </w:r>
    </w:p>
    <w:p>
      <w:pPr>
        <w:pStyle w:val="Romanbody"/>
        <w:rPr/>
      </w:pPr>
      <w:r>
        <w:rPr/>
      </w:r>
    </w:p>
    <w:p>
      <w:pPr>
        <w:pStyle w:val="Romanbody"/>
        <w:rPr/>
      </w:pPr>
      <w:r>
        <w:rPr/>
        <w:t xml:space="preserve">This questionnaire includes several instruments designed to measure psychosocial characteristics that may be important in understanding the causes of cardiovascular disease. These psychosocial factors may themselves lead to increased risk of cardiovascular disease or may interact with other traditional risk factors, such as diet or sedentary lifestyle. The areas assessed as part of this questionnaire include anger, anxiety, depression, chronic burden (stress), and emotional social support. A section on perceptions of unfair treatment or discrimination is also included, because it has been suggested that the perception of discrimination may be an important source of stress for some social groups. </w:t>
      </w:r>
    </w:p>
    <w:p>
      <w:pPr>
        <w:pStyle w:val="Normal"/>
        <w:rPr/>
      </w:pPr>
      <w:r>
        <w:rPr/>
      </w:r>
    </w:p>
    <w:p>
      <w:pPr>
        <w:pStyle w:val="Romanbold"/>
        <w:rPr/>
      </w:pPr>
      <w:r>
        <w:rPr/>
        <w:tab/>
        <w:t xml:space="preserve">II. </w:t>
        <w:tab/>
        <w:t>Materials/Equipment</w:t>
      </w:r>
    </w:p>
    <w:p>
      <w:pPr>
        <w:pStyle w:val="Normal"/>
        <w:rPr/>
      </w:pPr>
      <w:r>
        <w:rPr/>
      </w:r>
    </w:p>
    <w:p>
      <w:pPr>
        <w:pStyle w:val="Romanbody"/>
        <w:rPr/>
      </w:pPr>
      <w:r>
        <w:rPr/>
        <w:t xml:space="preserve">This is a self-administered form. Provide the participant with the form and a pencil and give brief instructions for completion. </w:t>
      </w:r>
    </w:p>
    <w:p>
      <w:pPr>
        <w:pStyle w:val="Normal"/>
        <w:rPr/>
      </w:pPr>
      <w:r>
        <w:rPr/>
      </w:r>
    </w:p>
    <w:p>
      <w:pPr>
        <w:pStyle w:val="Romanbold"/>
        <w:rPr/>
      </w:pPr>
      <w:r>
        <w:rPr/>
        <w:t xml:space="preserve"> </w:t>
      </w:r>
      <w:r>
        <w:rPr/>
        <w:tab/>
        <w:t xml:space="preserve">III. </w:t>
        <w:tab/>
        <w:t>Definitions</w:t>
      </w:r>
    </w:p>
    <w:p>
      <w:pPr>
        <w:pStyle w:val="Normal"/>
        <w:rPr>
          <w:b/>
          <w:b/>
        </w:rPr>
      </w:pPr>
      <w:r>
        <w:rPr>
          <w:b/>
        </w:rPr>
      </w:r>
    </w:p>
    <w:p>
      <w:pPr>
        <w:pStyle w:val="Romanbody"/>
        <w:rPr/>
      </w:pPr>
      <w:r>
        <w:rPr/>
        <w:t xml:space="preserve">The terms used in the questionnaire should require no explanation, because they are used in the way they tend to be used by most people in every day life. </w:t>
      </w:r>
    </w:p>
    <w:p>
      <w:pPr>
        <w:pStyle w:val="Normal"/>
        <w:rPr>
          <w:b/>
          <w:b/>
        </w:rPr>
      </w:pPr>
      <w:r>
        <w:rPr>
          <w:b/>
        </w:rPr>
      </w:r>
    </w:p>
    <w:p>
      <w:pPr>
        <w:pStyle w:val="Romanbold"/>
        <w:rPr/>
      </w:pPr>
      <w:r>
        <w:rPr/>
        <w:tab/>
        <w:t xml:space="preserve">IV. </w:t>
        <w:tab/>
        <w:t>Methods</w:t>
      </w:r>
    </w:p>
    <w:p>
      <w:pPr>
        <w:pStyle w:val="Normal"/>
        <w:rPr/>
      </w:pPr>
      <w:r>
        <w:rPr/>
      </w:r>
    </w:p>
    <w:p>
      <w:pPr>
        <w:pStyle w:val="Number1"/>
        <w:rPr/>
      </w:pPr>
      <w:r>
        <w:rPr/>
        <w:tab/>
        <w:t>1.</w:t>
        <w:tab/>
      </w:r>
      <w:r>
        <w:rPr>
          <w:u w:val="single"/>
        </w:rPr>
        <w:t>General Instructions</w:t>
      </w:r>
    </w:p>
    <w:p>
      <w:pPr>
        <w:pStyle w:val="Number1body"/>
        <w:rPr/>
      </w:pPr>
      <w:r>
        <w:rPr/>
      </w:r>
    </w:p>
    <w:p>
      <w:pPr>
        <w:pStyle w:val="Number11"/>
        <w:rPr/>
      </w:pPr>
      <w:r>
        <w:rPr/>
        <w:tab/>
        <w:t>1.1</w:t>
        <w:tab/>
        <w:t>It is important that the participant have some private time in a quiet area to complete the form. The participant should be led to a quiet location with a table, handed the form and a pencil for completion and told to answer each question by darkening the circle of the appropriate response. Review the top section of the form with the participant before starting. Emphasize that there are no right or wrong answers and that we are interested in their feelings and opinions about things. Also emphasize that they should not spend too much time on any one question.  Show them that additional instructions are provided at the beginning of each section.</w:t>
      </w:r>
    </w:p>
    <w:p>
      <w:pPr>
        <w:pStyle w:val="Number11"/>
        <w:rPr/>
      </w:pPr>
      <w:r>
        <w:rPr/>
      </w:r>
    </w:p>
    <w:p>
      <w:pPr>
        <w:pStyle w:val="Number11"/>
        <w:rPr/>
      </w:pPr>
      <w:r>
        <w:rPr/>
        <w:tab/>
        <w:t>1.2</w:t>
        <w:tab/>
        <w:t xml:space="preserve">The participant should be asked to try to respond to all questions, unless instructed to skip the question. Remind them to request assistance from a staff member if anything is unclear. Most participants should be able to complete the questionnaire on their own. However, if the participant expresses or appears to have difficulty reading or comprehending the questions, offer to help and make arrangements for an interviewer administered version in the appropriate language.  </w:t>
      </w:r>
    </w:p>
    <w:p>
      <w:pPr>
        <w:pStyle w:val="Number11"/>
        <w:rPr/>
      </w:pPr>
      <w:r>
        <w:rPr/>
      </w:r>
    </w:p>
    <w:p>
      <w:pPr>
        <w:pStyle w:val="Number11"/>
        <w:rPr/>
      </w:pPr>
      <w:r>
        <w:rPr/>
        <w:tab/>
        <w:t>1.3</w:t>
        <w:tab/>
        <w:t>Important points for interviewers and participants to consider:</w:t>
      </w:r>
    </w:p>
    <w:p>
      <w:pPr>
        <w:pStyle w:val="Number11"/>
        <w:rPr/>
      </w:pPr>
      <w:r>
        <w:rPr/>
      </w:r>
    </w:p>
    <w:p>
      <w:pPr>
        <w:pStyle w:val="Number11bodybullet"/>
        <w:rPr/>
      </w:pPr>
      <w:r>
        <w:rPr/>
        <w:tab/>
      </w:r>
      <w:r>
        <w:rPr>
          <w:rFonts w:eastAsia="Symbol" w:cs="Symbol" w:ascii="Symbol" w:hAnsi="Symbol"/>
        </w:rPr>
        <w:t></w:t>
      </w:r>
      <w:r>
        <w:rPr/>
        <w:tab/>
        <w:t>If the topic should arise, remind participants that all information is strictly confidential and will only be used for research purposes. Explain that things about people’s lives, including the stressful situations they go though, may be important to their health. Knowing about these things may help us understand the causes of heart disease better. Also emphasize that it is important to get complete data so that the study results will be valid. However, if a participant is upset by the questions or does not want to answer, he or she should feel free to skip the question or section. Refusal to answer the questions will not jeopardize his/her participation in the study.</w:t>
      </w:r>
    </w:p>
    <w:p>
      <w:pPr>
        <w:pStyle w:val="Number11"/>
        <w:rPr/>
      </w:pPr>
      <w:r>
        <w:rPr/>
      </w:r>
    </w:p>
    <w:p>
      <w:pPr>
        <w:pStyle w:val="Number11bodybullet"/>
        <w:rPr/>
      </w:pPr>
      <w:r>
        <w:rPr/>
        <w:tab/>
      </w:r>
      <w:r>
        <w:rPr>
          <w:rFonts w:eastAsia="Symbol" w:cs="Symbol" w:ascii="Symbol" w:hAnsi="Symbol"/>
        </w:rPr>
        <w:t></w:t>
      </w:r>
      <w:r>
        <w:rPr/>
        <w:tab/>
        <w:t>The measurement of these dimensions is complex. Generally they are measured using scales or collections of questions that attempt to get at the same underlying concept in different ways. For this reason some of the questions may seem repetitive. If questions on this should arise, acknowledge that some questions may seem similar, but ask participants to respond to each one separately as best they can.</w:t>
      </w:r>
    </w:p>
    <w:p>
      <w:pPr>
        <w:pStyle w:val="Number11bodybullet"/>
        <w:rPr/>
      </w:pPr>
      <w:r>
        <w:rPr/>
      </w:r>
    </w:p>
    <w:p>
      <w:pPr>
        <w:pStyle w:val="Number11bodybullet"/>
        <w:rPr/>
      </w:pPr>
      <w:r>
        <w:rPr/>
        <w:tab/>
      </w:r>
      <w:r>
        <w:rPr>
          <w:rFonts w:eastAsia="Symbol" w:cs="Symbol" w:ascii="Symbol" w:hAnsi="Symbol"/>
        </w:rPr>
        <w:t></w:t>
      </w:r>
      <w:r>
        <w:rPr/>
        <w:tab/>
        <w:t>The terms used should be understood by most people. If the participant asks about the meaning of any item or tries to qualify a statement, please re-read the statement (or question) to them. Obtain a copy of a translated form if necessary. Do not attempt to explain the question or provide synonyms (unless specified in the specific instructions below), because this may create problems for some of the scales.</w:t>
      </w:r>
    </w:p>
    <w:p>
      <w:pPr>
        <w:pStyle w:val="Number11"/>
        <w:rPr/>
      </w:pPr>
      <w:r>
        <w:rPr/>
      </w:r>
    </w:p>
    <w:p>
      <w:pPr>
        <w:pStyle w:val="Number1"/>
        <w:rPr/>
      </w:pPr>
      <w:r>
        <w:rPr/>
        <w:t xml:space="preserve"> </w:t>
      </w:r>
      <w:r>
        <w:rPr/>
        <w:tab/>
        <w:t>2.</w:t>
        <w:tab/>
      </w:r>
      <w:r>
        <w:rPr>
          <w:u w:val="single"/>
        </w:rPr>
        <w:t>Specific Instructions</w:t>
      </w:r>
    </w:p>
    <w:p>
      <w:pPr>
        <w:pStyle w:val="Normal"/>
        <w:rPr/>
      </w:pPr>
      <w:r>
        <w:rPr/>
      </w:r>
    </w:p>
    <w:p>
      <w:pPr>
        <w:pStyle w:val="Number11"/>
        <w:rPr/>
      </w:pPr>
      <w:r>
        <w:rPr/>
        <w:tab/>
        <w:t>2.1</w:t>
        <w:tab/>
        <w:t xml:space="preserve">Questions 1A–1T correspond to the Spielberger trait anger and trait anxiety scales. The instruction on the form reads, </w:t>
      </w:r>
      <w:r>
        <w:rPr>
          <w:rFonts w:cs="Arial;Arial" w:ascii="Arial;Arial" w:hAnsi="Arial;Arial"/>
          <w:b/>
          <w:bCs/>
          <w:sz w:val="20"/>
        </w:rPr>
        <w:t>“For each of the following statements, please choose the one response that best describes you.”</w:t>
      </w:r>
      <w:r>
        <w:rPr/>
        <w:t xml:space="preserve"> Possible answers are “almost never,” “sometimes,” “often,” “almost always.” Answers are selected by filling in the appropriate circle.</w:t>
      </w:r>
    </w:p>
    <w:p>
      <w:pPr>
        <w:pStyle w:val="Number11"/>
        <w:rPr/>
      </w:pPr>
      <w:r>
        <w:rPr/>
        <w:tab/>
      </w:r>
    </w:p>
    <w:p>
      <w:pPr>
        <w:pStyle w:val="Number11"/>
        <w:rPr/>
      </w:pPr>
      <w:r>
        <w:rPr/>
        <w:tab/>
        <w:tab/>
      </w:r>
      <w:r>
        <w:rPr>
          <w:b/>
          <w:bCs/>
        </w:rPr>
        <w:t>Question 1:</w:t>
      </w:r>
    </w:p>
    <w:p>
      <w:pPr>
        <w:pStyle w:val="Number11"/>
        <w:rPr>
          <w:b/>
          <w:b/>
          <w:bCs/>
        </w:rPr>
      </w:pPr>
      <w:r>
        <w:rPr>
          <w:b/>
          <w:bCs/>
        </w:rPr>
      </w:r>
    </w:p>
    <w:p>
      <w:pPr>
        <w:pStyle w:val="Number111"/>
        <w:rPr/>
      </w:pPr>
      <w:r>
        <w:rPr/>
        <w:tab/>
        <w:t>A.</w:t>
        <w:tab/>
        <w:t>I am quick tempered</w:t>
      </w:r>
    </w:p>
    <w:p>
      <w:pPr>
        <w:pStyle w:val="Number111"/>
        <w:rPr/>
      </w:pPr>
      <w:r>
        <w:rPr/>
        <w:tab/>
        <w:t>B.</w:t>
        <w:tab/>
        <w:t>I have a fiery temper</w:t>
      </w:r>
    </w:p>
    <w:p>
      <w:pPr>
        <w:pStyle w:val="Number111"/>
        <w:rPr/>
      </w:pPr>
      <w:r>
        <w:rPr/>
        <w:tab/>
        <w:t>C.</w:t>
        <w:tab/>
        <w:t>I am a hotheaded person</w:t>
      </w:r>
    </w:p>
    <w:p>
      <w:pPr>
        <w:pStyle w:val="Number111"/>
        <w:rPr/>
      </w:pPr>
      <w:r>
        <w:rPr/>
        <w:tab/>
        <w:t>D.</w:t>
        <w:tab/>
        <w:t>I get angry when I’m slowed down by others’ mistakes</w:t>
      </w:r>
    </w:p>
    <w:p>
      <w:pPr>
        <w:pStyle w:val="Number111"/>
        <w:rPr/>
      </w:pPr>
      <w:r>
        <w:rPr/>
        <w:tab/>
        <w:t>E.</w:t>
        <w:tab/>
        <w:t>I fly off the handle</w:t>
      </w:r>
    </w:p>
    <w:p>
      <w:pPr>
        <w:pStyle w:val="Number111"/>
        <w:rPr/>
      </w:pPr>
      <w:r>
        <w:rPr/>
        <w:tab/>
        <w:t>G.</w:t>
        <w:tab/>
        <w:t>When I get mad, I say nasty things</w:t>
      </w:r>
    </w:p>
    <w:p>
      <w:pPr>
        <w:pStyle w:val="Number111"/>
        <w:rPr/>
      </w:pPr>
      <w:r>
        <w:rPr/>
        <w:tab/>
        <w:t>H.</w:t>
        <w:tab/>
        <w:t>It makes me furious when I am criticized in front of others</w:t>
      </w:r>
    </w:p>
    <w:p>
      <w:pPr>
        <w:pStyle w:val="Number111"/>
        <w:rPr/>
      </w:pPr>
      <w:r>
        <w:rPr/>
        <w:tab/>
        <w:t>I.</w:t>
        <w:tab/>
        <w:t>When I get frustrated, I feel like hitting someone</w:t>
      </w:r>
    </w:p>
    <w:p>
      <w:pPr>
        <w:pStyle w:val="Number111"/>
        <w:rPr/>
      </w:pPr>
      <w:r>
        <w:rPr/>
        <w:tab/>
        <w:t>J.</w:t>
        <w:tab/>
        <w:t>I feel infuriated when I do a good job and get a poor evaluation</w:t>
      </w:r>
    </w:p>
    <w:p>
      <w:pPr>
        <w:pStyle w:val="Number111"/>
        <w:rPr/>
      </w:pPr>
      <w:r>
        <w:rPr/>
        <w:tab/>
        <w:t>K.</w:t>
        <w:tab/>
        <w:t>I am a steady person</w:t>
      </w:r>
    </w:p>
    <w:p>
      <w:pPr>
        <w:pStyle w:val="Number111"/>
        <w:rPr/>
      </w:pPr>
      <w:r>
        <w:rPr/>
        <w:tab/>
        <w:t>L.</w:t>
        <w:tab/>
        <w:t>I feel satisfied with  myself</w:t>
      </w:r>
    </w:p>
    <w:p>
      <w:pPr>
        <w:pStyle w:val="Number111"/>
        <w:rPr/>
      </w:pPr>
      <w:r>
        <w:rPr/>
        <w:tab/>
        <w:t>M.</w:t>
        <w:tab/>
        <w:t>I feel nervous and restless</w:t>
      </w:r>
    </w:p>
    <w:p>
      <w:pPr>
        <w:pStyle w:val="Number111"/>
        <w:rPr/>
      </w:pPr>
      <w:r>
        <w:rPr/>
        <w:tab/>
        <w:t>N.</w:t>
        <w:tab/>
        <w:t>I wish I could be as happy as others seem to be</w:t>
      </w:r>
    </w:p>
    <w:p>
      <w:pPr>
        <w:pStyle w:val="Number111"/>
        <w:rPr/>
      </w:pPr>
      <w:r>
        <w:rPr/>
        <w:tab/>
        <w:t>O.</w:t>
        <w:tab/>
        <w:t>I feel like a failure</w:t>
      </w:r>
    </w:p>
    <w:p>
      <w:pPr>
        <w:pStyle w:val="Number111"/>
        <w:rPr/>
      </w:pPr>
      <w:r>
        <w:rPr/>
        <w:tab/>
        <w:t>P.</w:t>
        <w:tab/>
        <w:t>I get in a state of turmoil or tension as I think over my recent concerns and interests</w:t>
      </w:r>
    </w:p>
    <w:p>
      <w:pPr>
        <w:pStyle w:val="Number111"/>
        <w:rPr/>
      </w:pPr>
      <w:r>
        <w:rPr/>
        <w:tab/>
        <w:t>Q.</w:t>
        <w:tab/>
        <w:t>I feel secure</w:t>
      </w:r>
    </w:p>
    <w:p>
      <w:pPr>
        <w:pStyle w:val="Number111"/>
        <w:rPr/>
      </w:pPr>
      <w:r>
        <w:rPr/>
        <w:tab/>
        <w:t>R.</w:t>
        <w:tab/>
        <w:t>I lack self-confidence</w:t>
      </w:r>
    </w:p>
    <w:p>
      <w:pPr>
        <w:pStyle w:val="Number111"/>
        <w:rPr/>
      </w:pPr>
      <w:r>
        <w:rPr/>
        <w:tab/>
        <w:t>S.</w:t>
        <w:tab/>
        <w:t>I feel inadequate</w:t>
      </w:r>
    </w:p>
    <w:p>
      <w:pPr>
        <w:pStyle w:val="Number111"/>
        <w:rPr/>
      </w:pPr>
      <w:r>
        <w:rPr/>
        <w:tab/>
        <w:t>T.</w:t>
        <w:tab/>
        <w:t>I worry too much over something that does not matter</w:t>
      </w:r>
    </w:p>
    <w:p>
      <w:pPr>
        <w:pStyle w:val="Number11"/>
        <w:rPr/>
      </w:pPr>
      <w:r>
        <w:rPr/>
      </w:r>
    </w:p>
    <w:p>
      <w:pPr>
        <w:pStyle w:val="Number11"/>
        <w:rPr/>
      </w:pPr>
      <w:r>
        <w:rPr/>
        <w:tab/>
        <w:t>2.2</w:t>
        <w:tab/>
        <w:t xml:space="preserve">Questions 2–6 were designed to measure chronic burden or stress. </w:t>
      </w:r>
    </w:p>
    <w:p>
      <w:pPr>
        <w:pStyle w:val="Number11"/>
        <w:rPr/>
      </w:pPr>
      <w:r>
        <w:rPr/>
        <w:tab/>
        <w:tab/>
        <w:t xml:space="preserve">(There is no strict definition of "ongoing". If asked, say "something that has been going on for a while." If the question arises, financial strain can be clarified as "economic or money problems.”) The instruction on the form reads, </w:t>
      </w:r>
      <w:r>
        <w:rPr>
          <w:rFonts w:cs="Arial;Arial" w:ascii="Arial;Arial" w:hAnsi="Arial;Arial"/>
          <w:b/>
          <w:bCs/>
          <w:sz w:val="20"/>
        </w:rPr>
        <w:t>“Many people experience ongoing problems in their everyday lives. Please tell us whether any of the following has been a problem for you.”</w:t>
      </w:r>
      <w:r>
        <w:rPr/>
        <w:t xml:space="preserve"> Possible answers are “yes” or “no.” Answers are selected by filling in the appropriate circle.</w:t>
      </w:r>
    </w:p>
    <w:p>
      <w:pPr>
        <w:pStyle w:val="Number11"/>
        <w:rPr/>
      </w:pPr>
      <w:r>
        <w:rPr/>
      </w:r>
    </w:p>
    <w:p>
      <w:pPr>
        <w:pStyle w:val="Number11"/>
        <w:rPr/>
      </w:pPr>
      <w:r>
        <w:rPr/>
        <w:tab/>
        <w:tab/>
      </w:r>
      <w:r>
        <w:rPr>
          <w:b/>
          <w:bCs/>
        </w:rPr>
        <w:t>Question 2:</w:t>
      </w:r>
    </w:p>
    <w:p>
      <w:pPr>
        <w:pStyle w:val="Number11"/>
        <w:rPr>
          <w:b/>
          <w:b/>
          <w:bCs/>
        </w:rPr>
      </w:pPr>
      <w:r>
        <w:rPr>
          <w:b/>
          <w:bCs/>
        </w:rPr>
      </w:r>
    </w:p>
    <w:p>
      <w:pPr>
        <w:pStyle w:val="Number111"/>
        <w:rPr/>
      </w:pPr>
      <w:r>
        <w:rPr/>
        <w:tab/>
        <w:t>a.</w:t>
        <w:tab/>
        <w:t>Serious ongoing health problem (yourself)</w:t>
      </w:r>
    </w:p>
    <w:p>
      <w:pPr>
        <w:pStyle w:val="Number111"/>
        <w:rPr/>
      </w:pPr>
      <w:r>
        <w:rPr/>
        <w:tab/>
        <w:tab/>
      </w:r>
      <w:r>
        <w:rPr>
          <w:u w:val="single"/>
        </w:rPr>
        <w:t>If no, skip to question 3</w:t>
      </w:r>
    </w:p>
    <w:p>
      <w:pPr>
        <w:pStyle w:val="Number111"/>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pPr>
      <w:r>
        <w:rPr/>
        <w:tab/>
        <w:tab/>
      </w:r>
      <w:r>
        <w:rPr>
          <w:b/>
          <w:bCs/>
        </w:rPr>
        <w:t>Question 3:</w:t>
      </w:r>
    </w:p>
    <w:p>
      <w:pPr>
        <w:pStyle w:val="Number11"/>
        <w:rPr>
          <w:b/>
          <w:b/>
          <w:bCs/>
        </w:rPr>
      </w:pPr>
      <w:r>
        <w:rPr>
          <w:b/>
          <w:bCs/>
        </w:rPr>
      </w:r>
    </w:p>
    <w:p>
      <w:pPr>
        <w:pStyle w:val="Number111"/>
        <w:rPr/>
      </w:pPr>
      <w:r>
        <w:rPr/>
        <w:tab/>
        <w:t>a.</w:t>
        <w:tab/>
        <w:t>Serious ongoing health problem (someone close to you)</w:t>
      </w:r>
    </w:p>
    <w:p>
      <w:pPr>
        <w:pStyle w:val="Number111"/>
        <w:rPr/>
      </w:pPr>
      <w:r>
        <w:rPr/>
        <w:tab/>
        <w:tab/>
      </w:r>
      <w:r>
        <w:rPr>
          <w:u w:val="single"/>
        </w:rPr>
        <w:t>If no, skip to question 4</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4:</w:t>
      </w:r>
    </w:p>
    <w:p>
      <w:pPr>
        <w:pStyle w:val="Number11"/>
        <w:rPr>
          <w:b/>
          <w:b/>
          <w:bCs/>
        </w:rPr>
      </w:pPr>
      <w:r>
        <w:rPr>
          <w:b/>
          <w:bCs/>
        </w:rPr>
      </w:r>
    </w:p>
    <w:p>
      <w:pPr>
        <w:pStyle w:val="Number111"/>
        <w:rPr/>
      </w:pPr>
      <w:r>
        <w:rPr/>
        <w:tab/>
        <w:t>a.</w:t>
        <w:tab/>
        <w:t>Ongoing work difficulties with your job or ability to work</w:t>
      </w:r>
    </w:p>
    <w:p>
      <w:pPr>
        <w:pStyle w:val="Number111"/>
        <w:rPr/>
      </w:pPr>
      <w:r>
        <w:rPr/>
        <w:tab/>
        <w:tab/>
      </w:r>
      <w:r>
        <w:rPr>
          <w:u w:val="single"/>
        </w:rPr>
        <w:t>If no, skip to question 5</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5:</w:t>
      </w:r>
    </w:p>
    <w:p>
      <w:pPr>
        <w:pStyle w:val="Number11"/>
        <w:rPr>
          <w:b/>
          <w:b/>
          <w:bCs/>
        </w:rPr>
      </w:pPr>
      <w:r>
        <w:rPr>
          <w:b/>
          <w:bCs/>
        </w:rPr>
      </w:r>
    </w:p>
    <w:p>
      <w:pPr>
        <w:pStyle w:val="Number111"/>
        <w:rPr/>
      </w:pPr>
      <w:r>
        <w:rPr/>
        <w:tab/>
        <w:t>a.</w:t>
        <w:tab/>
        <w:t>Ongoing financial strain</w:t>
      </w:r>
    </w:p>
    <w:p>
      <w:pPr>
        <w:pStyle w:val="Number111"/>
        <w:rPr/>
      </w:pPr>
      <w:r>
        <w:rPr/>
        <w:tab/>
        <w:tab/>
      </w:r>
      <w:r>
        <w:rPr>
          <w:u w:val="single"/>
        </w:rPr>
        <w:t>If no, skip to question 6</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6:</w:t>
      </w:r>
    </w:p>
    <w:p>
      <w:pPr>
        <w:pStyle w:val="Number11"/>
        <w:rPr>
          <w:b/>
          <w:b/>
          <w:bCs/>
        </w:rPr>
      </w:pPr>
      <w:r>
        <w:rPr>
          <w:b/>
          <w:bCs/>
        </w:rPr>
      </w:r>
    </w:p>
    <w:p>
      <w:pPr>
        <w:pStyle w:val="Number111"/>
        <w:rPr/>
      </w:pPr>
      <w:r>
        <w:rPr/>
        <w:tab/>
        <w:t>a.</w:t>
        <w:tab/>
        <w:t>Ongoing difficulties in a relationship with someone close to you</w:t>
      </w:r>
    </w:p>
    <w:p>
      <w:pPr>
        <w:pStyle w:val="Number111"/>
        <w:rPr/>
      </w:pPr>
      <w:r>
        <w:rPr/>
        <w:tab/>
        <w:tab/>
      </w:r>
      <w:r>
        <w:rPr>
          <w:u w:val="single"/>
        </w:rPr>
        <w:t>If no, skip to question 7</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
        <w:rPr/>
      </w:pPr>
      <w:r>
        <w:rPr/>
      </w:r>
    </w:p>
    <w:p>
      <w:pPr>
        <w:pStyle w:val="Number11"/>
        <w:rPr/>
      </w:pPr>
      <w:r>
        <w:rPr/>
        <w:tab/>
        <w:t>2.3</w:t>
        <w:tab/>
        <w:t xml:space="preserve">Questions 7A–7Q  correspond to the CES Depression scale. The instruction on the form reads, </w:t>
      </w:r>
      <w:r>
        <w:rPr>
          <w:rFonts w:cs="Arial;Arial" w:ascii="Arial;Arial" w:hAnsi="Arial;Arial"/>
          <w:b/>
          <w:bCs/>
          <w:sz w:val="20"/>
        </w:rPr>
        <w:t>“Below is a list of the ways you might have felt or behaved. Please tell me how often you felt this way during the past week. Please indicate the number of days you felt this way last week.”</w:t>
      </w:r>
      <w:r>
        <w:rPr/>
        <w:t xml:space="preserve"> Possible answers are “rarely or none of the time (less than 1 day),” “some or a little bit of the time (1–2 days),” “a moderate amount of the time (3–4 days),” or “most of the time (5–7 days).” Answers are selected by filling in the appropriate circle.</w:t>
      </w:r>
    </w:p>
    <w:p>
      <w:pPr>
        <w:pStyle w:val="Number11"/>
        <w:rPr/>
      </w:pPr>
      <w:r>
        <w:rPr/>
      </w:r>
    </w:p>
    <w:p>
      <w:pPr>
        <w:pStyle w:val="Number11"/>
        <w:rPr/>
      </w:pPr>
      <w:r>
        <w:rPr/>
        <w:tab/>
        <w:tab/>
        <w:tab/>
      </w:r>
      <w:r>
        <w:rPr>
          <w:b/>
          <w:bCs/>
        </w:rPr>
        <w:t>Question 7:</w:t>
      </w:r>
    </w:p>
    <w:p>
      <w:pPr>
        <w:pStyle w:val="Number11"/>
        <w:rPr>
          <w:b/>
          <w:b/>
          <w:bCs/>
        </w:rPr>
      </w:pPr>
      <w:r>
        <w:rPr>
          <w:b/>
          <w:bCs/>
        </w:rPr>
      </w:r>
    </w:p>
    <w:p>
      <w:pPr>
        <w:pStyle w:val="Number111"/>
        <w:rPr/>
      </w:pPr>
      <w:r>
        <w:rPr/>
        <w:tab/>
        <w:t>A.</w:t>
        <w:tab/>
        <w:t>I was bothered by things that don’t usually bother me</w:t>
      </w:r>
    </w:p>
    <w:p>
      <w:pPr>
        <w:pStyle w:val="Number111"/>
        <w:rPr/>
      </w:pPr>
      <w:r>
        <w:rPr/>
        <w:tab/>
        <w:t>B.</w:t>
        <w:tab/>
        <w:t>I did not feel like eating; my appetite was poor</w:t>
      </w:r>
    </w:p>
    <w:p>
      <w:pPr>
        <w:pStyle w:val="Number111"/>
        <w:rPr/>
      </w:pPr>
      <w:r>
        <w:rPr/>
        <w:tab/>
        <w:t>C.</w:t>
        <w:tab/>
        <w:t>I felt that I could not shake off the blues, even with help from my family and friends.</w:t>
      </w:r>
    </w:p>
    <w:p>
      <w:pPr>
        <w:pStyle w:val="Number111"/>
        <w:rPr/>
      </w:pPr>
      <w:r>
        <w:rPr/>
        <w:tab/>
        <w:t>D.</w:t>
        <w:tab/>
        <w:t>I felt that I was just as good as other people</w:t>
      </w:r>
    </w:p>
    <w:p>
      <w:pPr>
        <w:pStyle w:val="Number111"/>
        <w:rPr/>
      </w:pPr>
      <w:r>
        <w:rPr/>
        <w:tab/>
        <w:t>E.</w:t>
        <w:tab/>
        <w:t>I had trouble keeping my mind on what I was doing</w:t>
      </w:r>
    </w:p>
    <w:p>
      <w:pPr>
        <w:pStyle w:val="Number111"/>
        <w:rPr/>
      </w:pPr>
      <w:r>
        <w:rPr/>
        <w:tab/>
        <w:t>F.</w:t>
        <w:tab/>
        <w:t>I felt depressed</w:t>
      </w:r>
    </w:p>
    <w:p>
      <w:pPr>
        <w:pStyle w:val="Number111"/>
        <w:rPr/>
      </w:pPr>
      <w:r>
        <w:rPr/>
        <w:tab/>
        <w:t>G.</w:t>
        <w:tab/>
        <w:t>I felt that everything I did was an effort</w:t>
      </w:r>
    </w:p>
    <w:p>
      <w:pPr>
        <w:pStyle w:val="Number111"/>
        <w:rPr/>
      </w:pPr>
      <w:r>
        <w:rPr/>
        <w:tab/>
        <w:t>H.</w:t>
        <w:tab/>
        <w:t>I felt hopeful about the future</w:t>
      </w:r>
    </w:p>
    <w:p>
      <w:pPr>
        <w:pStyle w:val="Number111"/>
        <w:rPr/>
      </w:pPr>
      <w:r>
        <w:rPr/>
        <w:tab/>
        <w:t>I.</w:t>
        <w:tab/>
        <w:t>I thought my life had been a failure</w:t>
      </w:r>
    </w:p>
    <w:p>
      <w:pPr>
        <w:pStyle w:val="Number111"/>
        <w:rPr/>
      </w:pPr>
      <w:r>
        <w:rPr/>
        <w:tab/>
        <w:t>J.</w:t>
        <w:tab/>
        <w:t>I felt fearful</w:t>
      </w:r>
    </w:p>
    <w:p>
      <w:pPr>
        <w:pStyle w:val="Number111"/>
        <w:rPr/>
      </w:pPr>
      <w:r>
        <w:rPr/>
        <w:tab/>
        <w:t>K.</w:t>
        <w:tab/>
        <w:t>My sleep was restless</w:t>
      </w:r>
    </w:p>
    <w:p>
      <w:pPr>
        <w:pStyle w:val="Number111"/>
        <w:rPr/>
      </w:pPr>
      <w:r>
        <w:rPr/>
        <w:tab/>
        <w:t>L.</w:t>
        <w:tab/>
        <w:t>I was happy</w:t>
      </w:r>
    </w:p>
    <w:p>
      <w:pPr>
        <w:pStyle w:val="Number111"/>
        <w:rPr/>
      </w:pPr>
      <w:r>
        <w:rPr/>
        <w:tab/>
        <w:t>M.</w:t>
        <w:tab/>
        <w:t>I talked less than usual</w:t>
      </w:r>
    </w:p>
    <w:p>
      <w:pPr>
        <w:pStyle w:val="Number111"/>
        <w:rPr/>
      </w:pPr>
      <w:r>
        <w:rPr/>
        <w:tab/>
        <w:t>N.</w:t>
        <w:tab/>
        <w:t>I felt lonely</w:t>
      </w:r>
    </w:p>
    <w:p>
      <w:pPr>
        <w:pStyle w:val="Number111"/>
        <w:rPr/>
      </w:pPr>
      <w:r>
        <w:rPr/>
        <w:tab/>
        <w:t>O.</w:t>
        <w:tab/>
        <w:t>People were unfriendly</w:t>
      </w:r>
    </w:p>
    <w:p>
      <w:pPr>
        <w:pStyle w:val="Number111"/>
        <w:rPr/>
      </w:pPr>
      <w:r>
        <w:rPr/>
        <w:tab/>
        <w:t>P.</w:t>
        <w:tab/>
        <w:t>I enjoyed life</w:t>
      </w:r>
    </w:p>
    <w:p>
      <w:pPr>
        <w:pStyle w:val="Number111"/>
        <w:rPr/>
      </w:pPr>
      <w:r>
        <w:rPr/>
        <w:tab/>
        <w:t>Q.</w:t>
        <w:tab/>
        <w:t>I had crying spells</w:t>
      </w:r>
    </w:p>
    <w:p>
      <w:pPr>
        <w:pStyle w:val="Number111"/>
        <w:rPr/>
      </w:pPr>
      <w:r>
        <w:rPr/>
        <w:tab/>
        <w:t>R.</w:t>
        <w:tab/>
        <w:t>I felt sad</w:t>
      </w:r>
    </w:p>
    <w:p>
      <w:pPr>
        <w:pStyle w:val="Number111"/>
        <w:rPr/>
      </w:pPr>
      <w:r>
        <w:rPr/>
        <w:tab/>
        <w:t>S.</w:t>
        <w:tab/>
        <w:t>I felt that people dislike me</w:t>
      </w:r>
    </w:p>
    <w:p>
      <w:pPr>
        <w:pStyle w:val="Number111"/>
        <w:rPr/>
      </w:pPr>
      <w:r>
        <w:rPr/>
        <w:tab/>
        <w:t>T.</w:t>
        <w:tab/>
        <w:t>I could not “get going”</w:t>
      </w:r>
    </w:p>
    <w:p>
      <w:pPr>
        <w:pStyle w:val="Number11"/>
        <w:rPr>
          <w:b/>
          <w:b/>
        </w:rPr>
      </w:pPr>
      <w:r>
        <w:rPr>
          <w:b/>
        </w:rPr>
      </w:r>
    </w:p>
    <w:p>
      <w:pPr>
        <w:pStyle w:val="Number11"/>
        <w:rPr/>
      </w:pPr>
      <w:r>
        <w:rPr/>
        <w:tab/>
        <w:t>2.4</w:t>
        <w:tab/>
        <w:t xml:space="preserve">Questions 8–13 are designed to measure emotional social support. The instruction on the form reads, </w:t>
      </w:r>
      <w:r>
        <w:rPr>
          <w:rFonts w:cs="Arial;Arial" w:ascii="Arial;Arial" w:hAnsi="Arial;Arial"/>
          <w:b/>
          <w:bCs/>
          <w:sz w:val="20"/>
        </w:rPr>
        <w:t>“Please read the following questions and mark the answer that best describes your life now.”</w:t>
      </w:r>
      <w:r>
        <w:rPr/>
        <w:t xml:space="preserve"> Possible answers are “none of the time,” “a little of the time,” “some of the time,” “most of the time,” or “all of the time.” Answers are selected by filling in the appropriate circle.</w:t>
      </w:r>
    </w:p>
    <w:p>
      <w:pPr>
        <w:pStyle w:val="Number11"/>
        <w:rPr/>
      </w:pPr>
      <w:r>
        <w:rPr/>
      </w:r>
    </w:p>
    <w:p>
      <w:pPr>
        <w:pStyle w:val="Normal"/>
        <w:ind w:left="2700" w:hanging="1350"/>
        <w:rPr/>
      </w:pPr>
      <w:r>
        <w:rPr>
          <w:b/>
          <w:bCs/>
        </w:rPr>
        <w:t xml:space="preserve">Question 8: </w:t>
        <w:tab/>
      </w:r>
      <w:r>
        <w:rPr>
          <w:rFonts w:cs="Arial;Arial" w:ascii="Arial;Arial" w:hAnsi="Arial;Arial"/>
          <w:b/>
          <w:bCs/>
          <w:sz w:val="20"/>
        </w:rPr>
        <w:t>Is there someone available to you whom you can count on to listen to you when you need to talk?</w:t>
      </w:r>
    </w:p>
    <w:p>
      <w:pPr>
        <w:pStyle w:val="Normal"/>
        <w:ind w:left="2700" w:hanging="1350"/>
        <w:rPr>
          <w:rFonts w:ascii="Arial;Arial" w:hAnsi="Arial;Arial" w:cs="Arial;Arial"/>
          <w:b/>
          <w:b/>
          <w:bCs/>
          <w:sz w:val="20"/>
        </w:rPr>
      </w:pPr>
      <w:r>
        <w:rPr>
          <w:rFonts w:cs="Arial;Arial" w:ascii="Arial;Arial" w:hAnsi="Arial;Arial"/>
          <w:b/>
          <w:bCs/>
          <w:sz w:val="20"/>
        </w:rPr>
      </w:r>
    </w:p>
    <w:p>
      <w:pPr>
        <w:pStyle w:val="Normal"/>
        <w:ind w:left="2700" w:hanging="1350"/>
        <w:rPr/>
      </w:pPr>
      <w:r>
        <w:rPr>
          <w:b/>
          <w:bCs/>
        </w:rPr>
        <w:t>Question 9:</w:t>
        <w:tab/>
      </w:r>
      <w:r>
        <w:rPr>
          <w:rFonts w:cs="Arial;Arial" w:ascii="Arial;Arial" w:hAnsi="Arial;Arial"/>
          <w:b/>
          <w:bCs/>
          <w:sz w:val="20"/>
        </w:rPr>
        <w:t>Is there someone available to give you good advice about a problem?</w:t>
      </w:r>
    </w:p>
    <w:p>
      <w:pPr>
        <w:pStyle w:val="Normal"/>
        <w:ind w:left="2700" w:hanging="1350"/>
        <w:rPr/>
      </w:pPr>
      <w:r>
        <w:rPr/>
      </w:r>
    </w:p>
    <w:p>
      <w:pPr>
        <w:pStyle w:val="Normal"/>
        <w:tabs>
          <w:tab w:val="clear" w:pos="720"/>
          <w:tab w:val="right" w:pos="2520" w:leader="none"/>
        </w:tabs>
        <w:ind w:left="2700" w:hanging="2700"/>
        <w:rPr/>
      </w:pPr>
      <w:r>
        <w:rPr>
          <w:b/>
          <w:bCs/>
        </w:rPr>
        <w:tab/>
        <w:t>Question 10:</w:t>
        <w:tab/>
      </w:r>
      <w:r>
        <w:rPr>
          <w:rFonts w:cs="Arial;Arial" w:ascii="Arial;Arial" w:hAnsi="Arial;Arial"/>
          <w:b/>
          <w:bCs/>
          <w:sz w:val="20"/>
        </w:rPr>
        <w:t>Is there someone available to you who shows you love and affection?</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11:</w:t>
        <w:tab/>
      </w:r>
      <w:r>
        <w:rPr>
          <w:rFonts w:cs="Arial;Arial" w:ascii="Arial;Arial" w:hAnsi="Arial;Arial"/>
          <w:b/>
          <w:bCs/>
          <w:sz w:val="20"/>
        </w:rPr>
        <w:t>Is there someone available to help you with daily chores?</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12:</w:t>
        <w:tab/>
      </w:r>
      <w:r>
        <w:rPr>
          <w:rFonts w:cs="Arial;Arial" w:ascii="Arial;Arial" w:hAnsi="Arial;Arial"/>
          <w:b/>
          <w:bCs/>
          <w:sz w:val="20"/>
        </w:rPr>
        <w:t>Can you count on anyone to provide you with emotional support (talking over problems or helping you make a difficult decision)?</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13:</w:t>
        <w:tab/>
      </w:r>
      <w:r>
        <w:rPr>
          <w:rFonts w:cs="Arial;Arial" w:ascii="Arial;Arial" w:hAnsi="Arial;Arial"/>
          <w:b/>
          <w:bCs/>
          <w:sz w:val="20"/>
        </w:rPr>
        <w:t>Do you have as much contact as you would like with someone you feel close to or someone in whom you can trust and confide?</w:t>
      </w:r>
    </w:p>
    <w:p>
      <w:pPr>
        <w:pStyle w:val="Number11"/>
        <w:rPr>
          <w:rFonts w:ascii="Arial;Arial" w:hAnsi="Arial;Arial" w:cs="Arial;Arial"/>
          <w:b/>
          <w:b/>
          <w:bCs/>
          <w:sz w:val="20"/>
        </w:rPr>
      </w:pPr>
      <w:r>
        <w:rPr>
          <w:rFonts w:cs="Arial;Arial" w:ascii="Arial;Arial" w:hAnsi="Arial;Arial"/>
          <w:b/>
          <w:bCs/>
          <w:sz w:val="20"/>
        </w:rPr>
      </w:r>
    </w:p>
    <w:p>
      <w:pPr>
        <w:pStyle w:val="Number11"/>
        <w:rPr/>
      </w:pPr>
      <w:r>
        <w:rPr/>
        <w:tab/>
        <w:t>2.5</w:t>
        <w:tab/>
        <w:t xml:space="preserve">Questions14–21 are intended to assess perceptions of having been treated unfairly. The perception of unfair treatment (as a result for example of discrimination) may be an important source of stress, and could be related to health and cardiovascular disease. (Gender can be clarified as sex. Sexual orientation can be clarified as “whether you are gay, lesbian or straight.”) The instruction on the form reads, </w:t>
      </w:r>
      <w:r>
        <w:rPr>
          <w:rFonts w:cs="Arial;Arial" w:ascii="Arial;Arial" w:hAnsi="Arial;Arial"/>
          <w:b/>
          <w:bCs/>
          <w:sz w:val="20"/>
        </w:rPr>
        <w:t>“Now we would like to ask you a few questions about situations where you might have felt that you had been treated unfairly”</w:t>
      </w:r>
      <w:r>
        <w:rPr/>
        <w:t xml:space="preserve"> Possible answers for 14–19 are “yes” or “no.” Answers are selected by filling in the appropriate circle.</w:t>
      </w:r>
    </w:p>
    <w:p>
      <w:pPr>
        <w:pStyle w:val="Number11"/>
        <w:rPr/>
      </w:pPr>
      <w:r>
        <w:rPr/>
      </w:r>
    </w:p>
    <w:p>
      <w:pPr>
        <w:pStyle w:val="Number11"/>
        <w:rPr>
          <w:b/>
          <w:b/>
          <w:bCs/>
        </w:rPr>
      </w:pPr>
      <w:r>
        <w:rPr>
          <w:b/>
          <w:bCs/>
        </w:rPr>
        <w:tab/>
        <w:tab/>
        <w:t>Question 14:</w:t>
      </w:r>
    </w:p>
    <w:p>
      <w:pPr>
        <w:pStyle w:val="Number11"/>
        <w:rPr>
          <w:b/>
          <w:b/>
          <w:bCs/>
        </w:rPr>
      </w:pPr>
      <w:r>
        <w:rPr>
          <w:b/>
          <w:bCs/>
        </w:rPr>
      </w:r>
    </w:p>
    <w:p>
      <w:pPr>
        <w:pStyle w:val="Number111"/>
        <w:rPr/>
      </w:pPr>
      <w:r>
        <w:rPr/>
        <w:tab/>
        <w:t>a.</w:t>
        <w:tab/>
      </w:r>
      <w:r>
        <w:rPr>
          <w:rFonts w:cs="Arial;Arial" w:ascii="Arial;Arial" w:hAnsi="Arial;Arial"/>
          <w:b/>
          <w:bCs/>
          <w:sz w:val="20"/>
        </w:rPr>
        <w:t xml:space="preserve">Do you think you have ever been </w:t>
        <w:softHyphen/>
      </w:r>
      <w:r>
        <w:rPr>
          <w:rFonts w:cs="Arial;Arial" w:ascii="Arial;Arial" w:hAnsi="Arial;Arial"/>
          <w:b/>
          <w:bCs/>
          <w:sz w:val="20"/>
          <w:u w:val="single"/>
        </w:rPr>
        <w:t>unfairly</w:t>
      </w:r>
      <w:r>
        <w:rPr>
          <w:rFonts w:cs="Arial;Arial" w:ascii="Arial;Arial" w:hAnsi="Arial;Arial"/>
          <w:b/>
          <w:bCs/>
          <w:sz w:val="20"/>
        </w:rPr>
        <w:t xml:space="preserve"> fired or denied a promotion?</w:t>
      </w:r>
    </w:p>
    <w:p>
      <w:pPr>
        <w:pStyle w:val="Number111"/>
        <w:rPr/>
      </w:pPr>
      <w:r>
        <w:rPr/>
        <w:tab/>
        <w:tab/>
      </w:r>
      <w:r>
        <w:rPr>
          <w:u w:val="single"/>
        </w:rPr>
        <w:t>If no, skip to question 15</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1"/>
        <w:rPr/>
      </w:pPr>
      <w:r>
        <w:rPr/>
      </w:r>
    </w:p>
    <w:p>
      <w:pPr>
        <w:pStyle w:val="Number11"/>
        <w:rPr>
          <w:b/>
          <w:b/>
          <w:bCs/>
        </w:rPr>
      </w:pPr>
      <w:r>
        <w:rPr>
          <w:b/>
          <w:bCs/>
        </w:rPr>
        <w:tab/>
        <w:tab/>
        <w:t>Question 15:</w:t>
      </w:r>
    </w:p>
    <w:p>
      <w:pPr>
        <w:pStyle w:val="Number11"/>
        <w:rPr>
          <w:b/>
          <w:b/>
          <w:bCs/>
        </w:rPr>
      </w:pPr>
      <w:r>
        <w:rPr>
          <w:b/>
          <w:bCs/>
        </w:rPr>
      </w:r>
    </w:p>
    <w:p>
      <w:pPr>
        <w:pStyle w:val="Number111"/>
        <w:rPr/>
      </w:pPr>
      <w:r>
        <w:rPr/>
        <w:tab/>
        <w:t>a.</w:t>
        <w:tab/>
      </w:r>
      <w:r>
        <w:rPr>
          <w:rFonts w:cs="Arial;Arial" w:ascii="Arial;Arial" w:hAnsi="Arial;Arial"/>
          <w:b/>
          <w:bCs/>
          <w:sz w:val="20"/>
        </w:rPr>
        <w:t xml:space="preserve">For </w:t>
      </w:r>
      <w:r>
        <w:rPr>
          <w:rFonts w:cs="Arial;Arial" w:ascii="Arial;Arial" w:hAnsi="Arial;Arial"/>
          <w:b/>
          <w:bCs/>
          <w:sz w:val="20"/>
          <w:u w:val="single"/>
        </w:rPr>
        <w:t>unfair</w:t>
      </w:r>
      <w:r>
        <w:rPr>
          <w:rFonts w:cs="Arial;Arial" w:ascii="Arial;Arial" w:hAnsi="Arial;Arial"/>
          <w:b/>
          <w:bCs/>
          <w:sz w:val="20"/>
        </w:rPr>
        <w:t xml:space="preserve"> reasons, do you think you have ever not been hired for a job?</w:t>
      </w:r>
    </w:p>
    <w:p>
      <w:pPr>
        <w:pStyle w:val="Number111"/>
        <w:rPr/>
      </w:pPr>
      <w:r>
        <w:rPr/>
        <w:tab/>
        <w:tab/>
      </w:r>
      <w:r>
        <w:rPr>
          <w:u w:val="single"/>
        </w:rPr>
        <w:t>If no, skip to question 16</w:t>
      </w:r>
    </w:p>
    <w:p>
      <w:pPr>
        <w:pStyle w:val="Number111"/>
        <w:rPr>
          <w:u w:val="single"/>
        </w:rPr>
      </w:pPr>
      <w:r>
        <w:rPr/>
        <w:tab/>
        <w:tab/>
      </w:r>
      <w:r>
        <w:rPr>
          <w:u w:val="single"/>
        </w:rPr>
        <w:t>If yes, answer the following</w:t>
      </w:r>
      <w:r>
        <w:rPr/>
        <w:t>:</w:t>
      </w:r>
    </w:p>
    <w:p>
      <w:pPr>
        <w:pStyle w:val="Number111"/>
        <w:rPr/>
      </w:pPr>
      <w:r>
        <w:rPr/>
        <w:tab/>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16:</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stopped, searched, questioned, physically threatened or abused by the police?</w:t>
      </w:r>
    </w:p>
    <w:p>
      <w:pPr>
        <w:pStyle w:val="Number111"/>
        <w:rPr/>
      </w:pPr>
      <w:r>
        <w:rPr/>
        <w:tab/>
        <w:tab/>
      </w:r>
      <w:r>
        <w:rPr>
          <w:u w:val="single"/>
        </w:rPr>
        <w:t>If no, skip to question 17</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 xml:space="preserve">What was the main reason?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17:</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discouraged by an advisor or teacher from continuing your education?</w:t>
      </w:r>
    </w:p>
    <w:p>
      <w:pPr>
        <w:pStyle w:val="Number111"/>
        <w:rPr/>
      </w:pPr>
      <w:r>
        <w:rPr/>
        <w:tab/>
        <w:tab/>
      </w:r>
      <w:r>
        <w:rPr>
          <w:u w:val="single"/>
        </w:rPr>
        <w:t>If no, skip to question 18</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18:</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prevented from moving into a neighborhood because the landlord or a realtor refused to sell or rent you a house or apartment?</w:t>
      </w:r>
    </w:p>
    <w:p>
      <w:pPr>
        <w:pStyle w:val="Number111"/>
        <w:rPr/>
      </w:pPr>
      <w:r>
        <w:rPr/>
        <w:tab/>
        <w:tab/>
      </w:r>
      <w:r>
        <w:rPr>
          <w:u w:val="single"/>
        </w:rPr>
        <w:t>If no, skip to question 19</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pPr>
      <w:r>
        <w:rPr/>
        <w:tab/>
        <w:tab/>
        <w:tab/>
      </w:r>
      <w:r>
        <w:rPr>
          <w:b/>
          <w:bCs/>
        </w:rPr>
        <w:t>Question 19:</w:t>
      </w:r>
    </w:p>
    <w:p>
      <w:pPr>
        <w:pStyle w:val="Number11"/>
        <w:rPr>
          <w:b/>
          <w:b/>
          <w:bCs/>
        </w:rPr>
      </w:pPr>
      <w:r>
        <w:rPr>
          <w:b/>
          <w:bCs/>
        </w:rPr>
      </w:r>
    </w:p>
    <w:p>
      <w:pPr>
        <w:pStyle w:val="Number111"/>
        <w:rPr/>
      </w:pPr>
      <w:r>
        <w:rPr/>
        <w:tab/>
        <w:t>a.</w:t>
        <w:tab/>
      </w:r>
      <w:r>
        <w:rPr>
          <w:rFonts w:cs="Arial;Arial" w:ascii="Arial;Arial" w:hAnsi="Arial;Arial"/>
          <w:b/>
          <w:bCs/>
          <w:sz w:val="20"/>
        </w:rPr>
        <w:t>Have you ever moved into a neighborhood where neighbors made life difficult for you or your family?</w:t>
      </w:r>
    </w:p>
    <w:p>
      <w:pPr>
        <w:pStyle w:val="Number111"/>
        <w:rPr/>
      </w:pPr>
      <w:r>
        <w:rPr/>
        <w:tab/>
        <w:tab/>
      </w:r>
      <w:r>
        <w:rPr>
          <w:u w:val="single"/>
        </w:rPr>
        <w:t>If no, skip to question 20</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body"/>
        <w:rPr/>
      </w:pPr>
      <w:r>
        <w:rPr/>
        <w:t>Possible answers for 20 are “almost every day,” “at least once a week,” “a few time a month,” “a few times a year,” “less than once a year,” or “at least once a week.” Answers are selected by filling in the appropriate circle.</w:t>
      </w:r>
    </w:p>
    <w:p>
      <w:pPr>
        <w:pStyle w:val="Number11body"/>
        <w:rPr/>
      </w:pPr>
      <w:r>
        <w:rPr/>
      </w:r>
    </w:p>
    <w:p>
      <w:pPr>
        <w:pStyle w:val="Number11body"/>
        <w:rPr/>
      </w:pPr>
      <w:r>
        <w:rPr>
          <w:b/>
          <w:bCs/>
        </w:rPr>
        <w:t xml:space="preserve">Question 20: </w:t>
      </w:r>
      <w:r>
        <w:rPr>
          <w:rFonts w:cs="Arial;Arial" w:ascii="Arial;Arial" w:hAnsi="Arial;Arial"/>
          <w:b/>
          <w:bCs/>
          <w:sz w:val="20"/>
        </w:rPr>
        <w:t>In your day-to-day life how often have any of the following things happened to you?</w:t>
      </w:r>
    </w:p>
    <w:p>
      <w:pPr>
        <w:pStyle w:val="Number11body"/>
        <w:rPr>
          <w:b/>
          <w:b/>
          <w:bCs/>
        </w:rPr>
      </w:pPr>
      <w:r>
        <w:rPr>
          <w:b/>
          <w:bCs/>
        </w:rPr>
      </w:r>
    </w:p>
    <w:p>
      <w:pPr>
        <w:pStyle w:val="Number111"/>
        <w:rPr/>
      </w:pPr>
      <w:r>
        <w:rPr/>
        <w:tab/>
        <w:t>A.</w:t>
        <w:tab/>
        <w:t>You are treated with less courtesy than other people</w:t>
      </w:r>
    </w:p>
    <w:p>
      <w:pPr>
        <w:pStyle w:val="Number111"/>
        <w:rPr/>
      </w:pPr>
      <w:r>
        <w:rPr/>
        <w:tab/>
        <w:t>B.</w:t>
        <w:tab/>
        <w:t>You are treated with less respect than other people</w:t>
      </w:r>
    </w:p>
    <w:p>
      <w:pPr>
        <w:pStyle w:val="Number111"/>
        <w:rPr/>
      </w:pPr>
      <w:r>
        <w:rPr/>
        <w:tab/>
        <w:t>C.</w:t>
        <w:tab/>
        <w:t>You receive poorer service than other people at restaurants or stores</w:t>
      </w:r>
    </w:p>
    <w:p>
      <w:pPr>
        <w:pStyle w:val="Number111"/>
        <w:rPr/>
      </w:pPr>
      <w:r>
        <w:rPr/>
        <w:tab/>
        <w:t>D.</w:t>
        <w:tab/>
        <w:t>People act as if they think you are not smart</w:t>
      </w:r>
    </w:p>
    <w:p>
      <w:pPr>
        <w:pStyle w:val="Number111"/>
        <w:rPr/>
      </w:pPr>
      <w:r>
        <w:rPr/>
        <w:tab/>
        <w:t>E.</w:t>
        <w:tab/>
        <w:t>People act as if they are afraid of you</w:t>
      </w:r>
    </w:p>
    <w:p>
      <w:pPr>
        <w:pStyle w:val="Number111"/>
        <w:rPr/>
      </w:pPr>
      <w:r>
        <w:rPr/>
        <w:tab/>
        <w:t>F.</w:t>
        <w:tab/>
        <w:t>People act as if they think you are dishonest</w:t>
      </w:r>
    </w:p>
    <w:p>
      <w:pPr>
        <w:pStyle w:val="Number111"/>
        <w:rPr/>
      </w:pPr>
      <w:r>
        <w:rPr/>
        <w:tab/>
        <w:t>G.</w:t>
        <w:tab/>
        <w:t>People act as if they’re better than you</w:t>
      </w:r>
    </w:p>
    <w:p>
      <w:pPr>
        <w:pStyle w:val="Number111"/>
        <w:rPr/>
      </w:pPr>
      <w:r>
        <w:rPr/>
        <w:tab/>
        <w:t>H.</w:t>
        <w:tab/>
        <w:t>You are called names or insulted</w:t>
      </w:r>
    </w:p>
    <w:p>
      <w:pPr>
        <w:pStyle w:val="Number111"/>
        <w:rPr/>
      </w:pPr>
      <w:r>
        <w:rPr/>
        <w:tab/>
        <w:t>I.</w:t>
        <w:tab/>
        <w:t>You are threatened or harassed</w:t>
      </w:r>
    </w:p>
    <w:p>
      <w:pPr>
        <w:pStyle w:val="Number111"/>
        <w:rPr/>
      </w:pPr>
      <w:r>
        <w:rPr/>
      </w:r>
    </w:p>
    <w:p>
      <w:pPr>
        <w:pStyle w:val="Number11body"/>
        <w:rPr/>
      </w:pPr>
      <w:r>
        <w:rPr>
          <w:b/>
          <w:bCs/>
        </w:rPr>
        <w:t xml:space="preserve">Question 21: </w:t>
      </w:r>
      <w:r>
        <w:rPr/>
        <w:t>For the next two questions, please choose the one best answer:</w:t>
      </w:r>
    </w:p>
    <w:p>
      <w:pPr>
        <w:pStyle w:val="Number11body"/>
        <w:rPr/>
      </w:pPr>
      <w:r>
        <w:rPr/>
      </w:r>
    </w:p>
    <w:p>
      <w:pPr>
        <w:pStyle w:val="Number111"/>
        <w:rPr/>
      </w:pPr>
      <w:r>
        <w:rPr/>
        <w:tab/>
        <w:t>a.</w:t>
        <w:tab/>
      </w:r>
      <w:r>
        <w:rPr>
          <w:rFonts w:cs="Arial;Arial" w:ascii="Arial;Arial" w:hAnsi="Arial;Arial"/>
          <w:b/>
          <w:bCs/>
          <w:sz w:val="20"/>
        </w:rPr>
        <w:t>If you feel you’ve been treated unfairly, do you usually:</w:t>
      </w:r>
    </w:p>
    <w:p>
      <w:pPr>
        <w:pStyle w:val="Number111"/>
        <w:rPr/>
      </w:pPr>
      <w:r>
        <w:rPr/>
        <w:tab/>
        <w:tab/>
      </w:r>
      <w:r>
        <w:rPr>
          <w:rFonts w:eastAsia="Symbol" w:cs="Symbol" w:ascii="Symbol" w:hAnsi="Symbol"/>
        </w:rPr>
        <w:t></w:t>
      </w:r>
      <w:r>
        <w:rPr/>
        <w:tab/>
        <w:t>accept it as a fact of life?</w:t>
      </w:r>
    </w:p>
    <w:p>
      <w:pPr>
        <w:pStyle w:val="Number111"/>
        <w:rPr/>
      </w:pPr>
      <w:r>
        <w:rPr/>
        <w:tab/>
        <w:tab/>
      </w:r>
      <w:r>
        <w:rPr>
          <w:rFonts w:eastAsia="Symbol" w:cs="Symbol" w:ascii="Symbol" w:hAnsi="Symbol"/>
        </w:rPr>
        <w:t></w:t>
      </w:r>
      <w:r>
        <w:rPr/>
        <w:tab/>
        <w:t>try to do something about it?</w:t>
      </w:r>
    </w:p>
    <w:p>
      <w:pPr>
        <w:pStyle w:val="Number111"/>
        <w:rPr/>
      </w:pPr>
      <w:r>
        <w:rPr/>
      </w:r>
    </w:p>
    <w:p>
      <w:pPr>
        <w:pStyle w:val="Number111"/>
        <w:rPr/>
      </w:pPr>
      <w:r>
        <w:rPr/>
        <w:tab/>
        <w:t>b.</w:t>
        <w:tab/>
      </w:r>
      <w:r>
        <w:rPr>
          <w:rFonts w:cs="Arial;Arial" w:ascii="Arial;Arial" w:hAnsi="Arial;Arial"/>
          <w:b/>
          <w:bCs/>
          <w:sz w:val="20"/>
        </w:rPr>
        <w:t>And if you feel you’ve been treated unfairly, do you usually:</w:t>
      </w:r>
    </w:p>
    <w:p>
      <w:pPr>
        <w:pStyle w:val="Number111"/>
        <w:rPr/>
      </w:pPr>
      <w:r>
        <w:rPr/>
        <w:tab/>
        <w:tab/>
      </w:r>
      <w:r>
        <w:rPr>
          <w:rFonts w:eastAsia="Symbol" w:cs="Symbol" w:ascii="Symbol" w:hAnsi="Symbol"/>
        </w:rPr>
        <w:t></w:t>
      </w:r>
      <w:r>
        <w:rPr/>
        <w:tab/>
        <w:t>talk to other people about it?</w:t>
      </w:r>
    </w:p>
    <w:p>
      <w:pPr>
        <w:pStyle w:val="Number111"/>
        <w:rPr/>
      </w:pPr>
      <w:r>
        <w:rPr/>
        <w:tab/>
        <w:tab/>
      </w:r>
      <w:r>
        <w:rPr>
          <w:rFonts w:eastAsia="Symbol" w:cs="Symbol" w:ascii="Symbol" w:hAnsi="Symbol"/>
        </w:rPr>
        <w:t></w:t>
      </w:r>
      <w:r>
        <w:rPr/>
        <w:tab/>
        <w:t>keep it to yourself?</w:t>
      </w:r>
    </w:p>
    <w:p>
      <w:pPr>
        <w:pStyle w:val="Number111"/>
        <w:rPr/>
      </w:pPr>
      <w:r>
        <w:rPr/>
      </w:r>
    </w:p>
    <w:p>
      <w:pPr>
        <w:sectPr>
          <w:headerReference w:type="even" r:id="rId84"/>
          <w:headerReference w:type="default" r:id="rId85"/>
          <w:footerReference w:type="even" r:id="rId86"/>
          <w:footerReference w:type="default" r:id="rId87"/>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2.6</w:t>
        <w:tab/>
        <w:t>In the box labeled, “For MESA Field Center Use Only,” select whether the form was self-administered or interviewer-administered. Record reviewer (if form self-administered) or interviewer (if form interviewer-administered) ID number.</w:t>
      </w:r>
    </w:p>
    <w:p>
      <w:pPr>
        <w:pStyle w:val="Subsub"/>
        <w:rPr/>
      </w:pPr>
      <w:bookmarkStart w:id="22" w:name="__RefHeading___Toc503858978"/>
      <w:bookmarkEnd w:id="22"/>
      <w:r>
        <w:rPr/>
        <w:t>3.4.8  Neighborhood</w:t>
      </w:r>
    </w:p>
    <w:p>
      <w:pPr>
        <w:pStyle w:val="Normal"/>
        <w:rPr>
          <w:b/>
          <w:b/>
        </w:rPr>
      </w:pPr>
      <w:r>
        <w:rPr>
          <w:b/>
        </w:rPr>
      </w:r>
    </w:p>
    <w:p>
      <w:pPr>
        <w:pStyle w:val="Normal"/>
        <w:rPr>
          <w:b/>
          <w:b/>
        </w:rPr>
      </w:pPr>
      <w:r>
        <w:rPr>
          <w:b/>
        </w:rPr>
      </w:r>
    </w:p>
    <w:p>
      <w:pPr>
        <w:pStyle w:val="Romanbold"/>
        <w:rPr/>
      </w:pPr>
      <w:r>
        <w:rPr/>
        <w:tab/>
        <w:t>I.</w:t>
        <w:tab/>
        <w:t xml:space="preserve">Purpose.  </w:t>
      </w:r>
    </w:p>
    <w:p>
      <w:pPr>
        <w:pStyle w:val="Normal"/>
        <w:rPr/>
      </w:pPr>
      <w:r>
        <w:rPr/>
      </w:r>
    </w:p>
    <w:p>
      <w:pPr>
        <w:pStyle w:val="Romanbody"/>
        <w:rPr/>
      </w:pPr>
      <w:r>
        <w:rPr/>
        <w:t>There is growing interest in the impact that the neighborhood environment has on people’s health and health behaviors. The effect that the neighborhood environment has on residents’ health may be related to the availability of resources and to mechanisms involving neighborhood sources of stress or social cohesion. The objective of this questionnaire is to obtain some basic information on the characteristics of the neighborhoods in which participants live.</w:t>
      </w:r>
    </w:p>
    <w:p>
      <w:pPr>
        <w:pStyle w:val="Romanbody"/>
        <w:rPr/>
      </w:pPr>
      <w:r>
        <w:rPr/>
      </w:r>
    </w:p>
    <w:p>
      <w:pPr>
        <w:pStyle w:val="Romanbold"/>
        <w:rPr/>
      </w:pPr>
      <w:r>
        <w:rPr/>
        <w:tab/>
        <w:t>II.</w:t>
        <w:tab/>
        <w:t>Materials/Equipment</w:t>
      </w:r>
    </w:p>
    <w:p>
      <w:pPr>
        <w:pStyle w:val="Normal"/>
        <w:rPr/>
      </w:pPr>
      <w:r>
        <w:rPr/>
      </w:r>
    </w:p>
    <w:p>
      <w:pPr>
        <w:pStyle w:val="Romanbody"/>
        <w:rPr/>
      </w:pPr>
      <w:r>
        <w:rPr/>
        <w:t xml:space="preserve">This is a self-administered form. Provide the participant with the form and a pencil and give him/her brief instructions for completion. </w:t>
      </w:r>
    </w:p>
    <w:p>
      <w:pPr>
        <w:pStyle w:val="Normal"/>
        <w:rPr/>
      </w:pPr>
      <w:r>
        <w:rPr/>
      </w:r>
    </w:p>
    <w:p>
      <w:pPr>
        <w:pStyle w:val="Romanbold"/>
        <w:rPr/>
      </w:pPr>
      <w:r>
        <w:rPr/>
        <w:tab/>
        <w:t>III.</w:t>
        <w:tab/>
        <w:t>Definitions</w:t>
      </w:r>
    </w:p>
    <w:p>
      <w:pPr>
        <w:pStyle w:val="Normal"/>
        <w:rPr/>
      </w:pPr>
      <w:r>
        <w:rPr/>
      </w:r>
    </w:p>
    <w:p>
      <w:pPr>
        <w:pStyle w:val="Romanbody"/>
        <w:rPr/>
      </w:pPr>
      <w:r>
        <w:rPr/>
        <w:t xml:space="preserve">The terms used in the questionnaire should require no explanation, because they are used in the way they tend to be used by most people in every day life. </w:t>
      </w:r>
    </w:p>
    <w:p>
      <w:pPr>
        <w:pStyle w:val="Romanbold"/>
        <w:rPr>
          <w:b w:val="false"/>
          <w:b w:val="false"/>
          <w:bCs w:val="false"/>
          <w:caps w:val="false"/>
          <w:smallCaps w:val="false"/>
        </w:rPr>
      </w:pPr>
      <w:r>
        <w:rPr>
          <w:b w:val="false"/>
          <w:bCs w:val="false"/>
          <w:caps w:val="false"/>
          <w:smallCaps w:val="false"/>
        </w:rPr>
      </w:r>
    </w:p>
    <w:p>
      <w:pPr>
        <w:pStyle w:val="Romanbold"/>
        <w:rPr/>
      </w:pPr>
      <w:r>
        <w:rPr/>
        <w:tab/>
        <w:t>IV.</w:t>
        <w:tab/>
        <w:t>Methods</w:t>
      </w:r>
    </w:p>
    <w:p>
      <w:pPr>
        <w:pStyle w:val="Normal"/>
        <w:rPr>
          <w:b/>
          <w:b/>
        </w:rPr>
      </w:pPr>
      <w:r>
        <w:rPr>
          <w:b/>
        </w:rPr>
      </w:r>
    </w:p>
    <w:p>
      <w:pPr>
        <w:pStyle w:val="Number1"/>
        <w:rPr/>
      </w:pPr>
      <w:r>
        <w:rPr/>
        <w:tab/>
        <w:t>1.</w:t>
        <w:tab/>
        <w:t xml:space="preserve"> </w:t>
      </w:r>
      <w:r>
        <w:rPr>
          <w:u w:val="single"/>
        </w:rPr>
        <w:t>General Instructions</w:t>
      </w:r>
    </w:p>
    <w:p>
      <w:pPr>
        <w:pStyle w:val="Normal"/>
        <w:rPr/>
      </w:pPr>
      <w:r>
        <w:rPr/>
      </w:r>
    </w:p>
    <w:p>
      <w:pPr>
        <w:pStyle w:val="Number11"/>
        <w:rPr/>
      </w:pPr>
      <w:r>
        <w:rPr/>
        <w:tab/>
        <w:t>1.1</w:t>
        <w:tab/>
        <w:t>It is important that the participant have a quiet, private room, with table and comfortable chair, to complete the form. Instruct the participant to answer each question by darkening the circle of the appropriate response. Review the top section of the form with the participant before starting. Emphasize that there are no right or wrong answers and that we are interested in their feelings and opinions about things. Also emphasize that they should not spend too much time on any one question.  Show them that additional instructions are provided at the beginning of each section.</w:t>
      </w:r>
    </w:p>
    <w:p>
      <w:pPr>
        <w:pStyle w:val="Number11"/>
        <w:rPr/>
      </w:pPr>
      <w:r>
        <w:rPr/>
      </w:r>
    </w:p>
    <w:p>
      <w:pPr>
        <w:pStyle w:val="Number11"/>
        <w:rPr/>
      </w:pPr>
      <w:r>
        <w:rPr/>
        <w:tab/>
        <w:t>1.2</w:t>
        <w:tab/>
        <w:t xml:space="preserve">Ask the participant to try to respond to all questions (unless the instructions tell him/her to skip the question). Remind the person to request assistance from a staff member if anything is unclear. Most participants should be able to complete the questionnaire on their own. However, if the participant has difficulty reading or understanding the questions, offer to make arrangements for an interviewer-administered version in the appropriate language.  </w:t>
      </w:r>
    </w:p>
    <w:p>
      <w:pPr>
        <w:pStyle w:val="Number11"/>
        <w:rPr/>
      </w:pPr>
      <w:r>
        <w:rPr/>
      </w:r>
    </w:p>
    <w:p>
      <w:pPr>
        <w:pStyle w:val="Number11"/>
        <w:rPr/>
      </w:pPr>
      <w:r>
        <w:rPr/>
        <w:tab/>
        <w:t>1.3</w:t>
        <w:tab/>
        <w:t>If the topic should arise, remind the participant that all information is strictly confidential and will be used only for research purposes. Explain that information about people's neighborhoods may be important to their health. The information may, in turn, help us to better understand the causes of heart disease.</w:t>
      </w:r>
    </w:p>
    <w:p>
      <w:pPr>
        <w:pStyle w:val="Number11"/>
        <w:rPr/>
      </w:pPr>
      <w:r>
        <w:rPr/>
      </w:r>
    </w:p>
    <w:p>
      <w:pPr>
        <w:pStyle w:val="Number11"/>
        <w:rPr/>
      </w:pPr>
      <w:r>
        <w:rPr/>
        <w:tab/>
        <w:t>1.4</w:t>
        <w:tab/>
        <w:t>The measurement of these dimensions is complex. Generally they are measured using scales or collections of questions that attempt to get at the same underlying concept in different ways. For this reason some of the questions may seem repetitive. If the participant asks about this, acknowledge that some questions may seem similar, but ask him/her to respond to each one separately.</w:t>
      </w:r>
    </w:p>
    <w:p>
      <w:pPr>
        <w:pStyle w:val="Number11"/>
        <w:rPr/>
      </w:pPr>
      <w:r>
        <w:rPr/>
      </w:r>
    </w:p>
    <w:p>
      <w:pPr>
        <w:pStyle w:val="Number11"/>
        <w:rPr/>
      </w:pPr>
      <w:r>
        <w:rPr/>
        <w:tab/>
        <w:t>1.5</w:t>
        <w:tab/>
        <w:t>The terms used will be understood by most people. If a participant does not understand a question , please re-read the question to him/her. Obtain a copy of a translated form, if necessary. Do not attempt to explain the question or provide synonyms (unless specified in the specific instructions below), because this may create problems for some of the scales.</w:t>
      </w:r>
    </w:p>
    <w:p>
      <w:pPr>
        <w:pStyle w:val="Normal"/>
        <w:rPr/>
      </w:pPr>
      <w:r>
        <w:rPr/>
      </w:r>
    </w:p>
    <w:p>
      <w:pPr>
        <w:pStyle w:val="Number1"/>
        <w:rPr/>
      </w:pPr>
      <w:r>
        <w:rPr/>
        <w:tab/>
        <w:t>2.</w:t>
        <w:tab/>
      </w:r>
      <w:r>
        <w:rPr>
          <w:u w:val="single"/>
        </w:rPr>
        <w:t>Specific Instructions for Completing the Neighborhood Questionnaire</w:t>
      </w:r>
    </w:p>
    <w:p>
      <w:pPr>
        <w:pStyle w:val="Normal"/>
        <w:rPr>
          <w:b/>
          <w:b/>
        </w:rPr>
      </w:pPr>
      <w:r>
        <w:rPr>
          <w:b/>
        </w:rPr>
      </w:r>
    </w:p>
    <w:p>
      <w:pPr>
        <w:pStyle w:val="Number1body"/>
        <w:rPr/>
      </w:pPr>
      <w:r>
        <w:rPr/>
        <w:t>The term “neighborhood” is defined on the form. However, this definition is not strict, and participants may define the term as they wish.</w:t>
      </w:r>
    </w:p>
    <w:p>
      <w:pPr>
        <w:pStyle w:val="Number1body"/>
        <w:rPr/>
      </w:pPr>
      <w:r>
        <w:rPr/>
      </w:r>
    </w:p>
    <w:p>
      <w:pPr>
        <w:pStyle w:val="Number1body"/>
        <w:rPr>
          <w:i/>
          <w:i/>
          <w:iCs/>
        </w:rPr>
      </w:pPr>
      <w:r>
        <w:rPr>
          <w:i/>
          <w:iCs/>
        </w:rPr>
        <w:t>“</w:t>
      </w:r>
      <w:r>
        <w:rPr>
          <w:i/>
          <w:iCs/>
        </w:rPr>
        <w:t>Things about people’s neighborhoods may be important to their health. Now we would like to ask you some questions about what it is like to live in your neighborhood. By neighborhood we mean the area around where you live and around your house. It may include places you shop, religious or public institutions, or a local business district. It is the general area around your house where you might perform routine tasks, such as shopping, going to the park, or visiting with neighbors. Please take the time to answer carefully, but do not spend too much time on any one question. Remember that there are no right or wrong answers. We appreciate your taking the time to complete this questionnaire.”</w:t>
      </w:r>
    </w:p>
    <w:p>
      <w:pPr>
        <w:pStyle w:val="Number1body"/>
        <w:rPr>
          <w:b/>
          <w:b/>
          <w:bCs/>
          <w:i/>
          <w:i/>
          <w:iCs/>
        </w:rPr>
      </w:pPr>
      <w:r>
        <w:rPr>
          <w:b/>
          <w:bCs/>
          <w:i/>
          <w:iCs/>
        </w:rPr>
      </w:r>
    </w:p>
    <w:p>
      <w:pPr>
        <w:pStyle w:val="Number11"/>
        <w:rPr/>
      </w:pPr>
      <w:r>
        <w:rPr/>
        <w:tab/>
        <w:t>1.</w:t>
        <w:tab/>
      </w:r>
      <w:r>
        <w:rPr>
          <w:rFonts w:cs="Arial;Arial" w:ascii="Arial;Arial" w:hAnsi="Arial;Arial"/>
          <w:b/>
          <w:bCs/>
          <w:sz w:val="20"/>
        </w:rPr>
        <w:t xml:space="preserve">How many blocks are in the area that you think of as your neighborhood? </w:t>
      </w:r>
      <w:r>
        <w:rPr/>
        <w:t xml:space="preserve">Provide an </w:t>
      </w:r>
      <w:r>
        <w:rPr>
          <w:i/>
          <w:iCs/>
        </w:rPr>
        <w:t>estimate.</w:t>
      </w:r>
    </w:p>
    <w:p>
      <w:pPr>
        <w:pStyle w:val="Number11"/>
        <w:rPr>
          <w:i/>
          <w:i/>
          <w:iCs/>
        </w:rPr>
      </w:pPr>
      <w:r>
        <w:rPr>
          <w:i/>
          <w:iCs/>
        </w:rPr>
      </w:r>
    </w:p>
    <w:p>
      <w:pPr>
        <w:pStyle w:val="Number11"/>
        <w:rPr/>
      </w:pPr>
      <w:r>
        <w:rPr/>
        <w:tab/>
        <w:t>2.</w:t>
        <w:tab/>
      </w:r>
      <w:r>
        <w:rPr>
          <w:rFonts w:cs="Arial;Arial" w:ascii="Arial;Arial" w:hAnsi="Arial;Arial"/>
          <w:b/>
          <w:bCs/>
          <w:sz w:val="20"/>
        </w:rPr>
        <w:t>How long have you lived in this neighborhood?</w:t>
      </w:r>
      <w:r>
        <w:rPr/>
        <w:t xml:space="preserve"> Provide number of years </w:t>
      </w:r>
      <w:r>
        <w:rPr>
          <w:i/>
          <w:iCs/>
        </w:rPr>
        <w:t xml:space="preserve">or </w:t>
      </w:r>
      <w:r>
        <w:rPr/>
        <w:t>number of months.</w:t>
      </w:r>
    </w:p>
    <w:p>
      <w:pPr>
        <w:pStyle w:val="Number11"/>
        <w:rPr/>
      </w:pPr>
      <w:r>
        <w:rPr/>
      </w:r>
    </w:p>
    <w:p>
      <w:pPr>
        <w:pStyle w:val="Number11"/>
        <w:rPr/>
      </w:pPr>
      <w:r>
        <w:rPr/>
        <w:tab/>
        <w:t>3.</w:t>
        <w:tab/>
      </w:r>
      <w:r>
        <w:rPr>
          <w:rFonts w:cs="Arial;Arial" w:ascii="Arial;Arial" w:hAnsi="Arial;Arial"/>
          <w:b/>
          <w:bCs/>
          <w:sz w:val="20"/>
        </w:rPr>
        <w:t>For each of the following statements, please tell me whether you agree or disagree by choosing the best option.</w:t>
      </w:r>
      <w:r>
        <w:rPr/>
        <w:t xml:space="preserve"> Possible answers are “strongly agree,” “agree,” “neither agree nor disagree,” “disagree,” or “strongly disagree.” Answers are selected by filling in the appropriate circle.</w:t>
      </w:r>
    </w:p>
    <w:p>
      <w:pPr>
        <w:pStyle w:val="Number11"/>
        <w:rPr/>
      </w:pPr>
      <w:r>
        <w:rPr/>
      </w:r>
    </w:p>
    <w:p>
      <w:pPr>
        <w:pStyle w:val="Number11bodybullet"/>
        <w:rPr/>
      </w:pPr>
      <w:r>
        <w:rPr/>
        <w:tab/>
        <w:t>a.</w:t>
        <w:tab/>
        <w:t>This is a close-knit neighborhood.</w:t>
      </w:r>
    </w:p>
    <w:p>
      <w:pPr>
        <w:pStyle w:val="Number11bodybullet"/>
        <w:rPr/>
      </w:pPr>
      <w:r>
        <w:rPr/>
        <w:tab/>
        <w:t>b.</w:t>
        <w:tab/>
        <w:t>People around here are willing to help their neighbors.</w:t>
      </w:r>
    </w:p>
    <w:p>
      <w:pPr>
        <w:pStyle w:val="Number11bodybullet"/>
        <w:rPr/>
      </w:pPr>
      <w:r>
        <w:rPr/>
        <w:tab/>
        <w:t>c.</w:t>
        <w:tab/>
        <w:t>People in this neighborhood generally don’t get along with each other.</w:t>
      </w:r>
    </w:p>
    <w:p>
      <w:pPr>
        <w:pStyle w:val="Number11bodybullet"/>
        <w:rPr/>
      </w:pPr>
      <w:r>
        <w:rPr/>
        <w:tab/>
        <w:t>d.</w:t>
        <w:tab/>
        <w:t>People in this neighborhood can be trusted.</w:t>
      </w:r>
    </w:p>
    <w:p>
      <w:pPr>
        <w:pStyle w:val="Number11bodybullet"/>
        <w:rPr/>
      </w:pPr>
      <w:r>
        <w:rPr/>
        <w:tab/>
        <w:t>e.</w:t>
        <w:tab/>
        <w:t>People in this neighborhood do not share the same values.</w:t>
      </w:r>
    </w:p>
    <w:p>
      <w:pPr>
        <w:pStyle w:val="Number11bodybullet"/>
        <w:rPr>
          <w:rFonts w:ascii="Arial;Arial" w:hAnsi="Arial;Arial" w:cs="Arial;Arial"/>
          <w:b/>
          <w:b/>
          <w:bCs/>
          <w:sz w:val="20"/>
        </w:rPr>
      </w:pPr>
      <w:r>
        <w:rPr>
          <w:rFonts w:cs="Arial;Arial" w:ascii="Arial;Arial" w:hAnsi="Arial;Arial"/>
          <w:b/>
          <w:bCs/>
          <w:sz w:val="20"/>
        </w:rPr>
      </w:r>
    </w:p>
    <w:p>
      <w:pPr>
        <w:pStyle w:val="Number11"/>
        <w:rPr/>
      </w:pPr>
      <w:r>
        <w:rPr/>
        <w:tab/>
        <w:t>4.</w:t>
        <w:tab/>
      </w:r>
      <w:r>
        <w:rPr>
          <w:rFonts w:cs="Arial;Arial" w:ascii="Arial;Arial" w:hAnsi="Arial;Arial"/>
          <w:b/>
          <w:bCs/>
          <w:sz w:val="20"/>
        </w:rPr>
        <w:t>How safe from crime do you consider your neighborhood to be?</w:t>
      </w:r>
      <w:r>
        <w:rPr/>
        <w:t xml:space="preserve">  Provide rating on a scale from 1–5 (“very safe”–“not safe at all”). Answer is selected by filling in the appropriate circle.</w:t>
      </w:r>
    </w:p>
    <w:p>
      <w:pPr>
        <w:pStyle w:val="Number11"/>
        <w:rPr/>
      </w:pPr>
      <w:r>
        <w:rPr/>
      </w:r>
    </w:p>
    <w:p>
      <w:pPr>
        <w:pStyle w:val="Number11"/>
        <w:rPr/>
      </w:pPr>
      <w:r>
        <w:rPr/>
        <w:tab/>
        <w:t>5.</w:t>
        <w:tab/>
      </w:r>
      <w:r>
        <w:rPr>
          <w:rFonts w:cs="Arial;Arial" w:ascii="Arial;Arial" w:hAnsi="Arial;Arial"/>
          <w:b/>
          <w:bCs/>
          <w:sz w:val="20"/>
        </w:rPr>
        <w:t>Think about your neighborhood as a whole and then please check one box for each of the following to show how much of a problem each one is in your neighborhood.</w:t>
      </w:r>
      <w:r>
        <w:rPr/>
        <w:t xml:space="preserve"> Possible answers are “very serious problem,” “somewhat serious problem,” “minor problem,” or “not really a problem.”</w:t>
      </w:r>
    </w:p>
    <w:p>
      <w:pPr>
        <w:pStyle w:val="Number11"/>
        <w:rPr/>
      </w:pPr>
      <w:r>
        <w:rPr/>
      </w:r>
    </w:p>
    <w:p>
      <w:pPr>
        <w:pStyle w:val="Number11bodybullet"/>
        <w:rPr/>
      </w:pPr>
      <w:r>
        <w:rPr/>
        <w:tab/>
        <w:t>a.</w:t>
        <w:tab/>
        <w:t>Excessive noise</w:t>
      </w:r>
    </w:p>
    <w:p>
      <w:pPr>
        <w:pStyle w:val="Number11bodybullet"/>
        <w:rPr/>
      </w:pPr>
      <w:r>
        <w:rPr/>
        <w:tab/>
        <w:t>b.</w:t>
        <w:tab/>
        <w:t>Heavy traffic or speeding cars</w:t>
        <w:tab/>
      </w:r>
    </w:p>
    <w:p>
      <w:pPr>
        <w:pStyle w:val="Number11bodybullet"/>
        <w:rPr/>
      </w:pPr>
      <w:r>
        <w:rPr/>
        <w:tab/>
        <w:t>c.</w:t>
        <w:tab/>
        <w:t>Lack of access to adequate food shopping</w:t>
      </w:r>
    </w:p>
    <w:p>
      <w:pPr>
        <w:pStyle w:val="Number11bodybullet"/>
        <w:rPr/>
      </w:pPr>
      <w:r>
        <w:rPr/>
        <w:tab/>
        <w:t>d.</w:t>
        <w:tab/>
        <w:t>Lack of parks or playgrounds</w:t>
      </w:r>
    </w:p>
    <w:p>
      <w:pPr>
        <w:pStyle w:val="Number11bodybullet"/>
        <w:rPr/>
      </w:pPr>
      <w:r>
        <w:rPr/>
        <w:tab/>
        <w:t>e.</w:t>
        <w:tab/>
        <w:t>Trash and litter</w:t>
      </w:r>
    </w:p>
    <w:p>
      <w:pPr>
        <w:pStyle w:val="Number11bodybullet"/>
        <w:rPr/>
      </w:pPr>
      <w:r>
        <w:rPr/>
        <w:tab/>
        <w:t>f.</w:t>
        <w:tab/>
        <w:t>No sidewalks or poorly maintained sidewalks</w:t>
      </w:r>
    </w:p>
    <w:p>
      <w:pPr>
        <w:pStyle w:val="Number11bodybullet"/>
        <w:rPr/>
      </w:pPr>
      <w:r>
        <w:rPr/>
        <w:tab/>
        <w:t>g.</w:t>
        <w:tab/>
        <w:t>Violence</w:t>
        <w:tab/>
      </w:r>
    </w:p>
    <w:p>
      <w:pPr>
        <w:pStyle w:val="Number11bodybullet"/>
        <w:rPr/>
      </w:pPr>
      <w:r>
        <w:rPr/>
      </w:r>
    </w:p>
    <w:p>
      <w:pPr>
        <w:sectPr>
          <w:headerReference w:type="even" r:id="rId88"/>
          <w:headerReference w:type="default" r:id="rId89"/>
          <w:footerReference w:type="even" r:id="rId90"/>
          <w:footerReference w:type="default" r:id="rId91"/>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t>In the box labeled, “For MESA Field Center Use Only,” select whether the form was self-administered or interviewer-administered. Record reviewer (if form self-administered) or interviewer (if form interviewer-administered) ID number.</w:t>
      </w:r>
    </w:p>
    <w:p>
      <w:pPr>
        <w:pStyle w:val="Subsub"/>
        <w:rPr/>
      </w:pPr>
      <w:bookmarkStart w:id="23" w:name="__RefHeading___Toc503858979"/>
      <w:bookmarkEnd w:id="23"/>
      <w:r>
        <w:rPr/>
        <w:t>3.4.9  Diet Assessment</w:t>
      </w:r>
    </w:p>
    <w:p>
      <w:pPr>
        <w:pStyle w:val="Subsub"/>
        <w:ind w:left="0" w:hanging="0"/>
        <w:jc w:val="left"/>
        <w:rPr/>
      </w:pPr>
      <w:r>
        <w:rPr/>
      </w:r>
    </w:p>
    <w:p>
      <w:pPr>
        <w:pStyle w:val="Subsub"/>
        <w:ind w:left="0" w:hanging="0"/>
        <w:jc w:val="left"/>
        <w:rPr/>
      </w:pPr>
      <w:r>
        <w:rPr/>
      </w:r>
    </w:p>
    <w:p>
      <w:pPr>
        <w:pStyle w:val="Romanbold"/>
        <w:rPr/>
      </w:pPr>
      <w:r>
        <w:rPr/>
        <w:tab/>
        <w:t>I.</w:t>
        <w:tab/>
        <w:t>Background and Rationale</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
        <w:rPr/>
      </w:pPr>
      <w:r>
        <w:rPr/>
        <w:tab/>
        <w:t>1.</w:t>
        <w:tab/>
        <w:t>Many dietary factors may be important in the development of atherosclerosis, either by promoting obesity or through metabolic pathways independent of obesity. Nutrients of interest include total caloric intake, dietary fats (total fat and specific fatty acids), nutrient antioxidants (vitamins E, C, and others), B-complex vitamins, iron, and others.  In addition, there is increasing recognition of the potential health effects of whole foods, food groups, and other dimensions of dietary patterns. For example, Jacobs et al (1998) reported that increased intake of whole grain foods was associated with significantly reduced risk of ischemic heart disease among postmenopausal women. Finally, use of traditional nutrient supplements (e.g., multi-vitamins, single-dose vitamin or mineral supplements) and non-traditional nutritional supplements (e.g., echinacea, St. John’s wort, evening primrose) may also have an impact on the development of atherosclerosis; however, they have received little rigorous study to date</w:t>
        <w:softHyphen/>
        <w:t>—particularly the non-traditional supplements.</w:t>
      </w:r>
    </w:p>
    <w:p>
      <w:pPr>
        <w:pStyle w:val="Number1"/>
        <w:rPr/>
      </w:pPr>
      <w:r>
        <w:rPr/>
      </w:r>
    </w:p>
    <w:p>
      <w:pPr>
        <w:pStyle w:val="Number1"/>
        <w:rPr/>
      </w:pPr>
      <w:r>
        <w:rPr/>
        <w:tab/>
        <w:t>2.</w:t>
        <w:tab/>
        <w:t>The MESA dietary assessment is designed to facilitate analysis of specific nutrients, whole foods, and nutritional supplements, as well as overall dietary patterns. The opportunity to analyze and contrast dietary intake in a cross-section of four ethnic groups is a unique and important aspect of the study and may help us better understand how differences in dietary intake are related to observed ethnic differences in the development of subclinical atherosclerosis and clinical endpoints.</w:t>
      </w:r>
    </w:p>
    <w:p>
      <w:pPr>
        <w:pStyle w:val="Number1"/>
        <w:rPr/>
      </w:pPr>
      <w:r>
        <w:rPr/>
      </w:r>
    </w:p>
    <w:p>
      <w:pPr>
        <w:pStyle w:val="Number1"/>
        <w:rPr/>
      </w:pPr>
      <w:r>
        <w:rPr/>
        <w:tab/>
        <w:t>3.</w:t>
        <w:tab/>
        <w:t xml:space="preserve">The participant’s usual diet during the last year will be characterized using a 120-item food frequency questionnaire, modified from the validated Insulin Resistance Atherosclerosis study in which comparable validity was observed for non-Hispanic white, African American, and Hispanic individuals (Mayer-Davis et al., 1999; Block et al., 1990). The MESA dietary assessment was modified to include foods typically eaten by Chinese groups and to collect supplemental information concerning hypotheses about whole grains, processing of plant food, flavonoids, as well as longstanding hypotheses about nutrients such as fat and vitamins.  In addition, a number of nutrients have been added, including specific fatty acids and carbohydrates. The underlying nutrient database will be updated to incorporate the appropriate nutrient values for these items. </w:t>
      </w:r>
    </w:p>
    <w:p>
      <w:pPr>
        <w:pStyle w:val="Number1"/>
        <w:rPr/>
      </w:pPr>
      <w:r>
        <w:rPr/>
      </w:r>
    </w:p>
    <w:p>
      <w:pPr>
        <w:pStyle w:val="Number1"/>
        <w:rPr/>
      </w:pPr>
      <w:r>
        <w:rPr/>
        <w:tab/>
        <w:t>4.</w:t>
        <w:tab/>
        <w:t xml:space="preserve">The Diet Assessment Center (DAC) will manage the diet data and provide all staff and interviewer certification. </w:t>
      </w:r>
      <w:r>
        <w:rPr>
          <w:bCs/>
          <w:i/>
          <w:iCs/>
        </w:rPr>
        <w:t xml:space="preserve">The DAC staff strongly encourages close communication with MESA Clinical Center staff. </w:t>
      </w:r>
      <w:r>
        <w:rPr/>
        <w:t>We encourage all staff to contact us at any time with any questions or concerns that may arise. Contact information:</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bodybullet"/>
        <w:rPr/>
      </w:pPr>
      <w:r>
        <w:rPr>
          <w:rFonts w:eastAsia="Symbol" w:cs="Symbol" w:ascii="Symbol" w:hAnsi="Symbol"/>
        </w:rPr>
        <w:t></w:t>
      </w:r>
      <w:r>
        <w:rPr/>
        <w:tab/>
      </w:r>
      <w:r>
        <w:rPr>
          <w:u w:val="single"/>
        </w:rPr>
        <w:t>Principle Investigator</w:t>
      </w:r>
      <w:r>
        <w:rPr/>
        <w:t>:</w:t>
        <w:tab/>
      </w:r>
    </w:p>
    <w:p>
      <w:pPr>
        <w:pStyle w:val="Number1bodybullet"/>
        <w:rPr/>
      </w:pPr>
      <w:r>
        <w:rPr/>
        <w:tab/>
        <w:t>Elizabeth (Beth) Mayer-Davis, PhD, MSPH, RD</w:t>
      </w:r>
    </w:p>
    <w:p>
      <w:pPr>
        <w:pStyle w:val="Number1bodybullet"/>
        <w:rPr/>
      </w:pPr>
      <w:r>
        <w:rPr/>
        <w:tab/>
        <w:t>Phone:  803-777-6888</w:t>
      </w:r>
    </w:p>
    <w:p>
      <w:pPr>
        <w:pStyle w:val="Number1bodybullet"/>
        <w:rPr/>
      </w:pPr>
      <w:r>
        <w:rPr/>
        <w:tab/>
        <w:t>Fax:  803-777-0944</w:t>
      </w:r>
    </w:p>
    <w:p>
      <w:pPr>
        <w:pStyle w:val="Number1bodybullet"/>
        <w:rPr/>
      </w:pPr>
      <w:r>
        <w:rPr/>
        <w:tab/>
        <w:t>Email:  ejmayerd@sph.sc.edu</w:t>
      </w:r>
    </w:p>
    <w:p>
      <w:pPr>
        <w:pStyle w:val="Number1bodybullet"/>
        <w:tabs>
          <w:tab w:val="clear" w:pos="720"/>
          <w:tab w:val="left" w:pos="1530" w:leader="none"/>
        </w:tabs>
        <w:rPr/>
      </w:pPr>
      <w:r>
        <w:rPr/>
      </w:r>
    </w:p>
    <w:p>
      <w:pPr>
        <w:pStyle w:val="Number1bodybullet"/>
        <w:tabs>
          <w:tab w:val="clear" w:pos="720"/>
          <w:tab w:val="left" w:pos="2970" w:leader="none"/>
        </w:tabs>
        <w:rPr/>
      </w:pPr>
      <w:r>
        <w:rPr>
          <w:rFonts w:eastAsia="Symbol" w:cs="Symbol" w:ascii="Symbol" w:hAnsi="Symbol"/>
        </w:rPr>
        <w:t></w:t>
      </w:r>
      <w:r>
        <w:rPr/>
        <w:tab/>
      </w:r>
      <w:r>
        <w:rPr>
          <w:u w:val="single"/>
        </w:rPr>
        <w:t>Biostatistician</w:t>
      </w:r>
      <w:r>
        <w:rPr/>
        <w:t>:</w:t>
        <w:tab/>
      </w:r>
    </w:p>
    <w:p>
      <w:pPr>
        <w:pStyle w:val="Number1bodybullet"/>
        <w:tabs>
          <w:tab w:val="clear" w:pos="720"/>
          <w:tab w:val="left" w:pos="2970" w:leader="none"/>
        </w:tabs>
        <w:rPr/>
      </w:pPr>
      <w:r>
        <w:rPr/>
        <w:tab/>
        <w:t>K. C. Sparks</w:t>
      </w:r>
    </w:p>
    <w:p>
      <w:pPr>
        <w:pStyle w:val="Number1bodybullet"/>
        <w:tabs>
          <w:tab w:val="clear" w:pos="720"/>
          <w:tab w:val="left" w:pos="2970" w:leader="none"/>
        </w:tabs>
        <w:rPr/>
      </w:pPr>
      <w:r>
        <w:rPr/>
        <w:tab/>
        <w:t>Phone:  803-777-5046</w:t>
      </w:r>
    </w:p>
    <w:p>
      <w:pPr>
        <w:pStyle w:val="Number1bodybullet"/>
        <w:tabs>
          <w:tab w:val="clear" w:pos="720"/>
          <w:tab w:val="left" w:pos="2970" w:leader="none"/>
        </w:tabs>
        <w:rPr/>
      </w:pPr>
      <w:r>
        <w:rPr/>
        <w:tab/>
        <w:t>Fax:  803-777-0944</w:t>
      </w:r>
    </w:p>
    <w:p>
      <w:pPr>
        <w:pStyle w:val="Number1bodybullet"/>
        <w:tabs>
          <w:tab w:val="clear" w:pos="720"/>
          <w:tab w:val="left" w:pos="2970" w:leader="none"/>
        </w:tabs>
        <w:rPr/>
      </w:pPr>
      <w:r>
        <w:rPr/>
        <w:tab/>
        <w:t>Email:  kcsparks@sph.sc.edu</w:t>
      </w:r>
    </w:p>
    <w:p>
      <w:pPr>
        <w:pStyle w:val="Number1bodybullet"/>
        <w:tabs>
          <w:tab w:val="clear" w:pos="720"/>
          <w:tab w:val="left" w:pos="2970" w:leader="none"/>
        </w:tabs>
        <w:rPr/>
      </w:pPr>
      <w:r>
        <w:rPr/>
        <w:tab/>
        <w:t>Mailing address:</w:t>
        <w:tab/>
        <w:t>K. C. Sparks</w:t>
      </w:r>
    </w:p>
    <w:p>
      <w:pPr>
        <w:pStyle w:val="Number1bodybullet"/>
        <w:tabs>
          <w:tab w:val="clear" w:pos="720"/>
          <w:tab w:val="left" w:pos="2970" w:leader="none"/>
        </w:tabs>
        <w:rPr/>
      </w:pPr>
      <w:r>
        <w:rPr/>
        <w:tab/>
        <w:tab/>
        <w:t>University of South Carolina</w:t>
      </w:r>
    </w:p>
    <w:p>
      <w:pPr>
        <w:pStyle w:val="TextBody"/>
        <w:tabs>
          <w:tab w:val="clear" w:pos="720"/>
          <w:tab w:val="left" w:pos="-720" w:leader="none"/>
          <w:tab w:val="left" w:pos="-16" w:leader="none"/>
          <w:tab w:val="left" w:pos="2970" w:leader="none"/>
          <w:tab w:val="left" w:pos="9343" w:leader="none"/>
        </w:tabs>
        <w:ind w:left="1260" w:hanging="270"/>
        <w:rPr>
          <w:i w:val="false"/>
          <w:i w:val="false"/>
          <w:iCs w:val="false"/>
        </w:rPr>
      </w:pPr>
      <w:r>
        <w:rPr>
          <w:i w:val="false"/>
          <w:iCs w:val="false"/>
        </w:rPr>
        <w:tab/>
        <w:tab/>
        <w:t>School of Public Health</w:t>
      </w:r>
    </w:p>
    <w:p>
      <w:pPr>
        <w:pStyle w:val="TextBody"/>
        <w:tabs>
          <w:tab w:val="clear" w:pos="720"/>
          <w:tab w:val="left" w:pos="-720" w:leader="none"/>
          <w:tab w:val="left" w:pos="-16" w:leader="none"/>
          <w:tab w:val="left" w:pos="2863" w:leader="none"/>
          <w:tab w:val="left" w:pos="2970" w:leader="none"/>
          <w:tab w:val="left" w:pos="9343" w:leader="none"/>
        </w:tabs>
        <w:ind w:left="1260" w:hanging="270"/>
        <w:rPr>
          <w:i w:val="false"/>
          <w:i w:val="false"/>
          <w:iCs w:val="false"/>
        </w:rPr>
      </w:pPr>
      <w:r>
        <w:rPr>
          <w:i w:val="false"/>
          <w:iCs w:val="false"/>
        </w:rPr>
        <w:tab/>
        <w:tab/>
        <w:tab/>
        <w:t>Department of Epidemiology and Biostatistics</w:t>
      </w:r>
    </w:p>
    <w:p>
      <w:pPr>
        <w:pStyle w:val="TextBody"/>
        <w:tabs>
          <w:tab w:val="clear" w:pos="720"/>
          <w:tab w:val="left" w:pos="-720" w:leader="none"/>
          <w:tab w:val="left" w:pos="-16" w:leader="none"/>
          <w:tab w:val="left" w:pos="2863" w:leader="none"/>
          <w:tab w:val="left" w:pos="2970" w:leader="none"/>
          <w:tab w:val="left" w:pos="9343" w:leader="none"/>
        </w:tabs>
        <w:ind w:left="1260" w:hanging="270"/>
        <w:rPr>
          <w:i w:val="false"/>
          <w:i w:val="false"/>
          <w:iCs w:val="false"/>
        </w:rPr>
      </w:pPr>
      <w:r>
        <w:rPr>
          <w:i w:val="false"/>
          <w:iCs w:val="false"/>
        </w:rPr>
        <w:tab/>
        <w:tab/>
        <w:tab/>
        <w:t>800 Sumter Street</w:t>
      </w:r>
    </w:p>
    <w:p>
      <w:pPr>
        <w:pStyle w:val="Normal"/>
        <w:tabs>
          <w:tab w:val="clear" w:pos="720"/>
          <w:tab w:val="left" w:pos="-360" w:leader="none"/>
          <w:tab w:val="left" w:pos="360" w:leader="none"/>
          <w:tab w:val="left" w:pos="1080" w:leader="none"/>
          <w:tab w:val="left" w:pos="2520" w:leader="none"/>
          <w:tab w:val="left" w:pos="297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ind w:left="1260" w:hanging="270"/>
        <w:rPr/>
      </w:pPr>
      <w:r>
        <w:rPr/>
        <w:tab/>
        <w:tab/>
        <w:tab/>
        <w:t xml:space="preserve">     </w:t>
        <w:tab/>
        <w:t>Columbia, SC  29208</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Romanbold"/>
        <w:rPr/>
      </w:pPr>
      <w:r>
        <w:rPr/>
        <w:tab/>
        <w:t>II.</w:t>
        <w:tab/>
        <w:t>Methods</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b/>
          <w:b/>
        </w:rPr>
      </w:pPr>
      <w:r>
        <w:rPr>
          <w:b/>
        </w:rPr>
      </w:r>
    </w:p>
    <w:p>
      <w:pPr>
        <w:pStyle w:val="Number1"/>
        <w:rPr/>
      </w:pPr>
      <w:r>
        <w:rPr/>
        <w:tab/>
        <w:t>1.</w:t>
        <w:tab/>
        <w:t>Most participants will self-administer the questionnaire, with support from certified clinic staff to introduce and explain the form to the participant and review and edit the form upon its return. Certified interviewers will administer some questionnaires, when necessary, due to problems such as illiteracy or poor vision. Guidelines are provided below for both the self-administration and interviewer-administration of the form.</w:t>
      </w:r>
    </w:p>
    <w:p>
      <w:pPr>
        <w:pStyle w:val="Number1"/>
        <w:rPr/>
      </w:pPr>
      <w:r>
        <w:rPr/>
      </w:r>
    </w:p>
    <w:p>
      <w:pPr>
        <w:pStyle w:val="Number1"/>
        <w:rPr/>
      </w:pPr>
      <w:r>
        <w:rPr/>
        <w:tab/>
        <w:t>2.</w:t>
        <w:tab/>
        <w:t xml:space="preserve">The goal of the diet interview is to obtain information about </w:t>
      </w:r>
      <w:r>
        <w:rPr>
          <w:bCs/>
          <w:i/>
          <w:iCs/>
        </w:rPr>
        <w:t>usual</w:t>
      </w:r>
      <w:r>
        <w:rPr/>
        <w:t xml:space="preserve"> dietary practices of the participants, and to do so consistently at all field centers. Ideally, for a hypothetical participant, the same results would be obtained no matter who is administering the questionnaire, how it is administered (self or interviewer), when it is administered, or where it is administered.  However, in any multi-center study, differences in the administration of a questionnaire will exist among staff and interviewers, among centers and over time. These differences can seriously bias results of statistical analyses. Thus, standardization of the administration of the nutrition form is critical to the data quality. The DAC has established certification guidelines (see Training and Certification) and will maintain listings of certified staff and interviewers.</w:t>
      </w:r>
    </w:p>
    <w:p>
      <w:pPr>
        <w:pStyle w:val="Number1"/>
        <w:rPr/>
      </w:pPr>
      <w:r>
        <w:rPr/>
      </w:r>
    </w:p>
    <w:p>
      <w:pPr>
        <w:pStyle w:val="Number1"/>
        <w:rPr/>
      </w:pPr>
      <w:r>
        <w:rPr/>
        <w:tab/>
        <w:t>3.</w:t>
        <w:tab/>
      </w:r>
      <w:r>
        <w:rPr>
          <w:u w:val="single"/>
        </w:rPr>
        <w:t>Instructions for Participant Self-Administration of Food Frequency Section of the Diet Questionnaire</w:t>
      </w:r>
    </w:p>
    <w:p>
      <w:pPr>
        <w:pStyle w:val="Number1"/>
        <w:rPr/>
      </w:pPr>
      <w:r>
        <w:rPr/>
      </w:r>
    </w:p>
    <w:p>
      <w:pPr>
        <w:pStyle w:val="Number11"/>
        <w:rPr/>
      </w:pPr>
      <w:r>
        <w:rPr/>
        <w:tab/>
        <w:t>3.1</w:t>
        <w:tab/>
        <w:t xml:space="preserve">In order to obtain valid and accurate information from the questionnaire, it is extremely important to give participants a clear, positive introduction and explanation of the questionnaire. </w:t>
      </w:r>
      <w:r>
        <w:rPr>
          <w:i/>
          <w:iCs/>
        </w:rPr>
        <w:t xml:space="preserve">Keep the instructions and explanation simple! </w:t>
      </w:r>
      <w:r>
        <w:rPr/>
        <w:t>Do not overwhelm the participant with too much detail; the entire explanation should take approximately 10 minutes.</w:t>
      </w:r>
    </w:p>
    <w:p>
      <w:pPr>
        <w:pStyle w:val="Number11"/>
        <w:rPr/>
      </w:pPr>
      <w:r>
        <w:rPr/>
      </w:r>
    </w:p>
    <w:p>
      <w:pPr>
        <w:pStyle w:val="Number11"/>
        <w:rPr/>
      </w:pPr>
      <w:r>
        <w:rPr/>
        <w:tab/>
        <w:t>3.2</w:t>
        <w:tab/>
      </w:r>
      <w:r>
        <w:rPr>
          <w:u w:val="single"/>
        </w:rPr>
        <w:t>Form Preparation</w:t>
      </w:r>
    </w:p>
    <w:p>
      <w:pPr>
        <w:pStyle w:val="Number11"/>
        <w:rPr>
          <w:u w:val="single"/>
        </w:rPr>
      </w:pPr>
      <w:r>
        <w:rPr>
          <w:u w:val="single"/>
        </w:rPr>
      </w:r>
    </w:p>
    <w:p>
      <w:pPr>
        <w:pStyle w:val="Number11body"/>
        <w:rPr/>
      </w:pPr>
      <w:r>
        <w:rPr/>
        <w:t>The form will be printed using Teleform, as part of the complete clinic form packet for each participant. The food frequency section and the vitamin section will be printed together from the same form.</w:t>
      </w:r>
    </w:p>
    <w:p>
      <w:pPr>
        <w:pStyle w:val="Normal"/>
        <w:rPr/>
      </w:pPr>
      <w:r>
        <w:rPr/>
      </w:r>
    </w:p>
    <w:p>
      <w:pPr>
        <w:pStyle w:val="Number111"/>
        <w:rPr/>
      </w:pPr>
      <w:r>
        <w:rPr/>
        <w:tab/>
        <w:t>3.2.1</w:t>
        <w:tab/>
        <w:t>Enter the Visit Date and the Acrostic on page 1 and page 18 (the first page of the vitamin section).</w:t>
      </w:r>
    </w:p>
    <w:p>
      <w:pPr>
        <w:pStyle w:val="Number111"/>
        <w:rPr/>
      </w:pPr>
      <w:r>
        <w:rPr/>
      </w:r>
    </w:p>
    <w:p>
      <w:pPr>
        <w:pStyle w:val="Number111"/>
        <w:rPr/>
      </w:pPr>
      <w:r>
        <w:rPr/>
        <w:tab/>
        <w:t>3.2.2</w:t>
        <w:tab/>
        <w:t xml:space="preserve">Staple pages 1–17 (the food frequency section) together before giving to the participant. Be careful not to staple on or very close to the squares located on the corners of the form. </w:t>
      </w:r>
    </w:p>
    <w:p>
      <w:pPr>
        <w:pStyle w:val="Number111"/>
        <w:rPr/>
      </w:pPr>
      <w:r>
        <w:rPr/>
      </w:r>
    </w:p>
    <w:p>
      <w:pPr>
        <w:pStyle w:val="Number111"/>
        <w:rPr/>
      </w:pPr>
      <w:r>
        <w:rPr/>
        <w:tab/>
        <w:t>3.2.3</w:t>
        <w:tab/>
        <w:t xml:space="preserve">The “Vitamins, Minerals, Other Nutritional Supplements” section (pages 18–21) will be completed at the time of the Medication Inventory. </w:t>
      </w:r>
      <w:r>
        <w:rPr>
          <w:i/>
          <w:iCs/>
        </w:rPr>
        <w:t>This section of the form is not self-administered.</w:t>
      </w:r>
    </w:p>
    <w:p>
      <w:pPr>
        <w:pStyle w:val="Normal"/>
        <w:rPr/>
      </w:pPr>
      <w:r>
        <w:rPr/>
      </w:r>
    </w:p>
    <w:p>
      <w:pPr>
        <w:pStyle w:val="Number11"/>
        <w:rPr/>
      </w:pPr>
      <w:r>
        <w:rPr/>
        <w:tab/>
        <w:t>3.3</w:t>
        <w:tab/>
      </w:r>
      <w:r>
        <w:rPr>
          <w:u w:val="single"/>
        </w:rPr>
        <w:t>General Instructions for Participants</w:t>
      </w:r>
    </w:p>
    <w:p>
      <w:pPr>
        <w:pStyle w:val="Number111"/>
        <w:rPr/>
      </w:pPr>
      <w:r>
        <w:rPr/>
      </w:r>
    </w:p>
    <w:p>
      <w:pPr>
        <w:pStyle w:val="Number111"/>
        <w:rPr/>
      </w:pPr>
      <w:r>
        <w:rPr/>
        <w:tab/>
        <w:t>3.3.1</w:t>
        <w:tab/>
        <w:t>Inform participants that we are interested in their overall pattern of eating for the past year. If they are concerned about not remembering what they ate, acknowledge their concerns and encourage them to recall to the best of their ability.</w:t>
      </w:r>
    </w:p>
    <w:p>
      <w:pPr>
        <w:pStyle w:val="Number111"/>
        <w:rPr/>
      </w:pPr>
      <w:r>
        <w:rPr/>
      </w:r>
    </w:p>
    <w:p>
      <w:pPr>
        <w:pStyle w:val="Number111"/>
        <w:rPr/>
      </w:pPr>
      <w:r>
        <w:rPr/>
        <w:tab/>
        <w:t>3.3.2</w:t>
        <w:tab/>
        <w:t>Show the participants the first page of the questionnaire.  Encourage the participants to complete the questionnaire without a lot of distractions. However, if participants become fatigued, they can feel free to take a break. (Avoid excessive discontinuous completion of the form—this will hurt the quality of the information.)</w:t>
      </w:r>
    </w:p>
    <w:p>
      <w:pPr>
        <w:pStyle w:val="Number111"/>
        <w:rPr/>
      </w:pPr>
      <w:r>
        <w:rPr/>
      </w:r>
    </w:p>
    <w:p>
      <w:pPr>
        <w:pStyle w:val="Number111"/>
        <w:rPr/>
      </w:pPr>
      <w:r>
        <w:rPr/>
        <w:tab/>
        <w:t>3.3.3</w:t>
        <w:tab/>
        <w:t xml:space="preserve">Inform the participants that they may work on the questionnaire while waiting in the clinic and return the completed questionnaire to the clinic, or they may take it home to complete and mail back to the clinic using the stamped, addressed envelope that you can provide for them. </w:t>
      </w:r>
      <w:r>
        <w:rPr>
          <w:i/>
          <w:iCs/>
        </w:rPr>
        <w:t>Be sure to provide a stamped envelope</w:t>
      </w:r>
      <w:r>
        <w:rPr/>
        <w:t>. (Note: The place of form completion is a clinic- and potentially a participant-specific decision.)</w:t>
      </w:r>
    </w:p>
    <w:p>
      <w:pPr>
        <w:pStyle w:val="Number111"/>
        <w:rPr/>
      </w:pPr>
      <w:r>
        <w:rPr/>
      </w:r>
    </w:p>
    <w:p>
      <w:pPr>
        <w:pStyle w:val="Number111"/>
        <w:rPr/>
      </w:pPr>
      <w:r>
        <w:rPr/>
        <w:tab/>
        <w:t>3.3.4</w:t>
        <w:tab/>
        <w:t>Let the participants know whom they should call if they have any questions and how to contact that person.</w:t>
      </w:r>
    </w:p>
    <w:p>
      <w:pPr>
        <w:pStyle w:val="Number111"/>
        <w:rPr/>
      </w:pPr>
      <w:r>
        <w:rPr/>
      </w:r>
    </w:p>
    <w:p>
      <w:pPr>
        <w:pStyle w:val="Number111"/>
        <w:rPr/>
      </w:pPr>
      <w:r>
        <w:rPr/>
        <w:tab/>
        <w:t>3.3.5</w:t>
        <w:tab/>
        <w:t>Let the participants know by what date they should return the completed questionnaire.</w:t>
      </w:r>
    </w:p>
    <w:p>
      <w:pPr>
        <w:pStyle w:val="Number111"/>
        <w:rPr/>
      </w:pPr>
      <w:r>
        <w:rPr/>
      </w:r>
    </w:p>
    <w:p>
      <w:pPr>
        <w:pStyle w:val="Number11"/>
        <w:rPr/>
      </w:pPr>
      <w:r>
        <w:rPr/>
        <w:tab/>
        <w:t>3.4</w:t>
        <w:tab/>
      </w:r>
      <w:r>
        <w:rPr>
          <w:u w:val="single"/>
        </w:rPr>
        <w:t>Specific Form Completion Instructions for Participants</w:t>
      </w:r>
    </w:p>
    <w:p>
      <w:pPr>
        <w:pStyle w:val="Number11"/>
        <w:rPr>
          <w:u w:val="single"/>
        </w:rPr>
      </w:pPr>
      <w:r>
        <w:rPr>
          <w:u w:val="single"/>
        </w:rPr>
      </w:r>
    </w:p>
    <w:p>
      <w:pPr>
        <w:pStyle w:val="Number111"/>
        <w:rPr/>
      </w:pPr>
      <w:r>
        <w:rPr/>
        <w:tab/>
        <w:t>3.4.1</w:t>
        <w:tab/>
        <w:t>Go over the questions at the top of page two and have participants answer these questions in your presence.</w:t>
      </w:r>
    </w:p>
    <w:p>
      <w:pPr>
        <w:pStyle w:val="Number111"/>
        <w:rPr/>
      </w:pPr>
      <w:r>
        <w:rPr/>
      </w:r>
    </w:p>
    <w:p>
      <w:pPr>
        <w:pStyle w:val="Number111"/>
        <w:rPr/>
      </w:pPr>
      <w:r>
        <w:rPr/>
        <w:tab/>
        <w:t>3.4.2</w:t>
        <w:tab/>
        <w:t xml:space="preserve">Go over the example on page two. </w:t>
      </w:r>
      <w:r>
        <w:rPr>
          <w:bCs/>
          <w:i/>
          <w:iCs/>
        </w:rPr>
        <w:t>Read through and point out (with a pencil) the specific possible responses for frequency and serving size.</w:t>
      </w:r>
      <w:r>
        <w:rPr/>
        <w:t xml:space="preserve"> Point out that the frequency choices are abbreviated on the following pages and encourage participants to refer back to the example if needed.  </w:t>
      </w:r>
    </w:p>
    <w:p>
      <w:pPr>
        <w:pStyle w:val="Number111"/>
        <w:rPr/>
      </w:pPr>
      <w:r>
        <w:rPr/>
      </w:r>
    </w:p>
    <w:p>
      <w:pPr>
        <w:pStyle w:val="Number111"/>
        <w:rPr/>
      </w:pPr>
      <w:r>
        <w:rPr/>
        <w:tab/>
        <w:t>3.4.3</w:t>
        <w:tab/>
        <w:t>Explain to participants that a “small” serving size indicates that they eat a little of the food, compared to others of the same age and sex; that a “medium” serving size indicates that they eat an average amount of the food, compared to others of the same age and sex; and that a “large” serving size indicates that they eat a lot of the food compared to others of the same age and sex.</w:t>
      </w:r>
    </w:p>
    <w:p>
      <w:pPr>
        <w:pStyle w:val="Number111"/>
        <w:rPr/>
      </w:pPr>
      <w:r>
        <w:rPr/>
      </w:r>
    </w:p>
    <w:p>
      <w:pPr>
        <w:pStyle w:val="Number111"/>
        <w:rPr/>
      </w:pPr>
      <w:r>
        <w:rPr/>
        <w:tab/>
        <w:t>3.4.4</w:t>
        <w:tab/>
        <w:t>Encourage participants to be careful to mark the appropriate bubble and to fill in the bubbles completely using the pencil provided. (The Diet Assessment Center will send mechanical pencils to the clinics for the participants to use to complete the questionnaire.)</w:t>
      </w:r>
    </w:p>
    <w:p>
      <w:pPr>
        <w:pStyle w:val="Number111"/>
        <w:rPr/>
      </w:pPr>
      <w:r>
        <w:rPr/>
      </w:r>
    </w:p>
    <w:p>
      <w:pPr>
        <w:pStyle w:val="Number111"/>
        <w:rPr/>
      </w:pPr>
      <w:r>
        <w:rPr/>
        <w:tab/>
        <w:t>3.4.5</w:t>
        <w:tab/>
        <w:t>To get participants oriented to the form, tell them that the items are grouped by type of food (e.g., fruits, vegetables, meats).  Point out that some of the foods may be unfamiliar to participants, because of the inclusion of an ethnically diverse study population.</w:t>
      </w:r>
    </w:p>
    <w:p>
      <w:pPr>
        <w:pStyle w:val="Number111"/>
        <w:rPr/>
      </w:pPr>
      <w:r>
        <w:rPr/>
      </w:r>
    </w:p>
    <w:p>
      <w:pPr>
        <w:pStyle w:val="Number111"/>
        <w:rPr/>
      </w:pPr>
      <w:r>
        <w:rPr/>
        <w:tab/>
        <w:t>3.4.6</w:t>
        <w:tab/>
        <w:t>Remind participants to include foods eaten at home and away from home. Remind them to include both meals and snacks.</w:t>
      </w:r>
    </w:p>
    <w:p>
      <w:pPr>
        <w:pStyle w:val="Number111"/>
        <w:rPr/>
      </w:pPr>
      <w:r>
        <w:rPr/>
      </w:r>
    </w:p>
    <w:p>
      <w:pPr>
        <w:pStyle w:val="Number111"/>
        <w:rPr/>
      </w:pPr>
      <w:r>
        <w:rPr/>
        <w:tab/>
        <w:t>3.4.7</w:t>
        <w:tab/>
        <w:t xml:space="preserve">Emphasize that no line should remain blank.  Participants should select “Rare or Never” rather than simply skip foods they rarely or never eat.  </w:t>
      </w:r>
    </w:p>
    <w:p>
      <w:pPr>
        <w:pStyle w:val="Number111"/>
        <w:rPr/>
      </w:pPr>
      <w:r>
        <w:rPr/>
      </w:r>
    </w:p>
    <w:p>
      <w:pPr>
        <w:pStyle w:val="Number111"/>
        <w:rPr/>
      </w:pPr>
      <w:r>
        <w:rPr/>
        <w:tab/>
        <w:t>3.4.8</w:t>
        <w:tab/>
        <w:t xml:space="preserve">Tell participants that if they don’t eat a particular food they may leave the </w:t>
      </w:r>
      <w:r>
        <w:rPr>
          <w:i/>
          <w:iCs/>
        </w:rPr>
        <w:t>serving size</w:t>
      </w:r>
      <w:r>
        <w:rPr/>
        <w:t xml:space="preserve"> (but not the frequency) blank.</w:t>
      </w:r>
    </w:p>
    <w:p>
      <w:pPr>
        <w:pStyle w:val="Number111"/>
        <w:rPr/>
      </w:pPr>
      <w:r>
        <w:rPr/>
      </w:r>
    </w:p>
    <w:p>
      <w:pPr>
        <w:pStyle w:val="Number11"/>
        <w:rPr/>
      </w:pPr>
      <w:r>
        <w:rPr/>
        <w:tab/>
        <w:t>3.5</w:t>
        <w:tab/>
      </w:r>
      <w:r>
        <w:rPr>
          <w:u w:val="single"/>
        </w:rPr>
        <w:t>Instructions for Specific Questions (pages 4–16)</w:t>
      </w:r>
    </w:p>
    <w:p>
      <w:pPr>
        <w:pStyle w:val="Number111"/>
        <w:rPr>
          <w:u w:val="single"/>
        </w:rPr>
      </w:pPr>
      <w:r>
        <w:rPr>
          <w:u w:val="single"/>
        </w:rPr>
      </w:r>
    </w:p>
    <w:p>
      <w:pPr>
        <w:pStyle w:val="Number111"/>
        <w:rPr/>
      </w:pPr>
      <w:r>
        <w:rPr/>
        <w:tab/>
        <w:t>3.5.1</w:t>
        <w:tab/>
        <w:t>Make sure participants know that, if they eat cold cereal, they need to record on</w:t>
      </w:r>
      <w:r>
        <w:rPr>
          <w:i/>
          <w:iCs/>
        </w:rPr>
        <w:t xml:space="preserve"> page 4</w:t>
      </w:r>
      <w:r>
        <w:rPr/>
        <w:t xml:space="preserve"> the name of the cold cereal they eat most often.</w:t>
      </w:r>
    </w:p>
    <w:p>
      <w:pPr>
        <w:pStyle w:val="Number111"/>
        <w:rPr/>
      </w:pPr>
      <w:r>
        <w:rPr/>
      </w:r>
    </w:p>
    <w:p>
      <w:pPr>
        <w:pStyle w:val="Number111"/>
        <w:rPr/>
      </w:pPr>
      <w:r>
        <w:rPr/>
        <w:tab/>
        <w:t>3.5.2</w:t>
        <w:tab/>
        <w:t xml:space="preserve">Referring to </w:t>
      </w:r>
      <w:r>
        <w:rPr>
          <w:i/>
          <w:iCs/>
        </w:rPr>
        <w:t>page 11</w:t>
      </w:r>
      <w:r>
        <w:rPr/>
        <w:t>, point out to participants that the frequency responses for beverages are different from those for food. Point out that they may now select a frequency of as many as six or more servings.</w:t>
      </w:r>
    </w:p>
    <w:p>
      <w:pPr>
        <w:pStyle w:val="Number111"/>
        <w:rPr/>
      </w:pPr>
      <w:r>
        <w:rPr/>
      </w:r>
    </w:p>
    <w:p>
      <w:pPr>
        <w:pStyle w:val="Number111"/>
        <w:rPr/>
      </w:pPr>
      <w:r>
        <w:rPr/>
        <w:tab/>
        <w:t>3.5.3</w:t>
        <w:tab/>
        <w:t xml:space="preserve">Also on </w:t>
      </w:r>
      <w:r>
        <w:rPr>
          <w:i/>
          <w:iCs/>
        </w:rPr>
        <w:t>page 11,</w:t>
      </w:r>
      <w:r>
        <w:rPr/>
        <w:t xml:space="preserve"> point out to participants that they should report milk drunk only as a beverage and that they should not include milk used on cereal or milk mixed with nutritional supplements.</w:t>
      </w:r>
    </w:p>
    <w:p>
      <w:pPr>
        <w:pStyle w:val="Number111"/>
        <w:rPr/>
      </w:pPr>
      <w:r>
        <w:rPr/>
      </w:r>
    </w:p>
    <w:p>
      <w:pPr>
        <w:pStyle w:val="Number111"/>
        <w:rPr/>
      </w:pPr>
      <w:r>
        <w:rPr/>
        <w:tab/>
        <w:t>3.5.4</w:t>
        <w:tab/>
        <w:t xml:space="preserve">Quickly point out to participants that </w:t>
      </w:r>
      <w:r>
        <w:rPr>
          <w:i/>
          <w:iCs/>
        </w:rPr>
        <w:t>pages 13 and 14</w:t>
      </w:r>
      <w:r>
        <w:rPr/>
        <w:t xml:space="preserve"> ask general questions about the kinds of foods they eat. Tell participants that if they never eat the food in question, they should mark “I Do Not Eat The Food.”</w:t>
      </w:r>
    </w:p>
    <w:p>
      <w:pPr>
        <w:pStyle w:val="Number111"/>
        <w:rPr/>
      </w:pPr>
      <w:r>
        <w:rPr/>
      </w:r>
    </w:p>
    <w:p>
      <w:pPr>
        <w:pStyle w:val="Number111"/>
        <w:rPr/>
      </w:pPr>
      <w:r>
        <w:rPr/>
        <w:tab/>
        <w:t>3.5.5</w:t>
        <w:tab/>
        <w:t xml:space="preserve">Quickly point out to participants that </w:t>
      </w:r>
      <w:r>
        <w:rPr>
          <w:i/>
          <w:iCs/>
        </w:rPr>
        <w:t>page 15</w:t>
      </w:r>
      <w:r>
        <w:rPr/>
        <w:t xml:space="preserve"> asks general questions about how their food is prepared. If participants do not prepare the food themselves, reassure them that they can just answer to the best of their ability. Also point out that the frequency responses on </w:t>
      </w:r>
      <w:r>
        <w:rPr>
          <w:i/>
          <w:iCs/>
        </w:rPr>
        <w:t>pages 15 and 16</w:t>
      </w:r>
      <w:r>
        <w:rPr/>
        <w:t xml:space="preserve"> differ from those used for food the beverages.</w:t>
      </w:r>
    </w:p>
    <w:p>
      <w:pPr>
        <w:pStyle w:val="Number111"/>
        <w:rPr/>
      </w:pPr>
      <w:r>
        <w:rPr/>
      </w:r>
    </w:p>
    <w:p>
      <w:pPr>
        <w:pStyle w:val="Number111"/>
        <w:rPr/>
      </w:pPr>
      <w:r>
        <w:rPr/>
        <w:tab/>
        <w:t>3.5.6</w:t>
        <w:tab/>
        <w:t xml:space="preserve">Show participants that there is space to record any other food(s) that they eat </w:t>
      </w:r>
      <w:r>
        <w:rPr>
          <w:i/>
          <w:iCs/>
        </w:rPr>
        <w:t>at least once per week</w:t>
      </w:r>
      <w:r>
        <w:rPr/>
        <w:t xml:space="preserve"> and space to record anything else they would like us to know about their usual dietary practices.</w:t>
      </w:r>
    </w:p>
    <w:p>
      <w:pPr>
        <w:pStyle w:val="Number111"/>
        <w:rPr/>
      </w:pPr>
      <w:r>
        <w:rPr/>
      </w:r>
    </w:p>
    <w:p>
      <w:pPr>
        <w:pStyle w:val="Number111"/>
        <w:rPr/>
      </w:pPr>
      <w:r>
        <w:rPr/>
        <w:tab/>
        <w:t>3.5.7</w:t>
        <w:tab/>
        <w:t>Point out that page 17 is for clinic use only</w:t>
      </w:r>
    </w:p>
    <w:p>
      <w:pPr>
        <w:pStyle w:val="Number111"/>
        <w:rPr/>
      </w:pPr>
      <w:r>
        <w:rPr/>
      </w:r>
    </w:p>
    <w:p>
      <w:pPr>
        <w:pStyle w:val="Number111"/>
        <w:rPr/>
      </w:pPr>
      <w:r>
        <w:rPr/>
        <w:tab/>
        <w:t>3.5.8</w:t>
        <w:tab/>
        <w:t>Ask participants if they have any questions. In a positive manner, give the form to the participants. Let them know they may call anytime if questions arise.</w:t>
      </w:r>
    </w:p>
    <w:p>
      <w:pPr>
        <w:pStyle w:val="Number111"/>
        <w:rPr/>
      </w:pPr>
      <w:r>
        <w:rPr/>
      </w:r>
    </w:p>
    <w:p>
      <w:pPr>
        <w:pStyle w:val="Number1"/>
        <w:rPr/>
      </w:pPr>
      <w:r>
        <w:rPr/>
        <w:tab/>
        <w:t>4.</w:t>
        <w:tab/>
      </w:r>
      <w:r>
        <w:rPr>
          <w:u w:val="single"/>
        </w:rPr>
        <w:t>Keeping Track of Forms</w:t>
      </w:r>
    </w:p>
    <w:p>
      <w:pPr>
        <w:pStyle w:val="Number1body"/>
        <w:rPr/>
      </w:pPr>
      <w:r>
        <w:rPr/>
      </w:r>
    </w:p>
    <w:p>
      <w:pPr>
        <w:pStyle w:val="Number1body"/>
        <w:rPr>
          <w:iCs/>
        </w:rPr>
      </w:pPr>
      <w:r>
        <w:rPr>
          <w:iCs/>
        </w:rPr>
        <w:t>Encourage the participant to return the questionnaire promptly. If  more than one week passes and the form has not been returned, call the participant at least once a day until you are able to make contact and make arrangements for the return of the form.</w:t>
      </w:r>
    </w:p>
    <w:p>
      <w:pPr>
        <w:pStyle w:val="Number1body"/>
        <w:rPr>
          <w:iCs/>
        </w:rPr>
      </w:pPr>
      <w:r>
        <w:rPr>
          <w:iCs/>
        </w:rPr>
      </w:r>
    </w:p>
    <w:p>
      <w:pPr>
        <w:pStyle w:val="Number1body"/>
        <w:rPr>
          <w:iCs/>
        </w:rPr>
      </w:pPr>
      <w:r>
        <w:rPr>
          <w:iCs/>
        </w:rPr>
        <w:t>If you suspect the participant is unlikely, unwilling, or unable to complete the form, you may collect the data by interview, either in the clinic or over the phone.</w:t>
      </w:r>
    </w:p>
    <w:p>
      <w:pPr>
        <w:pStyle w:val="Number1body"/>
        <w:rPr>
          <w:iCs/>
        </w:rPr>
      </w:pPr>
      <w:r>
        <w:rPr>
          <w:iCs/>
        </w:rPr>
      </w:r>
    </w:p>
    <w:p>
      <w:pPr>
        <w:pStyle w:val="Number1"/>
        <w:rPr/>
      </w:pPr>
      <w:r>
        <w:rPr/>
        <w:tab/>
        <w:t>5.</w:t>
        <w:tab/>
      </w:r>
      <w:r>
        <w:rPr>
          <w:u w:val="single"/>
        </w:rPr>
        <w:t>Checking/Editing the Form When It Is Returned</w:t>
      </w:r>
    </w:p>
    <w:p>
      <w:pPr>
        <w:pStyle w:val="Number1body"/>
        <w:rPr/>
      </w:pPr>
      <w:r>
        <w:rPr/>
      </w:r>
    </w:p>
    <w:p>
      <w:pPr>
        <w:pStyle w:val="Number1body"/>
        <w:rPr/>
      </w:pPr>
      <w:r>
        <w:rPr/>
        <w:t xml:space="preserve">When the questionnaire is returned (or the interview completed) spend a few minutes checking it over. Ideally, you will do this while the study participant is still there, if he/she competed the form in the clinic.  If the questionnaire is returned by mail, check it as soon as possible, in case clarification is needed. Do </w:t>
      </w:r>
      <w:r>
        <w:rPr>
          <w:iCs/>
        </w:rPr>
        <w:t>not</w:t>
      </w:r>
      <w:r>
        <w:rPr/>
        <w:t xml:space="preserve"> mail the form to the DAC until editing is complete. </w:t>
      </w:r>
      <w:r>
        <w:rPr>
          <w:bCs/>
        </w:rPr>
        <w:t xml:space="preserve">The goal is to identify </w:t>
      </w:r>
      <w:r>
        <w:rPr>
          <w:bCs/>
          <w:iCs/>
        </w:rPr>
        <w:t>obvious</w:t>
      </w:r>
      <w:r>
        <w:rPr>
          <w:bCs/>
        </w:rPr>
        <w:t xml:space="preserve"> omissions or errors, </w:t>
      </w:r>
      <w:r>
        <w:rPr>
          <w:bCs/>
          <w:iCs/>
        </w:rPr>
        <w:t>not</w:t>
      </w:r>
      <w:r>
        <w:rPr>
          <w:bCs/>
        </w:rPr>
        <w:t xml:space="preserve"> to judge the quality of the participant’s diet.</w:t>
      </w:r>
    </w:p>
    <w:p>
      <w:pPr>
        <w:pStyle w:val="Number1body"/>
        <w:rPr>
          <w:bCs/>
        </w:rPr>
      </w:pPr>
      <w:r>
        <w:rPr>
          <w:bCs/>
        </w:rPr>
      </w:r>
    </w:p>
    <w:p>
      <w:pPr>
        <w:pStyle w:val="Number11"/>
        <w:rPr/>
      </w:pPr>
      <w:r>
        <w:rPr/>
        <w:tab/>
        <w:t>5.1</w:t>
        <w:tab/>
        <w:t>Make sure the Participant ID is correct.</w:t>
      </w:r>
    </w:p>
    <w:p>
      <w:pPr>
        <w:pStyle w:val="Number11"/>
        <w:rPr/>
      </w:pPr>
      <w:r>
        <w:rPr/>
      </w:r>
    </w:p>
    <w:p>
      <w:pPr>
        <w:pStyle w:val="Number11"/>
        <w:rPr/>
      </w:pPr>
      <w:r>
        <w:rPr/>
        <w:tab/>
        <w:t>5.2</w:t>
        <w:tab/>
        <w:t>Check for skipped foods and missing information. If there are any omissions, attempt to fill in the blank spaces with the participant’s help.</w:t>
      </w:r>
    </w:p>
    <w:p>
      <w:pPr>
        <w:pStyle w:val="Number11"/>
        <w:rPr/>
      </w:pPr>
      <w:r>
        <w:rPr/>
      </w:r>
    </w:p>
    <w:p>
      <w:pPr>
        <w:pStyle w:val="Number111"/>
        <w:rPr/>
      </w:pPr>
      <w:r>
        <w:rPr/>
        <w:tab/>
        <w:t>5.2.1</w:t>
        <w:tab/>
        <w:t xml:space="preserve">If there is an occasional missing line in the list of foods, you do </w:t>
      </w:r>
      <w:r>
        <w:rPr>
          <w:i/>
          <w:iCs/>
        </w:rPr>
        <w:t>not</w:t>
      </w:r>
      <w:r>
        <w:rPr/>
        <w:t xml:space="preserve"> need to call the participant.  If </w:t>
      </w:r>
      <w:r>
        <w:rPr>
          <w:i/>
          <w:iCs/>
        </w:rPr>
        <w:t>two or more</w:t>
      </w:r>
      <w:r>
        <w:rPr/>
        <w:t xml:space="preserve"> items in a row are missing, call the participant to complete the items.  </w:t>
      </w:r>
    </w:p>
    <w:p>
      <w:pPr>
        <w:pStyle w:val="Number111"/>
        <w:rPr/>
      </w:pPr>
      <w:r>
        <w:rPr/>
        <w:tab/>
        <w:t>5.2.2</w:t>
        <w:tab/>
        <w:t xml:space="preserve">If only one of the questions on pages 13–14 is missing, you do </w:t>
      </w:r>
      <w:r>
        <w:rPr>
          <w:i/>
          <w:iCs/>
        </w:rPr>
        <w:t>not</w:t>
      </w:r>
      <w:r>
        <w:rPr/>
        <w:t xml:space="preserve"> need to call the participant. If </w:t>
      </w:r>
      <w:r>
        <w:rPr>
          <w:i/>
          <w:iCs/>
        </w:rPr>
        <w:t>two or more</w:t>
      </w:r>
      <w:r>
        <w:rPr/>
        <w:t xml:space="preserve"> items are missing, call the participant to complete the items.</w:t>
      </w:r>
    </w:p>
    <w:p>
      <w:pPr>
        <w:pStyle w:val="Number111"/>
        <w:rPr/>
      </w:pPr>
      <w:r>
        <w:rPr/>
        <w:tab/>
        <w:t>5.2.3</w:t>
        <w:tab/>
        <w:t xml:space="preserve">If any other question has been skipped, call the participant. </w:t>
      </w:r>
    </w:p>
    <w:p>
      <w:pPr>
        <w:pStyle w:val="Number111"/>
        <w:rPr/>
      </w:pPr>
      <w:r>
        <w:rPr/>
      </w:r>
    </w:p>
    <w:p>
      <w:pPr>
        <w:pStyle w:val="Number11"/>
        <w:rPr/>
      </w:pPr>
      <w:r>
        <w:rPr/>
        <w:tab/>
        <w:t>5.3</w:t>
        <w:tab/>
        <w:t>Check for extremely unlikely frequencies, such as liver twice a day. If there is more than one questionable frequency, call the participant to confirm.</w:t>
      </w:r>
    </w:p>
    <w:p>
      <w:pPr>
        <w:pStyle w:val="Number11"/>
        <w:rPr/>
      </w:pPr>
      <w:r>
        <w:rPr/>
      </w:r>
    </w:p>
    <w:p>
      <w:pPr>
        <w:pStyle w:val="Number11"/>
        <w:rPr/>
      </w:pPr>
      <w:r>
        <w:rPr/>
        <w:tab/>
        <w:t>5.4</w:t>
        <w:tab/>
        <w:t>If the questionnaire has mostly “1’s” (1/day, 1/week, 1/month), verify that this is in fact what the participant means.</w:t>
      </w:r>
    </w:p>
    <w:p>
      <w:pPr>
        <w:pStyle w:val="Number11"/>
        <w:rPr/>
      </w:pPr>
      <w:r>
        <w:rPr/>
      </w:r>
    </w:p>
    <w:p>
      <w:pPr>
        <w:pStyle w:val="Number11"/>
        <w:rPr/>
      </w:pPr>
      <w:r>
        <w:rPr/>
        <w:tab/>
        <w:t>5.5</w:t>
        <w:tab/>
        <w:t>Roughly compare the responses to the quality control questions on page 16 to the responses in corresponding line items (e.g., fruits) to be sure they are reasonably consistent. (Over-reporting on the specific line items is more common than under-reporting.  Do not be concerned about small inconsistencies: one high or low response is fine.)</w:t>
      </w:r>
    </w:p>
    <w:p>
      <w:pPr>
        <w:pStyle w:val="Number11"/>
        <w:rPr/>
      </w:pPr>
      <w:r>
        <w:rPr/>
      </w:r>
    </w:p>
    <w:p>
      <w:pPr>
        <w:pStyle w:val="Number111"/>
        <w:rPr/>
      </w:pPr>
      <w:r>
        <w:rPr/>
        <w:tab/>
        <w:t>5.5.1</w:t>
        <w:tab/>
        <w:t>Add up the frequencies of the following vegetables listed on page 6 and compare the total to that reported on page 16.</w:t>
      </w:r>
    </w:p>
    <w:p>
      <w:pPr>
        <w:pStyle w:val="Number111"/>
        <w:rPr/>
      </w:pPr>
      <w:r>
        <w:rPr/>
      </w:r>
    </w:p>
    <w:p>
      <w:pPr>
        <w:pStyle w:val="Number111bodybullet"/>
        <w:rPr/>
      </w:pPr>
      <w:r>
        <w:rPr/>
        <w:tab/>
      </w:r>
      <w:r>
        <w:rPr>
          <w:rFonts w:eastAsia="Symbol" w:cs="Symbol" w:ascii="Symbol" w:hAnsi="Symbol"/>
        </w:rPr>
        <w:t></w:t>
      </w:r>
      <w:r>
        <w:rPr/>
        <w:tab/>
        <w:t>Carrots</w:t>
      </w:r>
    </w:p>
    <w:p>
      <w:pPr>
        <w:pStyle w:val="Number111bodybullet"/>
        <w:rPr/>
      </w:pPr>
      <w:r>
        <w:rPr/>
        <w:tab/>
      </w:r>
      <w:r>
        <w:rPr>
          <w:rFonts w:eastAsia="Symbol" w:cs="Symbol" w:ascii="Symbol" w:hAnsi="Symbol"/>
        </w:rPr>
        <w:t></w:t>
      </w:r>
      <w:r>
        <w:rPr/>
        <w:tab/>
        <w:t>Broccoli, cabbage, cauliflower, brussel sprouts, sauerkraut, kimchee</w:t>
      </w:r>
    </w:p>
    <w:p>
      <w:pPr>
        <w:pStyle w:val="Number111bodybullet"/>
        <w:rPr/>
      </w:pPr>
      <w:r>
        <w:rPr/>
        <w:tab/>
      </w:r>
      <w:r>
        <w:rPr>
          <w:rFonts w:eastAsia="Symbol" w:cs="Symbol" w:ascii="Symbol" w:hAnsi="Symbol"/>
        </w:rPr>
        <w:t></w:t>
      </w:r>
      <w:r>
        <w:rPr/>
        <w:tab/>
        <w:t>Green beans, peas, snow peas</w:t>
      </w:r>
    </w:p>
    <w:p>
      <w:pPr>
        <w:pStyle w:val="Number111bodybullet"/>
        <w:rPr/>
      </w:pPr>
      <w:r>
        <w:rPr/>
        <w:tab/>
      </w:r>
      <w:r>
        <w:rPr>
          <w:rFonts w:eastAsia="Symbol" w:cs="Symbol" w:ascii="Symbol" w:hAnsi="Symbol"/>
        </w:rPr>
        <w:t></w:t>
      </w:r>
      <w:r>
        <w:rPr/>
        <w:tab/>
        <w:t>Corn, hominy</w:t>
      </w:r>
    </w:p>
    <w:p>
      <w:pPr>
        <w:pStyle w:val="Number111bodybullet"/>
        <w:rPr/>
      </w:pPr>
      <w:r>
        <w:rPr/>
        <w:tab/>
      </w:r>
      <w:r>
        <w:rPr>
          <w:rFonts w:eastAsia="Symbol" w:cs="Symbol" w:ascii="Symbol" w:hAnsi="Symbol"/>
        </w:rPr>
        <w:t></w:t>
      </w:r>
      <w:r>
        <w:rPr/>
        <w:tab/>
        <w:t>Winter squash, acorn squash</w:t>
      </w:r>
    </w:p>
    <w:p>
      <w:pPr>
        <w:pStyle w:val="Number111bodybullet"/>
        <w:rPr/>
      </w:pPr>
      <w:r>
        <w:rPr/>
        <w:tab/>
      </w:r>
      <w:r>
        <w:rPr>
          <w:rFonts w:eastAsia="Symbol" w:cs="Symbol" w:ascii="Symbol" w:hAnsi="Symbol"/>
        </w:rPr>
        <w:t></w:t>
      </w:r>
      <w:r>
        <w:rPr/>
        <w:tab/>
        <w:t>Any other vegetable including summer squash, zucchini, asparagus, mixed vegetables</w:t>
      </w:r>
    </w:p>
    <w:p>
      <w:pPr>
        <w:pStyle w:val="Number11bodybullet"/>
        <w:rPr/>
      </w:pPr>
      <w:r>
        <w:rPr/>
      </w:r>
    </w:p>
    <w:p>
      <w:pPr>
        <w:pStyle w:val="Number111"/>
        <w:rPr/>
      </w:pPr>
      <w:r>
        <w:rPr/>
        <w:tab/>
        <w:t>5.5.2</w:t>
        <w:tab/>
        <w:t>Compare the frequency for “Cold cereal” on page 4 to that reported on page 16.</w:t>
      </w:r>
    </w:p>
    <w:p>
      <w:pPr>
        <w:pStyle w:val="Number111"/>
        <w:rPr/>
      </w:pPr>
      <w:r>
        <w:rPr/>
      </w:r>
    </w:p>
    <w:p>
      <w:pPr>
        <w:pStyle w:val="Number111"/>
        <w:rPr/>
      </w:pPr>
      <w:r>
        <w:rPr/>
        <w:tab/>
        <w:t>5.5.3</w:t>
        <w:tab/>
        <w:t>Add up the frequencies of the following fruits listed on page 3 and compare the total to that reported on page 16. (Note that seasonal fruits may make up the difference in the number reported on the quality control question; adjust for this, if necessary.)</w:t>
      </w:r>
    </w:p>
    <w:p>
      <w:pPr>
        <w:pStyle w:val="Number111"/>
        <w:rPr/>
      </w:pPr>
      <w:r>
        <w:rPr/>
      </w:r>
    </w:p>
    <w:p>
      <w:pPr>
        <w:pStyle w:val="Number111bodybullet"/>
        <w:rPr/>
      </w:pPr>
      <w:r>
        <w:rPr/>
        <w:tab/>
      </w:r>
      <w:r>
        <w:rPr>
          <w:rFonts w:eastAsia="Symbol" w:cs="Symbol" w:ascii="Symbol" w:hAnsi="Symbol"/>
        </w:rPr>
        <w:t></w:t>
      </w:r>
      <w:r>
        <w:rPr/>
        <w:tab/>
        <w:t>Apples, applesauce, pears</w:t>
      </w:r>
    </w:p>
    <w:p>
      <w:pPr>
        <w:pStyle w:val="Number111bodybullet"/>
        <w:rPr/>
      </w:pPr>
      <w:r>
        <w:rPr/>
        <w:tab/>
      </w:r>
      <w:r>
        <w:rPr>
          <w:rFonts w:eastAsia="Symbol" w:cs="Symbol" w:ascii="Symbol" w:hAnsi="Symbol"/>
        </w:rPr>
        <w:t></w:t>
      </w:r>
      <w:r>
        <w:rPr/>
        <w:tab/>
        <w:t>Bananas, plantains</w:t>
      </w:r>
    </w:p>
    <w:p>
      <w:pPr>
        <w:pStyle w:val="Number111bodybullet"/>
        <w:rPr/>
      </w:pPr>
      <w:r>
        <w:rPr/>
        <w:tab/>
      </w:r>
      <w:r>
        <w:rPr>
          <w:rFonts w:eastAsia="Symbol" w:cs="Symbol" w:ascii="Symbol" w:hAnsi="Symbol"/>
        </w:rPr>
        <w:t></w:t>
      </w:r>
      <w:r>
        <w:rPr/>
        <w:tab/>
        <w:t>Oranges, grapefruit, tangerines, kiwi</w:t>
      </w:r>
    </w:p>
    <w:p>
      <w:pPr>
        <w:pStyle w:val="Number111bodybullet"/>
        <w:rPr/>
      </w:pPr>
      <w:r>
        <w:rPr/>
        <w:tab/>
      </w:r>
      <w:r>
        <w:rPr>
          <w:rFonts w:eastAsia="Symbol" w:cs="Symbol" w:ascii="Symbol" w:hAnsi="Symbol"/>
        </w:rPr>
        <w:t></w:t>
      </w:r>
      <w:r>
        <w:rPr/>
        <w:tab/>
        <w:t>Dried fruits including raisins, prunes, figs, apricots</w:t>
      </w:r>
    </w:p>
    <w:p>
      <w:pPr>
        <w:pStyle w:val="Number111bodybullet"/>
        <w:rPr/>
      </w:pPr>
      <w:r>
        <w:rPr/>
        <w:tab/>
      </w:r>
      <w:r>
        <w:rPr>
          <w:rFonts w:eastAsia="Symbol" w:cs="Symbol" w:ascii="Symbol" w:hAnsi="Symbol"/>
        </w:rPr>
        <w:t></w:t>
      </w:r>
      <w:r>
        <w:rPr/>
        <w:tab/>
        <w:t>Any other fruit (pineapple, persimmon, grapes, other melon, canned peaches, fruit cocktail, etc.)</w:t>
      </w:r>
    </w:p>
    <w:p>
      <w:pPr>
        <w:pStyle w:val="Number111bodybullet"/>
        <w:rPr/>
      </w:pPr>
      <w:r>
        <w:rPr/>
      </w:r>
    </w:p>
    <w:p>
      <w:pPr>
        <w:pStyle w:val="Number111"/>
        <w:rPr/>
      </w:pPr>
      <w:r>
        <w:rPr/>
        <w:tab/>
        <w:t>5.5.4</w:t>
        <w:tab/>
        <w:t>If responses are inconsistent by more than one frequency category, attempt to clarify.</w:t>
      </w:r>
    </w:p>
    <w:p>
      <w:pPr>
        <w:pStyle w:val="Number111"/>
        <w:rPr/>
      </w:pPr>
      <w:r>
        <w:rPr/>
      </w:r>
    </w:p>
    <w:p>
      <w:pPr>
        <w:pStyle w:val="Number111"/>
        <w:rPr/>
      </w:pPr>
      <w:r>
        <w:rPr/>
        <w:tab/>
        <w:t>5.5.5</w:t>
        <w:tab/>
        <w:t>Re-ask the quality control question, emphasizing “not counting salads, potatoes, or mixed dishes” for the question regarding vegetables and “not counting juices” for the question regarding fruit.</w:t>
      </w:r>
    </w:p>
    <w:p>
      <w:pPr>
        <w:pStyle w:val="Number111"/>
        <w:rPr/>
      </w:pPr>
      <w:r>
        <w:rPr/>
        <w:tab/>
        <w:t>5.5.6</w:t>
        <w:tab/>
        <w:t>If the response is still inconsistent, briefly review the specific foods for clarification or correction, as needed.</w:t>
      </w:r>
    </w:p>
    <w:p>
      <w:pPr>
        <w:pStyle w:val="Number111"/>
        <w:rPr/>
      </w:pPr>
      <w:r>
        <w:rPr/>
      </w:r>
    </w:p>
    <w:p>
      <w:pPr>
        <w:pStyle w:val="Number111"/>
        <w:rPr/>
      </w:pPr>
      <w:r>
        <w:rPr/>
        <w:tab/>
        <w:t>5.5.7</w:t>
        <w:tab/>
        <w:t>If you cannot resolve the inconsistencies fairly easily, move on and note this in the comments section on page 17 (fill in bubble 3 and then record the comments).</w:t>
      </w:r>
    </w:p>
    <w:p>
      <w:pPr>
        <w:pStyle w:val="Number111"/>
        <w:rPr/>
      </w:pPr>
      <w:r>
        <w:rPr/>
        <w:t xml:space="preserve"> </w:t>
      </w:r>
    </w:p>
    <w:p>
      <w:pPr>
        <w:pStyle w:val="Number11"/>
        <w:rPr/>
      </w:pPr>
      <w:r>
        <w:rPr/>
        <w:tab/>
        <w:t>5.6</w:t>
        <w:tab/>
        <w:t>Be sure that the name of the cold cereal is written in, if the participant eats cold cereal.</w:t>
      </w:r>
    </w:p>
    <w:p>
      <w:pPr>
        <w:pStyle w:val="Number11"/>
        <w:rPr/>
      </w:pPr>
      <w:r>
        <w:rPr/>
      </w:r>
    </w:p>
    <w:p>
      <w:pPr>
        <w:pStyle w:val="Number11"/>
        <w:rPr/>
      </w:pPr>
      <w:r>
        <w:rPr/>
        <w:tab/>
        <w:t>5.7</w:t>
        <w:tab/>
        <w:t>Code any additional foods reported within the body of the form, using guidelines provided in the Manual of Operations, or e-mail or fax questions to the DAC, with as much specific information as you have. The DAC will respond within a week, usually the same day.</w:t>
      </w:r>
    </w:p>
    <w:p>
      <w:pPr>
        <w:pStyle w:val="Number11"/>
        <w:rPr/>
      </w:pPr>
      <w:r>
        <w:rPr/>
      </w:r>
    </w:p>
    <w:p>
      <w:pPr>
        <w:pStyle w:val="Number11"/>
        <w:rPr/>
      </w:pPr>
      <w:r>
        <w:rPr/>
        <w:tab/>
        <w:t>5.8</w:t>
        <w:tab/>
        <w:t>If you know DAC input is needed, call us as while the question(s) and situation are still fresh in your mind.</w:t>
      </w:r>
    </w:p>
    <w:p>
      <w:pPr>
        <w:pStyle w:val="Number111"/>
        <w:rPr/>
      </w:pPr>
      <w:r>
        <w:rPr/>
      </w:r>
    </w:p>
    <w:p>
      <w:pPr>
        <w:pStyle w:val="Number11"/>
        <w:rPr/>
      </w:pPr>
      <w:r>
        <w:rPr/>
        <w:tab/>
        <w:t>5.9</w:t>
        <w:tab/>
        <w:t>Complete the comments section. If DAC review is needed, fill in bubble 3 and record comments. If DAC reviews have been completed, fill in bubble 2.</w:t>
      </w:r>
    </w:p>
    <w:p>
      <w:pPr>
        <w:pStyle w:val="Number111"/>
        <w:rPr/>
      </w:pPr>
      <w:r>
        <w:rPr/>
      </w:r>
    </w:p>
    <w:p>
      <w:pPr>
        <w:pStyle w:val="Number1"/>
        <w:rPr/>
      </w:pPr>
      <w:r>
        <w:rPr/>
        <w:tab/>
        <w:t>6.</w:t>
        <w:tab/>
      </w:r>
      <w:r>
        <w:rPr>
          <w:u w:val="single"/>
        </w:rPr>
        <w:t>General Guidelines for Interviewer-Administration of Food Frequency Section of the Diet Questionnaire</w:t>
      </w:r>
    </w:p>
    <w:p>
      <w:pPr>
        <w:pStyle w:val="Number1body"/>
        <w:rPr/>
      </w:pPr>
      <w:r>
        <w:rPr/>
      </w:r>
    </w:p>
    <w:p>
      <w:pPr>
        <w:pStyle w:val="Number1body"/>
        <w:rPr/>
      </w:pPr>
      <w:r>
        <w:rPr/>
        <w:t>We cannot expect participants to be able to remember exactly when they ate specific foods over the last year. It is the job of the interviewer to help participants provide reasonable estimates of what they usually eat.</w:t>
      </w:r>
    </w:p>
    <w:p>
      <w:pPr>
        <w:pStyle w:val="Number1body"/>
        <w:rPr/>
      </w:pPr>
      <w:r>
        <w:rPr/>
      </w:r>
    </w:p>
    <w:p>
      <w:pPr>
        <w:pStyle w:val="Number1body"/>
        <w:rPr/>
      </w:pPr>
      <w:r>
        <w:rPr/>
        <w:t>To minimize interviewer differences in administration (including conducting the interview and recording the information), it is essential that the guidelines provided be followed very carefully.</w:t>
      </w:r>
    </w:p>
    <w:p>
      <w:pPr>
        <w:pStyle w:val="Number1body"/>
        <w:rPr/>
      </w:pPr>
      <w:r>
        <w:rPr/>
      </w:r>
    </w:p>
    <w:p>
      <w:pPr>
        <w:pStyle w:val="Number11"/>
        <w:rPr/>
      </w:pPr>
      <w:r>
        <w:rPr/>
        <w:tab/>
        <w:t>6.1</w:t>
        <w:tab/>
      </w:r>
      <w:r>
        <w:rPr>
          <w:u w:val="single"/>
        </w:rPr>
        <w:t>Cultural Sensitivity</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MESA has a major advantage because of the diverse population included across the clinical centers. The nutrition interview includes a wide variety of foods that are likely to contribute substantially to nutrient intake within the various subgroups of ethnicity and geographic region included in the study.</w:t>
      </w:r>
      <w:r>
        <w:rPr>
          <w:i/>
        </w:rPr>
        <w:t xml:space="preserve">  Keep in mind that the only important foods to consider in this dietary assessment are those that contribute substantially to overall usual nutrient intake</w:t>
      </w:r>
      <w:r>
        <w:rPr/>
        <w:t>. Foods that are important from a cultural perspective but are eaten only infrequently (e.g., special holiday foods) generally do not contribute substantially to usual nutrient intake. These foods have not been included in the interview.</w:t>
      </w:r>
    </w:p>
    <w:p>
      <w:pPr>
        <w:pStyle w:val="Number11body"/>
        <w:rPr/>
      </w:pPr>
      <w:r>
        <w:rPr/>
      </w:r>
    </w:p>
    <w:p>
      <w:pPr>
        <w:pStyle w:val="Number11body"/>
        <w:rPr/>
      </w:pPr>
      <w:r>
        <w:rPr/>
        <w:t xml:space="preserve">It is necessary to achieve a balance between cultural sensitivity, sensitivity to the individual, and standardization. For the purpose of standardization, each interviewer must include all foods when interviewing study participants. For purposes of sensitivity to individual dietary choices and to culture, the interviewer must listen carefully to the participant, spending relatively more time on foods consumed more frequently and less time on foods rarely consumed.  </w:t>
      </w:r>
      <w:r>
        <w:rPr>
          <w:i/>
          <w:iCs/>
        </w:rPr>
        <w:t>Do not assume</w:t>
      </w:r>
      <w:r>
        <w:rPr/>
        <w:t xml:space="preserve"> that you can anticipate what a particular individual may eat. In today’s cities, ethnic foods are easily available to all. Therefore, interviewers must be:</w:t>
      </w:r>
    </w:p>
    <w:p>
      <w:pPr>
        <w:pStyle w:val="Number111bodybullet"/>
        <w:ind w:left="0" w:hanging="0"/>
        <w:rPr/>
      </w:pPr>
      <w:r>
        <w:rPr/>
      </w:r>
    </w:p>
    <w:p>
      <w:pPr>
        <w:pStyle w:val="Number11bodybullet"/>
        <w:rPr/>
      </w:pPr>
      <w:r>
        <w:rPr/>
        <w:tab/>
      </w:r>
      <w:r>
        <w:rPr>
          <w:rFonts w:eastAsia="Symbol" w:cs="Symbol" w:ascii="Symbol" w:hAnsi="Symbol"/>
        </w:rPr>
        <w:t></w:t>
      </w:r>
      <w:r>
        <w:rPr/>
        <w:tab/>
        <w:t>familiar with all foods on the food frequency section</w:t>
      </w:r>
    </w:p>
    <w:p>
      <w:pPr>
        <w:pStyle w:val="Number11bodybullet"/>
        <w:rPr/>
      </w:pPr>
      <w:r>
        <w:rPr/>
        <w:tab/>
      </w:r>
      <w:r>
        <w:rPr>
          <w:rFonts w:eastAsia="Symbol" w:cs="Symbol" w:ascii="Symbol" w:hAnsi="Symbol"/>
        </w:rPr>
        <w:t></w:t>
      </w:r>
      <w:r>
        <w:rPr/>
        <w:tab/>
        <w:t>familiar with the foods common in your community</w:t>
      </w:r>
    </w:p>
    <w:p>
      <w:pPr>
        <w:pStyle w:val="Number11bodybullet"/>
        <w:rPr/>
      </w:pPr>
      <w:r>
        <w:rPr/>
        <w:tab/>
      </w:r>
      <w:r>
        <w:rPr>
          <w:rFonts w:eastAsia="Symbol" w:cs="Symbol" w:ascii="Symbol" w:hAnsi="Symbol"/>
        </w:rPr>
        <w:t></w:t>
      </w:r>
      <w:r>
        <w:rPr/>
        <w:tab/>
        <w:t>aware of possible language barriers</w:t>
      </w:r>
    </w:p>
    <w:p>
      <w:pPr>
        <w:pStyle w:val="Number11bodybullet"/>
        <w:rPr/>
      </w:pPr>
      <w:r>
        <w:rPr/>
        <w:tab/>
      </w:r>
      <w:r>
        <w:rPr>
          <w:rFonts w:eastAsia="Symbol" w:cs="Symbol" w:ascii="Symbol" w:hAnsi="Symbol"/>
        </w:rPr>
        <w:t></w:t>
      </w:r>
      <w:r>
        <w:rPr/>
        <w:tab/>
        <w:t>aware of cultural and/or personal differences in communication styles</w:t>
      </w:r>
    </w:p>
    <w:p>
      <w:pPr>
        <w:pStyle w:val="Number11bodybullet"/>
        <w:rPr/>
      </w:pPr>
      <w:r>
        <w:rPr/>
      </w:r>
    </w:p>
    <w:p>
      <w:pPr>
        <w:pStyle w:val="Number11body"/>
        <w:rPr/>
      </w:pPr>
      <w:r>
        <w:rPr/>
        <w:t>In addition, keep the following in mind during the interview:</w:t>
      </w:r>
    </w:p>
    <w:p>
      <w:pPr>
        <w:pStyle w:val="Number11body"/>
        <w:rPr/>
      </w:pPr>
      <w:r>
        <w:rPr/>
      </w:r>
    </w:p>
    <w:p>
      <w:pPr>
        <w:pStyle w:val="Number11bodybullet"/>
        <w:rPr/>
      </w:pPr>
      <w:r>
        <w:rPr/>
        <w:tab/>
      </w:r>
      <w:r>
        <w:rPr>
          <w:rFonts w:eastAsia="Symbol" w:cs="Symbol" w:ascii="Symbol" w:hAnsi="Symbol"/>
        </w:rPr>
        <w:t></w:t>
      </w:r>
      <w:r>
        <w:rPr/>
        <w:tab/>
        <w:t>Present all lines on the nutrition interview.</w:t>
      </w:r>
    </w:p>
    <w:p>
      <w:pPr>
        <w:pStyle w:val="Number11bodybullet"/>
        <w:rPr/>
      </w:pPr>
      <w:r>
        <w:rPr/>
        <w:tab/>
      </w:r>
      <w:r>
        <w:rPr>
          <w:rFonts w:eastAsia="Symbol" w:cs="Symbol" w:ascii="Symbol" w:hAnsi="Symbol"/>
        </w:rPr>
        <w:t></w:t>
      </w:r>
      <w:r>
        <w:rPr/>
        <w:tab/>
        <w:t>Do not assume you know what the participant will say.  Cultural stereotypes do not always hold true for a given individual.</w:t>
      </w:r>
    </w:p>
    <w:p>
      <w:pPr>
        <w:pStyle w:val="Number11bodybullet"/>
        <w:rPr>
          <w:u w:val="single"/>
        </w:rPr>
      </w:pPr>
      <w:r>
        <w:rPr/>
        <w:tab/>
      </w:r>
      <w:r>
        <w:rPr>
          <w:rFonts w:eastAsia="Symbol" w:cs="Symbol" w:ascii="Symbol" w:hAnsi="Symbol"/>
        </w:rPr>
        <w:t></w:t>
      </w:r>
      <w:r>
        <w:rPr/>
        <w:tab/>
        <w:t>If the participant is unfamiliar with a particular food, it is unlikely to be an important source of nutrients. Minimize time on these items.</w:t>
        <w:tab/>
      </w:r>
    </w:p>
    <w:p>
      <w:pPr>
        <w:pStyle w:val="Number11bodybullet"/>
        <w:rPr/>
      </w:pPr>
      <w:r>
        <w:rPr/>
        <w:tab/>
      </w:r>
      <w:r>
        <w:rPr>
          <w:rFonts w:eastAsia="Symbol" w:cs="Symbol" w:ascii="Symbol" w:hAnsi="Symbol"/>
        </w:rPr>
        <w:t></w:t>
      </w:r>
      <w:r>
        <w:rPr/>
        <w:tab/>
        <w:t xml:space="preserve">Be aware of and familiar with the variety of foods on the food frequency section. However, you do not need to know a lot of details. For example, is someone says they eat chorizo, you should know that chorizo is a sausage. </w:t>
      </w:r>
    </w:p>
    <w:p>
      <w:pPr>
        <w:pStyle w:val="Number11bodybullet"/>
        <w:rPr/>
      </w:pPr>
      <w:r>
        <w:rPr/>
        <w:tab/>
      </w:r>
      <w:r>
        <w:rPr>
          <w:rFonts w:eastAsia="Symbol" w:cs="Symbol" w:ascii="Symbol" w:hAnsi="Symbol"/>
        </w:rPr>
        <w:t></w:t>
      </w:r>
      <w:r>
        <w:rPr/>
        <w:tab/>
        <w:t>Be aware of the foods in your community.</w:t>
      </w:r>
    </w:p>
    <w:p>
      <w:pPr>
        <w:pStyle w:val="Number11bodybullet"/>
        <w:rPr/>
      </w:pPr>
      <w:r>
        <w:rPr/>
        <w:tab/>
      </w:r>
      <w:r>
        <w:rPr>
          <w:rFonts w:eastAsia="Symbol" w:cs="Symbol" w:ascii="Symbol" w:hAnsi="Symbol"/>
        </w:rPr>
        <w:t></w:t>
      </w:r>
      <w:r>
        <w:rPr/>
        <w:tab/>
        <w:t>If you do not know what a food is, ask the participant to describe it, including major ingredients and cooking method.  Do not assume that the DAC will know what it is! Write the information down so that we can determine how to code the food.</w:t>
      </w:r>
    </w:p>
    <w:p>
      <w:pPr>
        <w:pStyle w:val="Number11bodybullet"/>
        <w:rPr/>
      </w:pPr>
      <w:r>
        <w:rPr/>
      </w:r>
    </w:p>
    <w:p>
      <w:pPr>
        <w:pStyle w:val="Number11"/>
        <w:rPr/>
      </w:pPr>
      <w:r>
        <w:rPr/>
        <w:tab/>
        <w:t>6.2</w:t>
        <w:tab/>
      </w:r>
      <w:r>
        <w:rPr>
          <w:u w:val="single"/>
        </w:rPr>
        <w:t>General Interviewing Techniques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The skill and consistency of the interviewers will strongly influence the quality of the dietary data. General interviewing techniques are briefly reviewed here.</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6.2.1</w:t>
        <w:tab/>
      </w:r>
      <w:r>
        <w:rPr>
          <w:u w:val="single"/>
        </w:rPr>
        <w:t>Establishing Rapport</w:t>
      </w:r>
      <w:r>
        <w:rPr/>
        <w:t xml:space="preserve"> </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bodybullet"/>
        <w:rPr/>
      </w:pPr>
      <w:r>
        <w:rPr/>
        <w:tab/>
      </w:r>
      <w:r>
        <w:rPr>
          <w:rFonts w:eastAsia="Symbol" w:cs="Symbol" w:ascii="Symbol" w:hAnsi="Symbol"/>
        </w:rPr>
        <w:t></w:t>
      </w:r>
      <w:r>
        <w:rPr/>
        <w:tab/>
        <w:t>Establish and maintain a friendly and trusting atmosphere. Smile!</w:t>
      </w:r>
    </w:p>
    <w:p>
      <w:pPr>
        <w:pStyle w:val="Number111bodybullet"/>
        <w:rPr/>
      </w:pPr>
      <w:r>
        <w:rPr/>
        <w:tab/>
      </w:r>
      <w:r>
        <w:rPr>
          <w:rFonts w:eastAsia="Symbol" w:cs="Symbol" w:ascii="Symbol" w:hAnsi="Symbol"/>
        </w:rPr>
        <w:t></w:t>
      </w:r>
      <w:r>
        <w:rPr/>
        <w:tab/>
        <w:t>Present questions accurately and non-judgmentally.</w:t>
      </w:r>
    </w:p>
    <w:p>
      <w:pPr>
        <w:pStyle w:val="Number111bodybullet"/>
        <w:rPr/>
      </w:pPr>
      <w:r>
        <w:rPr/>
        <w:tab/>
      </w:r>
      <w:r>
        <w:rPr>
          <w:rFonts w:eastAsia="Symbol" w:cs="Symbol" w:ascii="Symbol" w:hAnsi="Symbol"/>
        </w:rPr>
        <w:t></w:t>
      </w:r>
      <w:r>
        <w:rPr/>
        <w:tab/>
        <w:t>Demonstrate that you are an understanding person.</w:t>
      </w:r>
    </w:p>
    <w:p>
      <w:pPr>
        <w:pStyle w:val="Number111bodybullet"/>
        <w:rPr/>
      </w:pPr>
      <w:r>
        <w:rPr/>
        <w:tab/>
      </w:r>
      <w:r>
        <w:rPr>
          <w:rFonts w:eastAsia="Symbol" w:cs="Symbol" w:ascii="Symbol" w:hAnsi="Symbol"/>
        </w:rPr>
        <w:t></w:t>
      </w:r>
      <w:r>
        <w:rPr/>
        <w:tab/>
        <w:t>Accept information in a non-judgmental manner.</w:t>
      </w:r>
    </w:p>
    <w:p>
      <w:pPr>
        <w:pStyle w:val="Number111bodybullet"/>
        <w:rPr/>
      </w:pPr>
      <w:r>
        <w:rPr/>
        <w:tab/>
      </w:r>
      <w:r>
        <w:rPr>
          <w:rFonts w:eastAsia="Symbol" w:cs="Symbol" w:ascii="Symbol" w:hAnsi="Symbol"/>
        </w:rPr>
        <w:t></w:t>
      </w:r>
      <w:r>
        <w:rPr/>
        <w:tab/>
        <w:t>Encourage active participation.</w:t>
      </w:r>
    </w:p>
    <w:p>
      <w:pPr>
        <w:pStyle w:val="Number111bodybullet"/>
        <w:rPr/>
      </w:pPr>
      <w:r>
        <w:rPr/>
        <w:tab/>
      </w:r>
      <w:r>
        <w:rPr>
          <w:rFonts w:eastAsia="Symbol" w:cs="Symbol" w:ascii="Symbol" w:hAnsi="Symbol"/>
        </w:rPr>
        <w:t></w:t>
      </w:r>
      <w:r>
        <w:rPr/>
        <w:tab/>
        <w:t>Be prepared and know your material.</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6.2.2</w:t>
        <w:tab/>
      </w:r>
      <w:r>
        <w:rPr>
          <w:u w:val="single"/>
        </w:rPr>
        <w:t>Presentation of the Interview</w:t>
      </w:r>
    </w:p>
    <w:p>
      <w:pPr>
        <w:pStyle w:val="Normal"/>
        <w:tabs>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bodybullet"/>
        <w:rPr/>
      </w:pPr>
      <w:r>
        <w:rPr/>
        <w:tab/>
      </w:r>
      <w:r>
        <w:rPr>
          <w:rFonts w:eastAsia="Symbol" w:cs="Symbol" w:ascii="Symbol" w:hAnsi="Symbol"/>
        </w:rPr>
        <w:t></w:t>
      </w:r>
      <w:r>
        <w:rPr/>
        <w:tab/>
        <w:t>Read in a natural and conversational rhythm.</w:t>
      </w:r>
    </w:p>
    <w:p>
      <w:pPr>
        <w:pStyle w:val="Number111bodybullet"/>
        <w:rPr/>
      </w:pPr>
      <w:r>
        <w:rPr/>
        <w:tab/>
      </w:r>
      <w:r>
        <w:rPr>
          <w:rFonts w:eastAsia="Symbol" w:cs="Symbol" w:ascii="Symbol" w:hAnsi="Symbol"/>
        </w:rPr>
        <w:t></w:t>
      </w:r>
      <w:r>
        <w:rPr/>
        <w:tab/>
        <w:t>Read in a normal tone of voice.</w:t>
      </w:r>
    </w:p>
    <w:p>
      <w:pPr>
        <w:pStyle w:val="Number111bodybullet"/>
        <w:rPr/>
      </w:pPr>
      <w:r>
        <w:rPr/>
        <w:tab/>
      </w:r>
      <w:r>
        <w:rPr>
          <w:rFonts w:eastAsia="Symbol" w:cs="Symbol" w:ascii="Symbol" w:hAnsi="Symbol"/>
        </w:rPr>
        <w:t></w:t>
      </w:r>
      <w:r>
        <w:rPr/>
        <w:tab/>
        <w:t>Read as if you are speaking.</w:t>
      </w:r>
    </w:p>
    <w:p>
      <w:pPr>
        <w:pStyle w:val="Number111bodybullet"/>
        <w:rPr/>
      </w:pPr>
      <w:r>
        <w:rPr/>
        <w:tab/>
      </w:r>
      <w:r>
        <w:rPr>
          <w:rFonts w:eastAsia="Symbol" w:cs="Symbol" w:ascii="Symbol" w:hAnsi="Symbol"/>
        </w:rPr>
        <w:t></w:t>
      </w:r>
      <w:r>
        <w:rPr/>
        <w:tab/>
        <w:t>Read at a good pace...not too fast...not too slow...just right!!</w:t>
      </w:r>
    </w:p>
    <w:p>
      <w:pPr>
        <w:pStyle w:val="Number111bodybullet"/>
        <w:rPr/>
      </w:pPr>
      <w:r>
        <w:rPr/>
        <w:tab/>
      </w:r>
      <w:r>
        <w:rPr>
          <w:rFonts w:eastAsia="Symbol" w:cs="Symbol" w:ascii="Symbol" w:hAnsi="Symbol"/>
        </w:rPr>
        <w:t></w:t>
      </w:r>
      <w:r>
        <w:rPr/>
        <w:tab/>
        <w:t xml:space="preserve">Be aware of participant’s facial expressions (puzzled, confused, bored, fatigued, frustrated, amused) and respond accordingly.  </w:t>
      </w:r>
    </w:p>
    <w:p>
      <w:pPr>
        <w:pStyle w:val="Number111bodybullet"/>
        <w:rPr/>
      </w:pPr>
      <w:r>
        <w:rPr/>
        <w:tab/>
      </w:r>
      <w:r>
        <w:rPr>
          <w:rFonts w:eastAsia="Symbol" w:cs="Symbol" w:ascii="Symbol" w:hAnsi="Symbol"/>
        </w:rPr>
        <w:t></w:t>
      </w:r>
      <w:r>
        <w:rPr/>
        <w:tab/>
        <w:t>Ask every question on the interview...do not assume that you know the answer to the question.</w:t>
      </w:r>
    </w:p>
    <w:p>
      <w:pPr>
        <w:pStyle w:val="Number111bodybullet"/>
        <w:rPr/>
      </w:pPr>
      <w:r>
        <w:rPr/>
        <w:tab/>
      </w:r>
      <w:r>
        <w:rPr>
          <w:rFonts w:eastAsia="Symbol" w:cs="Symbol" w:ascii="Symbol" w:hAnsi="Symbol"/>
        </w:rPr>
        <w:t></w:t>
      </w:r>
      <w:r>
        <w:rPr/>
        <w:tab/>
        <w:t>Be patient.</w:t>
      </w:r>
    </w:p>
    <w:p>
      <w:pPr>
        <w:pStyle w:val="Number111bodybullet"/>
        <w:rPr/>
      </w:pPr>
      <w:r>
        <w:rPr/>
        <w:tab/>
      </w:r>
      <w:r>
        <w:rPr>
          <w:rFonts w:eastAsia="Symbol" w:cs="Symbol" w:ascii="Symbol" w:hAnsi="Symbol"/>
        </w:rPr>
        <w:t></w:t>
      </w:r>
      <w:r>
        <w:rPr/>
        <w:tab/>
        <w:t>Keep the interview simple and straight-forward. Don’t get bogged down in details!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6.2.3</w:t>
        <w:tab/>
      </w:r>
      <w:r>
        <w:rPr>
          <w:u w:val="single"/>
        </w:rPr>
        <w:t>Probing Techniques</w:t>
      </w:r>
      <w:r>
        <w:rPr/>
        <w:t>. Listen carefully to the participant. Watch for irrelevant, vague, or incomplete answers. Acknowledge the response given and then probe to obtain the required information.  Some useful techniques are listed below.</w:t>
      </w:r>
    </w:p>
    <w:p>
      <w:pPr>
        <w:pStyle w:val="Number111bodybullet"/>
        <w:rPr/>
      </w:pPr>
      <w:r>
        <w:rPr/>
      </w:r>
    </w:p>
    <w:p>
      <w:pPr>
        <w:pStyle w:val="Number111bodybullet"/>
        <w:rPr/>
      </w:pPr>
      <w:r>
        <w:rPr/>
        <w:tab/>
      </w:r>
      <w:r>
        <w:rPr>
          <w:rFonts w:eastAsia="Symbol" w:cs="Symbol" w:ascii="Symbol" w:hAnsi="Symbol"/>
        </w:rPr>
        <w:t></w:t>
      </w:r>
      <w:r>
        <w:rPr/>
        <w:tab/>
        <w:t xml:space="preserve">Say nothing. Give participants a chance to think. </w:t>
      </w:r>
    </w:p>
    <w:p>
      <w:pPr>
        <w:pStyle w:val="Number111bodybullet"/>
        <w:rPr/>
      </w:pPr>
      <w:r>
        <w:rPr/>
        <w:tab/>
      </w:r>
      <w:r>
        <w:rPr>
          <w:rFonts w:eastAsia="Symbol" w:cs="Symbol" w:ascii="Symbol" w:hAnsi="Symbol"/>
        </w:rPr>
        <w:t></w:t>
      </w:r>
      <w:r>
        <w:rPr/>
        <w:tab/>
        <w:t>Do not accept a “don’t know” answer. If participants say, “I don’t know,” probe at least once by asking questions like “What is your best guess?” or “On average, would you say …?”</w:t>
      </w:r>
    </w:p>
    <w:p>
      <w:pPr>
        <w:pStyle w:val="Number111bodybullet"/>
        <w:rPr/>
      </w:pPr>
      <w:r>
        <w:rPr/>
        <w:tab/>
      </w:r>
      <w:r>
        <w:rPr>
          <w:rFonts w:eastAsia="Symbol" w:cs="Symbol" w:ascii="Symbol" w:hAnsi="Symbol"/>
        </w:rPr>
        <w:t></w:t>
      </w:r>
      <w:r>
        <w:rPr/>
        <w:tab/>
        <w:t>Repeat the question or answer categories.</w:t>
      </w:r>
    </w:p>
    <w:p>
      <w:pPr>
        <w:pStyle w:val="Number111bodybullet"/>
        <w:rPr/>
      </w:pPr>
      <w:r>
        <w:rPr/>
        <w:tab/>
      </w:r>
      <w:r>
        <w:rPr>
          <w:rFonts w:eastAsia="Symbol" w:cs="Symbol" w:ascii="Symbol" w:hAnsi="Symbol"/>
        </w:rPr>
        <w:t></w:t>
      </w:r>
      <w:r>
        <w:rPr/>
        <w:tab/>
        <w:t>Let participants know that 100% accuracy is not required.  Remind participants that we are interested in how they usually eat. The answers that comes to mind first are likely to be the best.</w:t>
      </w:r>
    </w:p>
    <w:p>
      <w:pPr>
        <w:pStyle w:val="Number111bodybullet"/>
        <w:rPr/>
      </w:pPr>
      <w:r>
        <w:rPr/>
        <w:tab/>
      </w:r>
      <w:r>
        <w:rPr>
          <w:rFonts w:eastAsia="Symbol" w:cs="Symbol" w:ascii="Symbol" w:hAnsi="Symbol"/>
        </w:rPr>
        <w:t></w:t>
      </w:r>
      <w:r>
        <w:rPr/>
        <w:tab/>
        <w:t>Use neutral probes that do not suggest answers or imply judgments.</w:t>
      </w:r>
    </w:p>
    <w:p>
      <w:pPr>
        <w:pStyle w:val="Number111bodybullet"/>
        <w:rPr/>
      </w:pPr>
      <w:r>
        <w:rPr/>
        <w:tab/>
      </w:r>
      <w:r>
        <w:rPr>
          <w:rFonts w:eastAsia="Symbol" w:cs="Symbol" w:ascii="Symbol" w:hAnsi="Symbol"/>
        </w:rPr>
        <w:t></w:t>
      </w:r>
      <w:r>
        <w:rPr/>
        <w:tab/>
        <w:t>If you are unsure how to code a response, write down as much detail as you can so that you can check with the DAC later.</w:t>
      </w:r>
    </w:p>
    <w:p>
      <w:pPr>
        <w:pStyle w:val="Number111bodybullet"/>
        <w:rPr/>
      </w:pPr>
      <w:r>
        <w:rPr/>
        <w:tab/>
      </w:r>
      <w:r>
        <w:rPr>
          <w:rFonts w:eastAsia="Symbol" w:cs="Symbol" w:ascii="Symbol" w:hAnsi="Symbol"/>
        </w:rPr>
        <w:t></w:t>
      </w:r>
      <w:r>
        <w:rPr/>
        <w:tab/>
        <w:t>Always keep yourself and the participants on track.</w:t>
      </w:r>
    </w:p>
    <w:p>
      <w:pPr>
        <w:pStyle w:val="Number111bodybullet"/>
        <w:rPr/>
      </w:pPr>
      <w:r>
        <w:rPr/>
        <w:tab/>
      </w:r>
      <w:r>
        <w:rPr>
          <w:rFonts w:eastAsia="Symbol" w:cs="Symbol" w:ascii="Symbol" w:hAnsi="Symbol"/>
        </w:rPr>
        <w:t></w:t>
      </w:r>
      <w:r>
        <w:rPr/>
        <w:tab/>
        <w:t>Document any potentially confusing information fully and clearly.</w:t>
      </w:r>
    </w:p>
    <w:p>
      <w:pPr>
        <w:pStyle w:val="Number111bodybullet"/>
        <w:ind w:left="0" w:hanging="0"/>
        <w:rPr/>
      </w:pPr>
      <w:r>
        <w:rPr/>
      </w:r>
    </w:p>
    <w:p>
      <w:pPr>
        <w:pStyle w:val="Number11"/>
        <w:rPr/>
      </w:pPr>
      <w:r>
        <w:rPr/>
        <w:tab/>
        <w:t>6.3</w:t>
        <w:tab/>
      </w:r>
      <w:r>
        <w:rPr>
          <w:u w:val="single"/>
        </w:rPr>
        <w:t>Notes on Communication: Language, Literacy, and Other Issues</w:t>
      </w:r>
    </w:p>
    <w:p>
      <w:pPr>
        <w:pStyle w:val="Number11"/>
        <w:rPr>
          <w:u w:val="single"/>
        </w:rPr>
      </w:pPr>
      <w:r>
        <w:rPr>
          <w:u w:val="single"/>
        </w:rPr>
      </w:r>
    </w:p>
    <w:p>
      <w:pPr>
        <w:pStyle w:val="Number11body"/>
        <w:rPr/>
      </w:pPr>
      <w:r>
        <w:rPr/>
        <w:t>During an interview, be aware of the following:</w:t>
      </w:r>
    </w:p>
    <w:p>
      <w:pPr>
        <w:pStyle w:val="Number11bodybullet"/>
        <w:rPr/>
      </w:pPr>
      <w:r>
        <w:rPr/>
      </w:r>
    </w:p>
    <w:p>
      <w:pPr>
        <w:pStyle w:val="Number11bodybullet"/>
        <w:rPr/>
      </w:pPr>
      <w:r>
        <w:rPr/>
        <w:tab/>
      </w:r>
      <w:r>
        <w:rPr>
          <w:rFonts w:eastAsia="Symbol" w:cs="Symbol" w:ascii="Symbol" w:hAnsi="Symbol"/>
        </w:rPr>
        <w:t></w:t>
      </w:r>
      <w:r>
        <w:rPr/>
        <w:tab/>
        <w:t>Language differences among participants. Have a bilingual conversation as needed</w:t>
      </w:r>
    </w:p>
    <w:p>
      <w:pPr>
        <w:pStyle w:val="Number11bodybullet"/>
        <w:rPr/>
      </w:pPr>
      <w:r>
        <w:rPr/>
        <w:tab/>
      </w:r>
      <w:r>
        <w:rPr>
          <w:rFonts w:eastAsia="Symbol" w:cs="Symbol" w:ascii="Symbol" w:hAnsi="Symbol"/>
        </w:rPr>
        <w:t></w:t>
      </w:r>
      <w:r>
        <w:rPr/>
        <w:tab/>
        <w:t>Some foods may only be known in the original language (e.g., frijoles for beans).</w:t>
      </w:r>
    </w:p>
    <w:p>
      <w:pPr>
        <w:pStyle w:val="Number11bodybullet"/>
        <w:rPr/>
      </w:pPr>
      <w:r>
        <w:rPr/>
        <w:tab/>
      </w:r>
      <w:r>
        <w:rPr>
          <w:rFonts w:eastAsia="Symbol" w:cs="Symbol" w:ascii="Symbol" w:hAnsi="Symbol"/>
        </w:rPr>
        <w:t></w:t>
      </w:r>
      <w:r>
        <w:rPr/>
        <w:tab/>
        <w:t>Literacy level and level of understanding when interviewing participants. The interview scores at about the 8</w:t>
      </w:r>
      <w:r>
        <w:rPr>
          <w:vertAlign w:val="superscript"/>
        </w:rPr>
        <w:t>th</w:t>
      </w:r>
      <w:r>
        <w:rPr/>
        <w:t xml:space="preserve"> grade level (lower for instructions only); however, this assumes English is the participant’s first language.</w:t>
      </w:r>
    </w:p>
    <w:p>
      <w:pPr>
        <w:pStyle w:val="Number11bodybullet"/>
        <w:rPr/>
      </w:pPr>
      <w:r>
        <w:rPr/>
        <w:tab/>
      </w:r>
      <w:r>
        <w:rPr>
          <w:rFonts w:eastAsia="Symbol" w:cs="Symbol" w:ascii="Symbol" w:hAnsi="Symbol"/>
        </w:rPr>
        <w:t></w:t>
      </w:r>
      <w:r>
        <w:rPr/>
        <w:tab/>
        <w:t>Non-verbal cues that indicate lack of understanding</w:t>
      </w:r>
    </w:p>
    <w:p>
      <w:pPr>
        <w:pStyle w:val="Number11bodybullet"/>
        <w:rPr/>
      </w:pPr>
      <w:r>
        <w:rPr/>
        <w:tab/>
      </w:r>
      <w:r>
        <w:rPr>
          <w:rFonts w:eastAsia="Symbol" w:cs="Symbol" w:ascii="Symbol" w:hAnsi="Symbol"/>
        </w:rPr>
        <w:t></w:t>
      </w:r>
      <w:r>
        <w:rPr/>
        <w:tab/>
        <w:t>Difficulties with the cue cards because of vision problems (this should be rare).</w:t>
      </w:r>
    </w:p>
    <w:p>
      <w:pPr>
        <w:pStyle w:val="Number11bodybullet"/>
        <w:rPr/>
      </w:pPr>
      <w:r>
        <w:rPr/>
        <w:tab/>
      </w:r>
      <w:r>
        <w:rPr>
          <w:rFonts w:eastAsia="Symbol" w:cs="Symbol" w:ascii="Symbol" w:hAnsi="Symbol"/>
        </w:rPr>
        <w:t></w:t>
      </w:r>
      <w:r>
        <w:rPr/>
        <w:tab/>
        <w:t>Hearing difficulties. Assist the participant by lowering the pitch of your voice, slowing your speech, and annunciating clearly. Do not yell.</w:t>
      </w:r>
    </w:p>
    <w:p>
      <w:pPr>
        <w:pStyle w:val="Number11bodybullet"/>
        <w:rPr/>
      </w:pPr>
      <w:r>
        <w:rPr/>
      </w:r>
    </w:p>
    <w:p>
      <w:pPr>
        <w:pStyle w:val="Number11"/>
        <w:rPr/>
      </w:pPr>
      <w:r>
        <w:rPr/>
        <w:tab/>
        <w:t>6.4</w:t>
        <w:tab/>
      </w:r>
      <w:r>
        <w:rPr>
          <w:u w:val="single"/>
        </w:rPr>
        <w:t>Using the Scannable Form</w:t>
      </w:r>
    </w:p>
    <w:p>
      <w:pPr>
        <w:pStyle w:val="Number11"/>
        <w:rPr/>
      </w:pPr>
      <w:r>
        <w:rPr/>
      </w:r>
    </w:p>
    <w:p>
      <w:pPr>
        <w:pStyle w:val="Number11body"/>
        <w:rPr/>
      </w:pPr>
      <w:r>
        <w:rPr/>
        <w:t>The table below summarizes the guidelines for the proper completion and handling of the MESA Nutrition Interview Form. A correctly marked form is provided at the end of the chapter.</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tbl>
      <w:tblPr>
        <w:tblW w:w="6955" w:type="dxa"/>
        <w:jc w:val="left"/>
        <w:tblInd w:w="1435" w:type="dxa"/>
        <w:tblLayout w:type="fixed"/>
        <w:tblCellMar>
          <w:top w:w="58" w:type="dxa"/>
          <w:left w:w="115" w:type="dxa"/>
          <w:bottom w:w="58" w:type="dxa"/>
          <w:right w:w="115" w:type="dxa"/>
        </w:tblCellMar>
      </w:tblPr>
      <w:tblGrid>
        <w:gridCol w:w="3240"/>
        <w:gridCol w:w="3715"/>
      </w:tblGrid>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DO</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DON”T</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pPr>
            <w:r>
              <w:rPr>
                <w:rFonts w:cs="Arial;Arial" w:ascii="Arial;Arial" w:hAnsi="Arial;Arial"/>
                <w:sz w:val="20"/>
              </w:rPr>
              <w:t xml:space="preserve">Use a #2 pencil </w:t>
            </w:r>
            <w:r>
              <w:rPr>
                <w:rFonts w:cs="Arial;Arial" w:ascii="Arial;Arial" w:hAnsi="Arial;Arial"/>
                <w:i/>
                <w:iCs/>
                <w:sz w:val="20"/>
              </w:rPr>
              <w:t>only</w:t>
            </w:r>
            <w:r>
              <w:rPr>
                <w:rFonts w:cs="Arial;Arial" w:ascii="Arial;Arial" w:hAnsi="Arial;Arial"/>
                <w:sz w:val="20"/>
              </w:rPr>
              <w:t xml:space="preserve"> (preferably one provided by the DAC)</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Use a colored pencil, pens, flairs, markers or felt tip pens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Fill in center of bubbles completely</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Leave bubble partially shaded</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pPr>
            <w:r>
              <w:rPr>
                <w:rFonts w:cs="Arial;Arial" w:ascii="Arial;Arial" w:hAnsi="Arial;Arial"/>
                <w:sz w:val="20"/>
              </w:rPr>
              <w:t xml:space="preserve">Complete </w:t>
            </w:r>
            <w:r>
              <w:rPr>
                <w:rFonts w:cs="Arial;Arial" w:ascii="Arial;Arial" w:hAnsi="Arial;Arial"/>
                <w:i/>
                <w:iCs/>
                <w:sz w:val="20"/>
              </w:rPr>
              <w:t>all</w:t>
            </w:r>
            <w:r>
              <w:rPr>
                <w:rFonts w:cs="Arial;Arial" w:ascii="Arial;Arial" w:hAnsi="Arial;Arial"/>
                <w:sz w:val="20"/>
              </w:rPr>
              <w:t xml:space="preserve"> pages</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Skip any pages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Keep pages flat</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Fold pages or mark pages by folding the corners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Use boxes above bubbles to write in information</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Forget to fill in bubbles under boxes</w:t>
            </w:r>
          </w:p>
        </w:tc>
      </w:tr>
    </w:tbl>
    <w:p>
      <w:pPr>
        <w:pStyle w:val="Normal"/>
        <w:tabs>
          <w:tab w:val="left" w:pos="-360" w:leader="none"/>
          <w:tab w:val="left" w:pos="72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
        <w:rPr/>
      </w:pPr>
      <w:r>
        <w:rPr/>
        <w:tab/>
        <w:t>7.</w:t>
        <w:tab/>
      </w:r>
      <w:r>
        <w:rPr>
          <w:u w:val="single"/>
        </w:rPr>
        <w:t>Conducting the Food Frequency Interview</w:t>
      </w:r>
    </w:p>
    <w:p>
      <w:pPr>
        <w:pStyle w:val="Normal"/>
        <w:tabs>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ind w:left="360" w:hanging="0"/>
        <w:rPr/>
      </w:pPr>
      <w:r>
        <w:rPr/>
      </w:r>
    </w:p>
    <w:p>
      <w:pPr>
        <w:pStyle w:val="Number11"/>
        <w:rPr/>
      </w:pPr>
      <w:r>
        <w:rPr/>
        <w:tab/>
        <w:t>7.1</w:t>
        <w:tab/>
      </w:r>
      <w:r>
        <w:rPr>
          <w:u w:val="single"/>
        </w:rPr>
        <w:t>Meal and Snack Frequency (page 2)</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If participants give a range, take the midpoint and then confirm it is accurate. For example, for a response of “2 to 4” snacks a day, the interviewer would ask, “Would you say 3 is a good average?”  For a response like 2–3, ask, “Is it more often 2 or more often 3 snacks a day?” If the participant insists on 2.5, code it as 3 (i.e., round up). If meal or snack frequency is very different for work days vs. days off, ask about “most” days.</w:t>
      </w:r>
    </w:p>
    <w:p>
      <w:pPr>
        <w:pStyle w:val="Number11body"/>
        <w:rPr/>
      </w:pPr>
      <w:r>
        <w:rPr/>
      </w:r>
    </w:p>
    <w:p>
      <w:pPr>
        <w:pStyle w:val="Number11"/>
        <w:rPr/>
      </w:pPr>
      <w:r>
        <w:rPr/>
        <w:tab/>
        <w:t>7.2</w:t>
        <w:tab/>
      </w:r>
      <w:r>
        <w:rPr>
          <w:u w:val="single"/>
        </w:rPr>
        <w:t>Restaurant Frequency (page 2)</w:t>
      </w:r>
    </w:p>
    <w:p>
      <w:pPr>
        <w:pStyle w:val="Number11body"/>
        <w:rPr/>
      </w:pPr>
      <w:r>
        <w:rPr/>
      </w:r>
    </w:p>
    <w:p>
      <w:pPr>
        <w:pStyle w:val="Number11body"/>
        <w:rPr/>
      </w:pPr>
      <w:r>
        <w:rPr/>
        <w:t>Restaurant foods include fast foods, “take-out,” and home delivery of whole meals, including pizza, if it constitutes a meal.</w:t>
      </w:r>
    </w:p>
    <w:p>
      <w:pPr>
        <w:pStyle w:val="Number11body"/>
        <w:rPr/>
      </w:pPr>
      <w:r>
        <w:rPr/>
      </w:r>
    </w:p>
    <w:p>
      <w:pPr>
        <w:pStyle w:val="Number11"/>
        <w:rPr/>
      </w:pPr>
      <w:r>
        <w:rPr/>
        <w:tab/>
        <w:t>7.3</w:t>
        <w:tab/>
      </w:r>
      <w:r>
        <w:rPr>
          <w:u w:val="single"/>
        </w:rPr>
        <w:t xml:space="preserve">General Guidelines for the Food Frequency Interview </w:t>
      </w:r>
    </w:p>
    <w:p>
      <w:pPr>
        <w:pStyle w:val="Number11body"/>
        <w:rPr>
          <w:u w:val="single"/>
        </w:rPr>
      </w:pPr>
      <w:r>
        <w:rPr>
          <w:u w:val="single"/>
        </w:rPr>
      </w:r>
    </w:p>
    <w:p>
      <w:pPr>
        <w:pStyle w:val="Number111"/>
        <w:rPr/>
      </w:pPr>
      <w:r>
        <w:rPr/>
        <w:tab/>
        <w:t>7.3.1</w:t>
        <w:tab/>
        <w:t>Review the instructions with participants before launching into the food list. This will set the stage and will give participants important information they will need in order to respond appropriately in the interview. Maintain a friendly, conversational tone. Stick to the key points on the form. Do not “wing it,” especially early on in your experience. This leads to errors and confusion. Watch the participant to be sure he/she understands.</w:t>
      </w:r>
    </w:p>
    <w:p>
      <w:pPr>
        <w:pStyle w:val="Number111"/>
        <w:rPr/>
      </w:pPr>
      <w:r>
        <w:rPr/>
      </w:r>
    </w:p>
    <w:p>
      <w:pPr>
        <w:pStyle w:val="Number111"/>
        <w:rPr/>
      </w:pPr>
      <w:r>
        <w:rPr/>
        <w:tab/>
        <w:t>7.3.2</w:t>
        <w:tab/>
        <w:t xml:space="preserve">The exact wording on the form is for the benefit of the majority of the participants who will complete this as a self-administered form. Adjust the language as appropriate for interviewer-administration. For example, instead of “tell us how often…,” say, “I will ask you how often you eat different foods; then, I’ll ask you about your usual serving size.” </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7.3.3</w:t>
        <w:tab/>
        <w:t xml:space="preserve">Do </w:t>
      </w:r>
      <w:r>
        <w:rPr>
          <w:i/>
          <w:iCs/>
        </w:rPr>
        <w:t xml:space="preserve">not </w:t>
      </w:r>
      <w:r>
        <w:rPr/>
        <w:t>give the form to participants and try to read it to them at the same time. This is a poor interviewing technique, because participants have trouble reading along and paying attention to you at the same time.</w:t>
      </w:r>
    </w:p>
    <w:p>
      <w:pPr>
        <w:pStyle w:val="Number111"/>
        <w:rPr/>
      </w:pPr>
      <w:r>
        <w:rPr/>
      </w:r>
    </w:p>
    <w:p>
      <w:pPr>
        <w:pStyle w:val="Number11"/>
        <w:rPr/>
      </w:pPr>
      <w:r>
        <w:rPr/>
        <w:tab/>
        <w:t>7.4</w:t>
        <w:tab/>
      </w:r>
      <w:r>
        <w:rPr>
          <w:u w:val="single"/>
        </w:rPr>
        <w:t>Presenting the Food Frequency Lists</w:t>
      </w:r>
    </w:p>
    <w:p>
      <w:pPr>
        <w:pStyle w:val="Number11"/>
        <w:rPr>
          <w:u w:val="single"/>
        </w:rPr>
      </w:pPr>
      <w:r>
        <w:rPr>
          <w:u w:val="single"/>
        </w:rPr>
      </w:r>
    </w:p>
    <w:p>
      <w:pPr>
        <w:pStyle w:val="Number111"/>
        <w:rPr/>
      </w:pPr>
      <w:r>
        <w:rPr/>
        <w:tab/>
        <w:t>7.4.1</w:t>
        <w:tab/>
      </w:r>
      <w:r>
        <w:rPr>
          <w:iCs/>
        </w:rPr>
        <w:t xml:space="preserve">Present the frequency responses </w:t>
      </w:r>
      <w:r>
        <w:rPr>
          <w:i/>
          <w:iCs/>
        </w:rPr>
        <w:t>before</w:t>
      </w:r>
      <w:r>
        <w:rPr/>
        <w:t xml:space="preserve"> you start the actual food list. Going over the list of responses at the beginning will save time in the long run and avoid confusion. Occasionally, you can point to an answer selected by the participant to verify the response and to keep the participant oriented to the list of answers.</w:t>
      </w:r>
    </w:p>
    <w:p>
      <w:pPr>
        <w:pStyle w:val="Number111"/>
        <w:rPr/>
      </w:pPr>
      <w:r>
        <w:rPr/>
      </w:r>
    </w:p>
    <w:p>
      <w:pPr>
        <w:pStyle w:val="Number111"/>
        <w:rPr/>
      </w:pPr>
      <w:r>
        <w:rPr/>
        <w:tab/>
        <w:tab/>
        <w:t>If participants have trouble choosing a frequency, you can help by providing a range. Use your judgment, based on what the participant has already said. For example, if the participants say they drink orange juice “all the time,” ask if this is more or less often than once a day. If, after this attempt, the answer is still unclear, remind participants that they are not expected to remember everything they eats exactly, but, rather, just an average of what they usually eat. It’s important not to let participants get discouraged or bogged down in detail early in the interview. Just ask for a best estimate, based on what they do remember.</w:t>
      </w:r>
    </w:p>
    <w:p>
      <w:pPr>
        <w:pStyle w:val="Number111"/>
        <w:rPr/>
      </w:pPr>
      <w:r>
        <w:rPr/>
      </w:r>
    </w:p>
    <w:p>
      <w:pPr>
        <w:pStyle w:val="Number111"/>
        <w:rPr/>
      </w:pPr>
      <w:r>
        <w:rPr/>
        <w:tab/>
        <w:t>7.4.2</w:t>
        <w:tab/>
        <w:t>P</w:t>
      </w:r>
      <w:r>
        <w:rPr>
          <w:iCs/>
        </w:rPr>
        <w:t xml:space="preserve">resent the portion size responses before you start the actual food list. </w:t>
      </w:r>
      <w:r>
        <w:rPr/>
        <w:t>Explain to participants that a “small” serving size indicates that they eat a little of the food, compared to others of the same age and sex; that a “medium” serving size indicates that they eat an average amount of the food, compared to others of the same age and sex; and that a “large” serving size indicates that they eat a lot of the food compared to others of the same age and sex.</w:t>
      </w:r>
    </w:p>
    <w:p>
      <w:pPr>
        <w:pStyle w:val="Number111"/>
        <w:rPr/>
      </w:pPr>
      <w:r>
        <w:rPr/>
      </w:r>
    </w:p>
    <w:p>
      <w:pPr>
        <w:pStyle w:val="Number111"/>
        <w:rPr/>
      </w:pPr>
      <w:r>
        <w:rPr/>
        <w:tab/>
        <w:tab/>
        <w:t xml:space="preserve">Once again, remember not to get bogged down in excessive detail. We do expect exact reporting of portion sizes. We simply want the participant to give us an estimate of their typical portion size for each line item. Once the participant gets the idea, the interview should go quickly. If each line item requires more than a few seconds to complete, the interview will last much too long, and data quality will suffer. </w:t>
      </w:r>
    </w:p>
    <w:p>
      <w:pPr>
        <w:pStyle w:val="Number111"/>
        <w:rPr/>
      </w:pPr>
      <w:r>
        <w:rPr/>
      </w:r>
    </w:p>
    <w:p>
      <w:pPr>
        <w:pStyle w:val="Number111"/>
        <w:rPr/>
      </w:pPr>
      <w:r>
        <w:rPr/>
        <w:tab/>
        <w:tab/>
        <w:t>If participants report that they eat a food “rarely or never,” do not ask serving size and leave the serving size column blank.</w:t>
      </w:r>
    </w:p>
    <w:p>
      <w:pPr>
        <w:pStyle w:val="Number111"/>
        <w:rPr/>
      </w:pPr>
      <w:r>
        <w:rPr/>
      </w:r>
    </w:p>
    <w:p>
      <w:pPr>
        <w:pStyle w:val="Number111"/>
        <w:rPr/>
      </w:pPr>
      <w:r>
        <w:rPr/>
        <w:tab/>
        <w:t>7.4.3</w:t>
        <w:tab/>
        <w:t>When presenting each food item, ask for frequency first and portion size immediately after.</w:t>
      </w:r>
    </w:p>
    <w:p>
      <w:pPr>
        <w:pStyle w:val="Number111"/>
        <w:rPr/>
      </w:pPr>
      <w:r>
        <w:rPr/>
      </w:r>
    </w:p>
    <w:p>
      <w:pPr>
        <w:pStyle w:val="Number11"/>
        <w:rPr/>
      </w:pPr>
      <w:r>
        <w:rPr/>
        <w:tab/>
        <w:t>7.5</w:t>
        <w:tab/>
      </w:r>
      <w:r>
        <w:rPr>
          <w:u w:val="single"/>
        </w:rPr>
        <w:t>Food List (pages 3–14)</w:t>
      </w:r>
    </w:p>
    <w:p>
      <w:pPr>
        <w:pStyle w:val="Number11"/>
        <w:rPr/>
      </w:pPr>
      <w:r>
        <w:rPr/>
      </w:r>
    </w:p>
    <w:p>
      <w:pPr>
        <w:pStyle w:val="Number111"/>
        <w:rPr/>
      </w:pPr>
      <w:r>
        <w:rPr/>
        <w:tab/>
        <w:t>7.5.1</w:t>
        <w:tab/>
        <w:t xml:space="preserve">There are </w:t>
      </w:r>
      <w:r>
        <w:rPr>
          <w:u w:val="single"/>
        </w:rPr>
        <w:t>food-type headings</w:t>
      </w:r>
      <w:r>
        <w:rPr/>
        <w:t xml:space="preserve"> (e.g., fruits and juices, cereals and other breakfast foods, snacks) throughout the form. Let participants know the name of the section to help them orient their thinking. For example, say, “First, we’ll go over fruits and juices.”</w:t>
      </w:r>
    </w:p>
    <w:p>
      <w:pPr>
        <w:pStyle w:val="Number111"/>
        <w:rPr/>
      </w:pPr>
      <w:r>
        <w:rPr/>
      </w:r>
    </w:p>
    <w:p>
      <w:pPr>
        <w:pStyle w:val="Number111"/>
        <w:rPr/>
      </w:pPr>
      <w:r>
        <w:rPr/>
        <w:tab/>
        <w:t>7.5.2</w:t>
        <w:tab/>
        <w:t xml:space="preserve">For each line item, in general, you should read all items on the list. There are some items that will almost never apply to certain centers or to certain participants. For example, if a participant is  vegetarian, you will not need a response for </w:t>
      </w:r>
      <w:r>
        <w:rPr>
          <w:i/>
          <w:iCs/>
        </w:rPr>
        <w:t xml:space="preserve">every </w:t>
      </w:r>
      <w:r>
        <w:rPr/>
        <w:t>meat line item; however, you should still confirm in the food list section that he/she does not eat any type of beef, pork, chicken, etc. It is sometimes appropriate to use some judgment, but remember that consistent use of the interview across centers is vitally important. Inclusion of all line items is necessary to avoid missing the particular food choices that may enable us to discern relatively small but potentially important differences in nutrient intake between individuals.</w:t>
      </w:r>
      <w:r>
        <w:rPr>
          <w:b/>
        </w:rPr>
        <w:t xml:space="preserve"> </w:t>
      </w:r>
      <w:r>
        <w:rPr>
          <w:bCs/>
        </w:rPr>
        <w:t>Remember not to assume too much!</w:t>
      </w:r>
    </w:p>
    <w:p>
      <w:pPr>
        <w:pStyle w:val="Number111"/>
        <w:rPr>
          <w:bCs/>
        </w:rPr>
      </w:pPr>
      <w:r>
        <w:rPr>
          <w:bCs/>
        </w:rPr>
      </w:r>
    </w:p>
    <w:p>
      <w:pPr>
        <w:pStyle w:val="Number111"/>
        <w:rPr/>
      </w:pPr>
      <w:r>
        <w:rPr>
          <w:bCs/>
        </w:rPr>
        <w:tab/>
        <w:t>7.5.3</w:t>
        <w:tab/>
      </w:r>
      <w:r>
        <w:rPr/>
        <w:t xml:space="preserve">For the </w:t>
      </w:r>
      <w:r>
        <w:rPr>
          <w:u w:val="single"/>
        </w:rPr>
        <w:t>fruits, “when in season,”</w:t>
      </w:r>
      <w:r>
        <w:rPr/>
        <w:t xml:space="preserve"> ask the participant to report how often those fruits are eaten when they are in season (i.e., when they are available where the participant lives). Unless the line item specifically says, “when in season,” the items are assumed (by the nutrient analysis program) to be available all year. If the participant eats the item during only part of the year, obtain an estimate of average intake over the year. For many situations, this will be “rare or never.” A common example is pumpkin pie eaten 3 times per week, but only during the weeks of Thanksgiving and Christmas.</w:t>
      </w:r>
    </w:p>
    <w:p>
      <w:pPr>
        <w:pStyle w:val="Number111"/>
        <w:rPr/>
      </w:pPr>
      <w:r>
        <w:rPr/>
      </w:r>
    </w:p>
    <w:p>
      <w:pPr>
        <w:pStyle w:val="Number111"/>
        <w:rPr/>
      </w:pPr>
      <w:r>
        <w:rPr/>
        <w:tab/>
        <w:t>7.5.4</w:t>
        <w:tab/>
        <w:t xml:space="preserve">Most items in the </w:t>
      </w:r>
      <w:r>
        <w:rPr>
          <w:u w:val="single"/>
        </w:rPr>
        <w:t>meat, fish, and poultry</w:t>
      </w:r>
      <w:r>
        <w:rPr/>
        <w:t xml:space="preserve"> section are main dish items. While you can check to make sure that the total number of main dishes makes some sense, remember that many people do have eating habits that may seem unusual to you. Probe further if you hear something that seems highly unlikely, but don’t try to get answers based on your expectations of food habits.</w:t>
      </w:r>
    </w:p>
    <w:p>
      <w:pPr>
        <w:pStyle w:val="Number111"/>
        <w:rPr/>
      </w:pPr>
      <w:r>
        <w:rPr/>
      </w:r>
    </w:p>
    <w:p>
      <w:pPr>
        <w:pStyle w:val="Number111"/>
        <w:rPr/>
      </w:pPr>
      <w:r>
        <w:rPr/>
        <w:tab/>
        <w:t>7.5.5</w:t>
        <w:tab/>
        <w:t xml:space="preserve">Do not overlook the question about specific </w:t>
      </w:r>
      <w:r>
        <w:rPr>
          <w:u w:val="single"/>
        </w:rPr>
        <w:t>cereal type</w:t>
      </w:r>
      <w:r>
        <w:rPr/>
        <w:t>! Ask the participant what type of cereal they eat most often. As a check, this cereal should fit into the cereal line (of the four cereal lines) that is reported with the highest frequency. If this is not the case, ask the participant for clarification.</w:t>
      </w:r>
    </w:p>
    <w:p>
      <w:pPr>
        <w:pStyle w:val="Number111"/>
        <w:rPr/>
      </w:pPr>
      <w:r>
        <w:rPr/>
      </w:r>
    </w:p>
    <w:p>
      <w:pPr>
        <w:pStyle w:val="Number111"/>
        <w:rPr/>
      </w:pPr>
      <w:r>
        <w:rPr/>
        <w:tab/>
        <w:tab/>
        <w:t>The DAC will be distributing a list of cereal codes. Until then, just write down the brand and name of the cereal and leave the 3-digit code blank.</w:t>
      </w:r>
    </w:p>
    <w:p>
      <w:pPr>
        <w:pStyle w:val="Number111"/>
        <w:rPr/>
      </w:pPr>
      <w:r>
        <w:rPr/>
      </w:r>
    </w:p>
    <w:p>
      <w:pPr>
        <w:pStyle w:val="Number111"/>
        <w:rPr/>
      </w:pPr>
      <w:r>
        <w:rPr/>
        <w:tab/>
        <w:t>7.5.6</w:t>
        <w:tab/>
        <w:t xml:space="preserve">When you review the response set for </w:t>
      </w:r>
      <w:r>
        <w:rPr>
          <w:u w:val="single"/>
        </w:rPr>
        <w:t>beverages</w:t>
      </w:r>
      <w:r>
        <w:rPr/>
        <w:t xml:space="preserve">, be sure to remove the old set from sight and point to the new set of answers to avoid confusion. Be sure that the frequency of milk as a beverage does </w:t>
      </w:r>
      <w:r>
        <w:rPr>
          <w:i/>
          <w:iCs/>
        </w:rPr>
        <w:t>not</w:t>
      </w:r>
      <w:r>
        <w:rPr/>
        <w:t xml:space="preserve"> include milk used on cereal or in coffee or tea. You will have to ask about each type of alcoholic beverage. Alcohol consumption can be a sensitive issue for some participants. Be objective and respectful as you administer this part of the interview.</w:t>
      </w:r>
    </w:p>
    <w:p>
      <w:pPr>
        <w:pStyle w:val="Number111"/>
        <w:rPr/>
      </w:pPr>
      <w:r>
        <w:rPr/>
      </w:r>
    </w:p>
    <w:p>
      <w:pPr>
        <w:pStyle w:val="Number111"/>
        <w:rPr/>
      </w:pPr>
      <w:r>
        <w:rPr/>
        <w:tab/>
        <w:t>7.5.7</w:t>
        <w:tab/>
        <w:t>If a participant thinks of additional information during the interview related to a food item you have already coded, go back to that item while the participant is thinking of it and modify the answer as needed.</w:t>
      </w:r>
    </w:p>
    <w:p>
      <w:pPr>
        <w:pStyle w:val="Number111"/>
        <w:rPr/>
      </w:pPr>
      <w:r>
        <w:rPr/>
      </w:r>
    </w:p>
    <w:p>
      <w:pPr>
        <w:pStyle w:val="Number11"/>
        <w:rPr/>
      </w:pPr>
      <w:r>
        <w:rPr/>
        <w:tab/>
        <w:t>7.6</w:t>
        <w:tab/>
      </w:r>
      <w:r>
        <w:rPr>
          <w:u w:val="single"/>
        </w:rPr>
        <w:t>Food Preparation (page 15)</w:t>
      </w:r>
    </w:p>
    <w:p>
      <w:pPr>
        <w:pStyle w:val="Number11"/>
        <w:ind w:left="0" w:hanging="0"/>
        <w:rPr>
          <w:u w:val="single"/>
        </w:rPr>
      </w:pPr>
      <w:r>
        <w:rPr>
          <w:u w:val="single"/>
        </w:rPr>
      </w:r>
    </w:p>
    <w:p>
      <w:pPr>
        <w:pStyle w:val="Number11body"/>
        <w:rPr/>
      </w:pPr>
      <w:r>
        <w:rPr/>
        <w:t>Tell the participant that you will now ask a few more questions about their diet. Review responses (never eat the food, seldom or never, sometimes, often or always). For the questions about type of fat used, the scanner will accept either one or two answers. If the participant uses only one type of fat, if at all, fill in only one bubble. If the participant uses more than two types of fat, record only the two that he/she uses most frequently.</w:t>
      </w:r>
    </w:p>
    <w:p>
      <w:pPr>
        <w:pStyle w:val="Number11body"/>
        <w:rPr/>
      </w:pPr>
      <w:r>
        <w:rPr/>
      </w:r>
    </w:p>
    <w:p>
      <w:pPr>
        <w:pStyle w:val="Number11"/>
        <w:rPr/>
      </w:pPr>
      <w:r>
        <w:rPr/>
        <w:tab/>
        <w:t>7.7</w:t>
        <w:tab/>
      </w:r>
      <w:r>
        <w:rPr>
          <w:u w:val="single"/>
        </w:rPr>
        <w:t>Quality Control Questions (page 16)</w:t>
      </w:r>
    </w:p>
    <w:p>
      <w:pPr>
        <w:pStyle w:val="Number11"/>
        <w:rPr>
          <w:u w:val="single"/>
        </w:rPr>
      </w:pPr>
      <w:r>
        <w:rPr>
          <w:u w:val="single"/>
        </w:rPr>
      </w:r>
    </w:p>
    <w:p>
      <w:pPr>
        <w:pStyle w:val="Number11body"/>
        <w:rPr/>
      </w:pPr>
      <w:r>
        <w:rPr/>
        <w:t>Roughly compare the responses to the quality control questions on page 16 to the responses in corresponding line items (e.g., fruits) to be sure they are reasonably consistent. (Over-reporting on the specific line items is more common than under-reporting.  Do not be concerned about small inconsistencies: one high or low response is fine.)</w:t>
      </w:r>
    </w:p>
    <w:p>
      <w:pPr>
        <w:pStyle w:val="Number11"/>
        <w:rPr/>
      </w:pPr>
      <w:r>
        <w:rPr/>
      </w:r>
    </w:p>
    <w:p>
      <w:pPr>
        <w:pStyle w:val="Number111"/>
        <w:rPr/>
      </w:pPr>
      <w:r>
        <w:rPr/>
        <w:tab/>
        <w:t>7.7.1</w:t>
        <w:tab/>
        <w:t>Add up the frequencies of the following vegetables listed on page 6 and compare the total to that reported on page 16.</w:t>
      </w:r>
    </w:p>
    <w:p>
      <w:pPr>
        <w:pStyle w:val="Number111"/>
        <w:rPr/>
      </w:pPr>
      <w:r>
        <w:rPr/>
      </w:r>
    </w:p>
    <w:p>
      <w:pPr>
        <w:pStyle w:val="Number111bodybullet"/>
        <w:rPr/>
      </w:pPr>
      <w:r>
        <w:rPr/>
        <w:tab/>
      </w:r>
      <w:r>
        <w:rPr>
          <w:rFonts w:eastAsia="Symbol" w:cs="Symbol" w:ascii="Symbol" w:hAnsi="Symbol"/>
        </w:rPr>
        <w:t></w:t>
      </w:r>
      <w:r>
        <w:rPr/>
        <w:tab/>
        <w:t>Carrots</w:t>
      </w:r>
    </w:p>
    <w:p>
      <w:pPr>
        <w:pStyle w:val="Number111bodybullet"/>
        <w:rPr/>
      </w:pPr>
      <w:r>
        <w:rPr/>
        <w:tab/>
      </w:r>
      <w:r>
        <w:rPr>
          <w:rFonts w:eastAsia="Symbol" w:cs="Symbol" w:ascii="Symbol" w:hAnsi="Symbol"/>
        </w:rPr>
        <w:t></w:t>
      </w:r>
      <w:r>
        <w:rPr/>
        <w:tab/>
        <w:t>Broccoli, cabbage, cauliflower, brussel sprouts, sauerkraut, kimchee</w:t>
      </w:r>
    </w:p>
    <w:p>
      <w:pPr>
        <w:pStyle w:val="Number111bodybullet"/>
        <w:rPr/>
      </w:pPr>
      <w:r>
        <w:rPr/>
        <w:tab/>
      </w:r>
      <w:r>
        <w:rPr>
          <w:rFonts w:eastAsia="Symbol" w:cs="Symbol" w:ascii="Symbol" w:hAnsi="Symbol"/>
        </w:rPr>
        <w:t></w:t>
      </w:r>
      <w:r>
        <w:rPr/>
        <w:tab/>
        <w:t>Green beans, peas, snow peas</w:t>
      </w:r>
    </w:p>
    <w:p>
      <w:pPr>
        <w:pStyle w:val="Number111bodybullet"/>
        <w:rPr/>
      </w:pPr>
      <w:r>
        <w:rPr/>
        <w:tab/>
      </w:r>
      <w:r>
        <w:rPr>
          <w:rFonts w:eastAsia="Symbol" w:cs="Symbol" w:ascii="Symbol" w:hAnsi="Symbol"/>
        </w:rPr>
        <w:t></w:t>
      </w:r>
      <w:r>
        <w:rPr/>
        <w:tab/>
        <w:t>Corn, hominy</w:t>
      </w:r>
    </w:p>
    <w:p>
      <w:pPr>
        <w:pStyle w:val="Number111bodybullet"/>
        <w:rPr/>
      </w:pPr>
      <w:r>
        <w:rPr/>
        <w:tab/>
      </w:r>
      <w:r>
        <w:rPr>
          <w:rFonts w:eastAsia="Symbol" w:cs="Symbol" w:ascii="Symbol" w:hAnsi="Symbol"/>
        </w:rPr>
        <w:t></w:t>
      </w:r>
      <w:r>
        <w:rPr/>
        <w:tab/>
        <w:t>Winter squash, acorn squash</w:t>
      </w:r>
    </w:p>
    <w:p>
      <w:pPr>
        <w:pStyle w:val="Number111bodybullet"/>
        <w:rPr/>
      </w:pPr>
      <w:r>
        <w:rPr/>
        <w:tab/>
      </w:r>
      <w:r>
        <w:rPr>
          <w:rFonts w:eastAsia="Symbol" w:cs="Symbol" w:ascii="Symbol" w:hAnsi="Symbol"/>
        </w:rPr>
        <w:t></w:t>
      </w:r>
      <w:r>
        <w:rPr/>
        <w:tab/>
        <w:t>Any other vegetable including summer squash, zucchini, asparagus, mixed vegetables</w:t>
      </w:r>
    </w:p>
    <w:p>
      <w:pPr>
        <w:pStyle w:val="Number11bodybullet"/>
        <w:rPr/>
      </w:pPr>
      <w:r>
        <w:rPr/>
      </w:r>
    </w:p>
    <w:p>
      <w:pPr>
        <w:pStyle w:val="Number111"/>
        <w:rPr/>
      </w:pPr>
      <w:r>
        <w:rPr/>
        <w:tab/>
        <w:t>7.7.2</w:t>
        <w:tab/>
        <w:t>Compare the frequency for “Cold cereal” on page 4 to that reported on page 16.</w:t>
      </w:r>
    </w:p>
    <w:p>
      <w:pPr>
        <w:pStyle w:val="Number111"/>
        <w:rPr/>
      </w:pPr>
      <w:r>
        <w:rPr/>
      </w:r>
    </w:p>
    <w:p>
      <w:pPr>
        <w:pStyle w:val="Number111"/>
        <w:rPr/>
      </w:pPr>
      <w:r>
        <w:rPr/>
        <w:tab/>
        <w:t>7.7.3</w:t>
        <w:tab/>
        <w:t>Add up the frequencies of the following fruits listed on page 3 and compare the total to that reported on page 16. (Note that seasonal fruits may make up the difference in the number reported on the quality control question; adjust for this, if necessary.)</w:t>
      </w:r>
    </w:p>
    <w:p>
      <w:pPr>
        <w:pStyle w:val="Number111"/>
        <w:rPr/>
      </w:pPr>
      <w:r>
        <w:rPr/>
      </w:r>
    </w:p>
    <w:p>
      <w:pPr>
        <w:pStyle w:val="Number111bodybullet"/>
        <w:rPr/>
      </w:pPr>
      <w:r>
        <w:rPr/>
        <w:tab/>
      </w:r>
      <w:r>
        <w:rPr>
          <w:rFonts w:eastAsia="Symbol" w:cs="Symbol" w:ascii="Symbol" w:hAnsi="Symbol"/>
        </w:rPr>
        <w:t></w:t>
      </w:r>
      <w:r>
        <w:rPr/>
        <w:tab/>
        <w:t>Apples, applesauce, pears</w:t>
      </w:r>
    </w:p>
    <w:p>
      <w:pPr>
        <w:pStyle w:val="Number111bodybullet"/>
        <w:rPr/>
      </w:pPr>
      <w:r>
        <w:rPr/>
        <w:tab/>
      </w:r>
      <w:r>
        <w:rPr>
          <w:rFonts w:eastAsia="Symbol" w:cs="Symbol" w:ascii="Symbol" w:hAnsi="Symbol"/>
        </w:rPr>
        <w:t></w:t>
      </w:r>
      <w:r>
        <w:rPr/>
        <w:tab/>
        <w:t>Bananas, plantains</w:t>
      </w:r>
    </w:p>
    <w:p>
      <w:pPr>
        <w:pStyle w:val="Number111bodybullet"/>
        <w:rPr/>
      </w:pPr>
      <w:r>
        <w:rPr/>
        <w:tab/>
      </w:r>
      <w:r>
        <w:rPr>
          <w:rFonts w:eastAsia="Symbol" w:cs="Symbol" w:ascii="Symbol" w:hAnsi="Symbol"/>
        </w:rPr>
        <w:t></w:t>
      </w:r>
      <w:r>
        <w:rPr/>
        <w:tab/>
        <w:t>Oranges, grapefruit, tangerines, kiwi</w:t>
      </w:r>
    </w:p>
    <w:p>
      <w:pPr>
        <w:pStyle w:val="Number111bodybullet"/>
        <w:rPr/>
      </w:pPr>
      <w:r>
        <w:rPr/>
        <w:tab/>
      </w:r>
      <w:r>
        <w:rPr>
          <w:rFonts w:eastAsia="Symbol" w:cs="Symbol" w:ascii="Symbol" w:hAnsi="Symbol"/>
        </w:rPr>
        <w:t></w:t>
      </w:r>
      <w:r>
        <w:rPr/>
        <w:tab/>
        <w:t>Dried fruits including raisins, prunes, figs, apricots</w:t>
      </w:r>
    </w:p>
    <w:p>
      <w:pPr>
        <w:pStyle w:val="Number111bodybullet"/>
        <w:rPr/>
      </w:pPr>
      <w:r>
        <w:rPr/>
        <w:tab/>
      </w:r>
      <w:r>
        <w:rPr>
          <w:rFonts w:eastAsia="Symbol" w:cs="Symbol" w:ascii="Symbol" w:hAnsi="Symbol"/>
        </w:rPr>
        <w:t></w:t>
      </w:r>
      <w:r>
        <w:rPr/>
        <w:tab/>
        <w:t>Any other fruit (pineapple, persimmon, grapes, other melon, canned peaches, fruit cocktail, etc.)</w:t>
      </w:r>
    </w:p>
    <w:p>
      <w:pPr>
        <w:pStyle w:val="Number111bodybullet"/>
        <w:rPr/>
      </w:pPr>
      <w:r>
        <w:rPr/>
      </w:r>
    </w:p>
    <w:p>
      <w:pPr>
        <w:pStyle w:val="Number111"/>
        <w:rPr/>
      </w:pPr>
      <w:r>
        <w:rPr/>
        <w:tab/>
        <w:t>7.7.4</w:t>
        <w:tab/>
        <w:t>If responses are inconsistent by more than one frequency category, attempt to clarify.</w:t>
      </w:r>
    </w:p>
    <w:p>
      <w:pPr>
        <w:pStyle w:val="Number111"/>
        <w:rPr/>
      </w:pPr>
      <w:r>
        <w:rPr/>
      </w:r>
    </w:p>
    <w:p>
      <w:pPr>
        <w:pStyle w:val="Number111"/>
        <w:rPr/>
      </w:pPr>
      <w:r>
        <w:rPr/>
        <w:tab/>
        <w:t>7.7.5</w:t>
        <w:tab/>
        <w:t>Re-ask the quality control question, emphasizing “not counting salads, potatoes, or mixed dishes” for the question regarding vegetables and “not counting juices” for the question regarding fruit.</w:t>
      </w:r>
    </w:p>
    <w:p>
      <w:pPr>
        <w:pStyle w:val="Number111"/>
        <w:rPr/>
      </w:pPr>
      <w:r>
        <w:rPr/>
      </w:r>
    </w:p>
    <w:p>
      <w:pPr>
        <w:pStyle w:val="Number111"/>
        <w:rPr/>
      </w:pPr>
      <w:r>
        <w:rPr/>
        <w:tab/>
        <w:t>7.7.6</w:t>
        <w:tab/>
        <w:t>If the response is still inconsistent, briefly review the specific foods for clarification or correction, as needed.</w:t>
      </w:r>
    </w:p>
    <w:p>
      <w:pPr>
        <w:pStyle w:val="Number111"/>
        <w:rPr/>
      </w:pPr>
      <w:r>
        <w:rPr/>
      </w:r>
    </w:p>
    <w:p>
      <w:pPr>
        <w:pStyle w:val="Number111"/>
        <w:rPr/>
      </w:pPr>
      <w:r>
        <w:rPr/>
        <w:tab/>
        <w:t>7.7.7</w:t>
        <w:tab/>
        <w:t>If you cannot resolve the inconsistencies fairly easily, move on and note this in the comments section on page 17 (fill in bubble 3 and then record the comments).</w:t>
      </w:r>
    </w:p>
    <w:p>
      <w:pPr>
        <w:pStyle w:val="Number111"/>
        <w:rPr/>
      </w:pPr>
      <w:r>
        <w:rPr/>
      </w:r>
    </w:p>
    <w:p>
      <w:pPr>
        <w:pStyle w:val="Number11"/>
        <w:rPr/>
      </w:pPr>
      <w:r>
        <w:rPr/>
        <w:tab/>
        <w:t>7.8</w:t>
        <w:tab/>
      </w:r>
      <w:r>
        <w:rPr>
          <w:u w:val="single"/>
        </w:rPr>
        <w:t>Additional Foods Question (page 16)</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i/>
          <w:i/>
        </w:rPr>
      </w:pPr>
      <w:r>
        <w:rPr>
          <w:i/>
        </w:rPr>
      </w:r>
    </w:p>
    <w:p>
      <w:pPr>
        <w:pStyle w:val="Number11body"/>
        <w:rPr/>
      </w:pPr>
      <w:r>
        <w:rPr>
          <w:iCs/>
        </w:rPr>
        <w:t xml:space="preserve">Ask the participant if there are any </w:t>
      </w:r>
      <w:r>
        <w:rPr>
          <w:i/>
        </w:rPr>
        <w:t>previously-unreported</w:t>
      </w:r>
      <w:r>
        <w:rPr>
          <w:iCs/>
        </w:rPr>
        <w:t xml:space="preserve"> foods that he/she eats </w:t>
      </w:r>
      <w:r>
        <w:rPr>
          <w:i/>
        </w:rPr>
        <w:t>at least once a week.</w:t>
      </w:r>
      <w:r>
        <w:rPr/>
        <w:t xml:space="preserve"> Give the participant a moment to think before moving on. For any foods reported, incorporate them into the main body of the questionnaire, as appropriate, including frequency and portion size. See section 9, “Guidelines for Coding Foods.”</w:t>
      </w:r>
    </w:p>
    <w:p>
      <w:pPr>
        <w:pStyle w:val="Number11body"/>
        <w:rPr/>
      </w:pPr>
      <w:r>
        <w:rPr/>
      </w:r>
    </w:p>
    <w:p>
      <w:pPr>
        <w:pStyle w:val="Number11"/>
        <w:rPr/>
      </w:pPr>
      <w:r>
        <w:rPr/>
        <w:tab/>
        <w:t>7.9</w:t>
        <w:tab/>
      </w:r>
      <w:r>
        <w:rPr>
          <w:u w:val="single"/>
        </w:rPr>
        <w:t>Comments Question (page 16)</w:t>
      </w:r>
    </w:p>
    <w:p>
      <w:pPr>
        <w:pStyle w:val="Number11"/>
        <w:rPr>
          <w:u w:val="single"/>
        </w:rPr>
      </w:pPr>
      <w:r>
        <w:rPr>
          <w:u w:val="single"/>
        </w:rPr>
      </w:r>
    </w:p>
    <w:p>
      <w:pPr>
        <w:pStyle w:val="Number11body"/>
        <w:rPr/>
      </w:pPr>
      <w:r>
        <w:rPr/>
        <w:t>Sometimes a participants will tell you something about their diets that is important to but not appropriate for inclusion on the interview form.  For example, a man may note that his wife usually does the cooking.  You can note these things in the comment section so that the participant knows you are listening to them and are ready to move on.  These comments generally require no further review</w:t>
      </w:r>
    </w:p>
    <w:p>
      <w:pPr>
        <w:pStyle w:val="Number11body"/>
        <w:rPr/>
      </w:pPr>
      <w:r>
        <w:rPr/>
      </w:r>
    </w:p>
    <w:p>
      <w:pPr>
        <w:pStyle w:val="Number1"/>
        <w:rPr/>
      </w:pPr>
      <w:r>
        <w:rPr/>
        <w:tab/>
        <w:t>8.</w:t>
        <w:tab/>
      </w:r>
      <w:r>
        <w:rPr>
          <w:u w:val="single"/>
        </w:rPr>
        <w:t>Completing the “Clinical Use Only” Section of the Form (page 17)</w:t>
      </w:r>
    </w:p>
    <w:p>
      <w:pPr>
        <w:pStyle w:val="Number11"/>
        <w:rPr/>
      </w:pPr>
      <w:r>
        <w:rPr/>
      </w:r>
    </w:p>
    <w:p>
      <w:pPr>
        <w:pStyle w:val="Number11"/>
        <w:rPr/>
      </w:pPr>
      <w:r>
        <w:rPr/>
        <w:tab/>
        <w:t>8.1</w:t>
        <w:tab/>
        <w:t>If there are problems with the interview, note them in the space provided and fill in bubble 3, “Yes, Diet Data Center review needed.” Your notes should include any discrepancies that remain with the quality control questions after you have attempted to resolve them with the participant.</w:t>
      </w:r>
    </w:p>
    <w:p>
      <w:pPr>
        <w:pStyle w:val="Number11"/>
        <w:rPr/>
      </w:pPr>
      <w:r>
        <w:rPr/>
      </w:r>
    </w:p>
    <w:p>
      <w:pPr>
        <w:pStyle w:val="Number11"/>
        <w:rPr/>
      </w:pPr>
      <w:r>
        <w:rPr/>
        <w:tab/>
        <w:t>8.2</w:t>
        <w:tab/>
        <w:t xml:space="preserve">Attempt to resolve all food coding questions prior to sending the interview form to the DAC. For foods that will need to be incorporated into the questionnaire but that you are unsure about, write down as much information as possible, including name brands, if the product is a “diet” (e.g., low fat, low sugar), etc. If a decision is needed about coding a new food, try to have it made before you send the form to the DAC for processing. Either email or fax any coding questions to Dr. Beth Mayer-Davis (this provides us with documentation and avoids use of special form). A decision will be made based on the nutrient content of the food. Periodically, the DAC will update and distribute the Guidelines for Coding Foods so that coding will remain standardized across the centers. </w:t>
      </w:r>
    </w:p>
    <w:p>
      <w:pPr>
        <w:pStyle w:val="Number11"/>
        <w:rPr/>
      </w:pPr>
      <w:r>
        <w:rPr/>
      </w:r>
    </w:p>
    <w:p>
      <w:pPr>
        <w:pStyle w:val="Number11"/>
        <w:rPr/>
      </w:pPr>
      <w:r>
        <w:rPr/>
        <w:tab/>
        <w:t>8.3</w:t>
        <w:tab/>
        <w:t>Do not check “no review needed” (bubble 1 or 2) until coding decisions are finalized and have been incorporated into the form.</w:t>
      </w:r>
    </w:p>
    <w:p>
      <w:pPr>
        <w:pStyle w:val="Number11"/>
        <w:rPr/>
      </w:pPr>
      <w:r>
        <w:rPr/>
      </w:r>
    </w:p>
    <w:p>
      <w:pPr>
        <w:pStyle w:val="Number1"/>
        <w:rPr/>
      </w:pPr>
      <w:r>
        <w:rPr/>
        <w:tab/>
        <w:t>9.</w:t>
        <w:tab/>
      </w:r>
      <w:r>
        <w:rPr>
          <w:u w:val="single"/>
        </w:rPr>
        <w:t>Guidelines for Coding Foods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u w:val="single"/>
        </w:rPr>
      </w:pPr>
      <w:r>
        <w:rPr>
          <w:u w:val="single"/>
        </w:rPr>
      </w:r>
    </w:p>
    <w:p>
      <w:pPr>
        <w:pStyle w:val="Number1body"/>
        <w:rPr/>
      </w:pPr>
      <w:r>
        <w:rPr/>
        <w:t xml:space="preserve">For items eaten </w:t>
      </w:r>
      <w:r>
        <w:rPr>
          <w:i/>
          <w:iCs/>
        </w:rPr>
        <w:t>at least once a week</w:t>
      </w:r>
      <w:r>
        <w:rPr/>
        <w:t xml:space="preserve"> and not listed explicitly on the questionnaire, coding rules were developed based on nutrient content of the item in question.  </w:t>
      </w:r>
    </w:p>
    <w:p>
      <w:pPr>
        <w:pStyle w:val="Number1body"/>
        <w:rPr/>
      </w:pPr>
      <w:r>
        <w:rPr/>
      </w:r>
    </w:p>
    <w:p>
      <w:pPr>
        <w:pStyle w:val="Number1body"/>
        <w:rPr/>
      </w:pPr>
      <w:r>
        <w:rPr/>
        <w:t>Be sure to add the newly reported food accurately. Do not “double count” items mistakenly reported twice. Add new items to any existing items in the same line (do not simply replace the original answer with the new food). Remember that the total amount consumed is equal to frequency times portion size. In general, if needed, to “add” a newly reported food to a line item, you may assume that “small” is about ½ the amount of medium, and “large” is about 1 ½ times the amount of medium. Thus, you can use any combination of frequency and portion size to approximate the correct total intake. For example, 2/week, small, is the same as 1/week, medium.</w:t>
      </w:r>
    </w:p>
    <w:p>
      <w:pPr>
        <w:pStyle w:val="Number1body"/>
        <w:rPr/>
      </w:pPr>
      <w:r>
        <w:rPr/>
      </w:r>
    </w:p>
    <w:p>
      <w:pPr>
        <w:pStyle w:val="Number11"/>
        <w:rPr/>
      </w:pPr>
      <w:r>
        <w:rPr/>
        <w:tab/>
        <w:t>9.1</w:t>
        <w:tab/>
      </w:r>
      <w:r>
        <w:rPr>
          <w:u w:val="single"/>
        </w:rPr>
        <w:t>Fruits</w:t>
      </w:r>
      <w:r>
        <w:rPr/>
        <w:t xml:space="preserve"> </w:t>
      </w:r>
    </w:p>
    <w:p>
      <w:pPr>
        <w:pStyle w:val="Number11bodybullet"/>
        <w:rPr/>
      </w:pPr>
      <w:r>
        <w:rPr/>
      </w:r>
    </w:p>
    <w:p>
      <w:pPr>
        <w:pStyle w:val="Number11bodybullet"/>
        <w:rPr/>
      </w:pPr>
      <w:r>
        <w:rPr/>
        <w:tab/>
      </w:r>
      <w:r>
        <w:rPr>
          <w:rFonts w:eastAsia="Symbol" w:cs="Symbol" w:ascii="Symbol" w:hAnsi="Symbol"/>
        </w:rPr>
        <w:t></w:t>
      </w:r>
      <w:r>
        <w:rPr/>
        <w:tab/>
        <w:t>Fruits added to cereals should be coded in the fruits section, if the quantity is ¼  cup or more; otherwise, do not code.</w:t>
      </w:r>
    </w:p>
    <w:p>
      <w:pPr>
        <w:pStyle w:val="Number11bodybullet"/>
        <w:rPr/>
      </w:pPr>
      <w:r>
        <w:rPr/>
        <w:tab/>
      </w:r>
      <w:r>
        <w:rPr>
          <w:rFonts w:eastAsia="Symbol" w:cs="Symbol" w:ascii="Symbol" w:hAnsi="Symbol"/>
        </w:rPr>
        <w:t></w:t>
      </w:r>
      <w:r>
        <w:rPr/>
        <w:tab/>
        <w:t>For snack fruit bars, fruit roll-ups, etc., code as dried fruit.</w:t>
      </w:r>
    </w:p>
    <w:p>
      <w:pPr>
        <w:pStyle w:val="Number11bodybullet"/>
        <w:rPr/>
      </w:pPr>
      <w:r>
        <w:rPr/>
        <w:tab/>
      </w:r>
      <w:r>
        <w:rPr>
          <w:rFonts w:eastAsia="Symbol" w:cs="Symbol" w:ascii="Symbol" w:hAnsi="Symbol"/>
        </w:rPr>
        <w:t></w:t>
      </w:r>
      <w:r>
        <w:rPr/>
        <w:tab/>
        <w:t>Code Gatorade with other juice.</w:t>
      </w:r>
    </w:p>
    <w:p>
      <w:pPr>
        <w:pStyle w:val="Number11bodybullet"/>
        <w:rPr/>
      </w:pPr>
      <w:r>
        <w:rPr/>
        <w:tab/>
      </w:r>
      <w:r>
        <w:rPr>
          <w:rFonts w:eastAsia="Symbol" w:cs="Symbol" w:ascii="Symbol" w:hAnsi="Symbol"/>
        </w:rPr>
        <w:t></w:t>
      </w:r>
      <w:r>
        <w:rPr/>
        <w:tab/>
        <w:t>Code 5-Alive as orange juice.</w:t>
      </w:r>
    </w:p>
    <w:p>
      <w:pPr>
        <w:pStyle w:val="Number11bodybullet"/>
        <w:rPr/>
      </w:pPr>
      <w:r>
        <w:rPr/>
        <w:tab/>
      </w:r>
      <w:r>
        <w:rPr>
          <w:rFonts w:eastAsia="Symbol" w:cs="Symbol" w:ascii="Symbol" w:hAnsi="Symbol"/>
        </w:rPr>
        <w:t></w:t>
      </w:r>
      <w:r>
        <w:rPr/>
        <w:tab/>
        <w:t>Code ackee (or akee, achee) as other fruit.</w:t>
      </w:r>
    </w:p>
    <w:p>
      <w:pPr>
        <w:pStyle w:val="Number11bodybullet"/>
        <w:rPr/>
      </w:pPr>
      <w:r>
        <w:rPr/>
      </w:r>
    </w:p>
    <w:p>
      <w:pPr>
        <w:pStyle w:val="Number11"/>
        <w:rPr/>
      </w:pPr>
      <w:r>
        <w:rPr/>
        <w:tab/>
        <w:t>9.2</w:t>
        <w:tab/>
      </w:r>
      <w:r>
        <w:rPr>
          <w:u w:val="single"/>
        </w:rPr>
        <w:t>Vegetables/Side Dishes</w:t>
      </w:r>
    </w:p>
    <w:p>
      <w:pPr>
        <w:pStyle w:val="Number11bodybullet"/>
        <w:rPr/>
      </w:pPr>
      <w:r>
        <w:rPr/>
      </w:r>
    </w:p>
    <w:p>
      <w:pPr>
        <w:pStyle w:val="Number11bodybullet"/>
        <w:rPr/>
      </w:pPr>
      <w:r>
        <w:rPr/>
        <w:tab/>
      </w:r>
      <w:r>
        <w:rPr>
          <w:rFonts w:eastAsia="Symbol" w:cs="Symbol" w:ascii="Symbol" w:hAnsi="Symbol"/>
        </w:rPr>
        <w:t></w:t>
      </w:r>
      <w:r>
        <w:rPr/>
        <w:tab/>
        <w:t>Green salad codes (automatically) only for lettuce and a few slices of tomato. If a salad is usually topped with other vegetables (¼ cup or more), code these items in their respective lines. The serving size will usually be “small” for items added to salads.</w:t>
      </w:r>
    </w:p>
    <w:p>
      <w:pPr>
        <w:pStyle w:val="Number11bodybullet"/>
        <w:rPr/>
      </w:pPr>
      <w:r>
        <w:rPr/>
        <w:tab/>
      </w:r>
      <w:r>
        <w:rPr>
          <w:rFonts w:eastAsia="Symbol" w:cs="Symbol" w:ascii="Symbol" w:hAnsi="Symbol"/>
        </w:rPr>
        <w:t></w:t>
      </w:r>
      <w:r>
        <w:rPr/>
        <w:tab/>
        <w:t>Code V-8 juice as tomato juice.</w:t>
      </w:r>
    </w:p>
    <w:p>
      <w:pPr>
        <w:pStyle w:val="Number11bodybullet"/>
        <w:rPr/>
      </w:pPr>
      <w:r>
        <w:rPr/>
        <w:tab/>
      </w:r>
      <w:r>
        <w:rPr>
          <w:rFonts w:eastAsia="Symbol" w:cs="Symbol" w:ascii="Symbol" w:hAnsi="Symbol"/>
        </w:rPr>
        <w:t></w:t>
      </w:r>
      <w:r>
        <w:rPr/>
        <w:tab/>
        <w:t>Code carrot juice as carrots at twice the reported frequency.</w:t>
      </w:r>
    </w:p>
    <w:p>
      <w:pPr>
        <w:pStyle w:val="Number11bodybullet"/>
        <w:rPr/>
      </w:pPr>
      <w:r>
        <w:rPr/>
        <w:tab/>
      </w:r>
      <w:r>
        <w:rPr>
          <w:rFonts w:eastAsia="Symbol" w:cs="Symbol" w:ascii="Symbol" w:hAnsi="Symbol"/>
        </w:rPr>
        <w:t></w:t>
      </w:r>
      <w:r>
        <w:rPr/>
        <w:tab/>
        <w:t>Code chard as spinach.</w:t>
      </w:r>
    </w:p>
    <w:p>
      <w:pPr>
        <w:pStyle w:val="Number11bodybullet"/>
        <w:rPr/>
      </w:pPr>
      <w:r>
        <w:rPr/>
        <w:tab/>
      </w:r>
      <w:r>
        <w:rPr>
          <w:rFonts w:eastAsia="Symbol" w:cs="Symbol" w:ascii="Symbol" w:hAnsi="Symbol"/>
        </w:rPr>
        <w:t></w:t>
      </w:r>
      <w:r>
        <w:rPr/>
        <w:tab/>
        <w:t>Code artichoke as other vegetables</w:t>
      </w:r>
    </w:p>
    <w:p>
      <w:pPr>
        <w:pStyle w:val="Number11bodybullet"/>
        <w:rPr/>
      </w:pPr>
      <w:r>
        <w:rPr/>
        <w:tab/>
      </w:r>
      <w:r>
        <w:rPr>
          <w:rFonts w:eastAsia="Symbol" w:cs="Symbol" w:ascii="Symbol" w:hAnsi="Symbol"/>
        </w:rPr>
        <w:t></w:t>
      </w:r>
      <w:r>
        <w:rPr/>
        <w:tab/>
        <w:t>Do not code garlic.</w:t>
      </w:r>
    </w:p>
    <w:p>
      <w:pPr>
        <w:pStyle w:val="Number11bodybullet"/>
        <w:rPr/>
      </w:pPr>
      <w:r>
        <w:rPr/>
        <w:tab/>
      </w:r>
      <w:r>
        <w:rPr>
          <w:rFonts w:eastAsia="Symbol" w:cs="Symbol" w:ascii="Symbol" w:hAnsi="Symbol"/>
        </w:rPr>
        <w:t></w:t>
      </w:r>
      <w:r>
        <w:rPr/>
        <w:tab/>
        <w:t>Two rice cakes are coded as 1 small serving plain rice.</w:t>
      </w:r>
    </w:p>
    <w:p>
      <w:pPr>
        <w:pStyle w:val="Number11bodybullet"/>
        <w:rPr/>
      </w:pPr>
      <w:r>
        <w:rPr/>
        <w:tab/>
      </w:r>
      <w:r>
        <w:rPr>
          <w:rFonts w:eastAsia="Symbol" w:cs="Symbol" w:ascii="Symbol" w:hAnsi="Symbol"/>
        </w:rPr>
        <w:t></w:t>
      </w:r>
      <w:r>
        <w:rPr/>
        <w:tab/>
        <w:t xml:space="preserve">Code a medium serving of tabouli as one small serving of </w:t>
      </w:r>
      <w:r>
        <w:rPr>
          <w:i/>
          <w:iCs/>
        </w:rPr>
        <w:t>each</w:t>
      </w:r>
      <w:r>
        <w:rPr/>
        <w:t xml:space="preserve"> of the following: pasta/couscous; other vegetables; “butter, margarine, or oil on vegetables, rice, or potatoes.”</w:t>
      </w:r>
    </w:p>
    <w:p>
      <w:pPr>
        <w:pStyle w:val="Number11bodybullet"/>
        <w:rPr/>
      </w:pPr>
      <w:r>
        <w:rPr/>
        <w:tab/>
      </w:r>
      <w:r>
        <w:rPr>
          <w:rFonts w:eastAsia="Symbol" w:cs="Symbol" w:ascii="Symbol" w:hAnsi="Symbol"/>
        </w:rPr>
        <w:t></w:t>
      </w:r>
      <w:r>
        <w:rPr/>
        <w:tab/>
        <w:t>Code babaganoush as other vegetable.</w:t>
      </w:r>
    </w:p>
    <w:p>
      <w:pPr>
        <w:pStyle w:val="Number11bodybullet"/>
        <w:rPr/>
      </w:pPr>
      <w:r>
        <w:rPr/>
      </w:r>
    </w:p>
    <w:p>
      <w:pPr>
        <w:pStyle w:val="Number11"/>
        <w:rPr/>
      </w:pPr>
      <w:r>
        <w:rPr/>
        <w:tab/>
        <w:t>9.3</w:t>
        <w:tab/>
      </w:r>
      <w:r>
        <w:rPr>
          <w:u w:val="single"/>
        </w:rPr>
        <w:t>Meats, Poultry, Fish, Mixed Dishes</w:t>
      </w:r>
    </w:p>
    <w:p>
      <w:pPr>
        <w:pStyle w:val="Number11bodybullet"/>
        <w:rPr/>
      </w:pPr>
      <w:r>
        <w:rPr/>
      </w:r>
    </w:p>
    <w:p>
      <w:pPr>
        <w:pStyle w:val="Number11bodybullet"/>
        <w:rPr/>
      </w:pPr>
      <w:r>
        <w:rPr/>
        <w:tab/>
      </w:r>
      <w:r>
        <w:rPr>
          <w:rFonts w:eastAsia="Symbol" w:cs="Symbol" w:ascii="Symbol" w:hAnsi="Symbol"/>
        </w:rPr>
        <w:t></w:t>
      </w:r>
      <w:r>
        <w:rPr/>
        <w:tab/>
        <w:t>Code red or green chili as a condiment. Code ½ the reported frequency to account for the difference in portion size for chili as a condiment compared to a bowl of chili as a main dish.</w:t>
      </w:r>
    </w:p>
    <w:p>
      <w:pPr>
        <w:pStyle w:val="Number11bodybullet"/>
        <w:rPr/>
      </w:pPr>
      <w:r>
        <w:rPr/>
        <w:tab/>
      </w:r>
      <w:r>
        <w:rPr>
          <w:rFonts w:eastAsia="Symbol" w:cs="Symbol" w:ascii="Symbol" w:hAnsi="Symbol"/>
        </w:rPr>
        <w:t></w:t>
      </w:r>
      <w:r>
        <w:rPr/>
        <w:tab/>
        <w:t>Code pasta Alfredo as pasta with cream sauce or cheese (no meat).</w:t>
      </w:r>
    </w:p>
    <w:p>
      <w:pPr>
        <w:pStyle w:val="Number11bodybullet"/>
        <w:rPr/>
      </w:pPr>
      <w:r>
        <w:rPr/>
        <w:tab/>
      </w:r>
      <w:r>
        <w:rPr>
          <w:rFonts w:eastAsia="Symbol" w:cs="Symbol" w:ascii="Symbol" w:hAnsi="Symbol"/>
        </w:rPr>
        <w:t></w:t>
      </w:r>
      <w:r>
        <w:rPr/>
        <w:tab/>
        <w:t>Code pesto sauce or olive oil on pasta as “butter, margarine or oil on vegetables, rice or potatoes.”</w:t>
      </w:r>
    </w:p>
    <w:p>
      <w:pPr>
        <w:pStyle w:val="Number11bodybullet"/>
        <w:rPr/>
      </w:pPr>
      <w:r>
        <w:rPr/>
        <w:tab/>
      </w:r>
      <w:r>
        <w:rPr>
          <w:rFonts w:eastAsia="Symbol" w:cs="Symbol" w:ascii="Symbol" w:hAnsi="Symbol"/>
        </w:rPr>
        <w:t></w:t>
      </w:r>
      <w:r>
        <w:rPr/>
        <w:tab/>
        <w:t>Code pizza rolls as pizza.</w:t>
      </w:r>
    </w:p>
    <w:p>
      <w:pPr>
        <w:pStyle w:val="Number11bodybullet"/>
        <w:rPr/>
      </w:pPr>
      <w:r>
        <w:rPr/>
        <w:tab/>
      </w:r>
      <w:r>
        <w:rPr>
          <w:rFonts w:eastAsia="Symbol" w:cs="Symbol" w:ascii="Symbol" w:hAnsi="Symbol"/>
        </w:rPr>
        <w:t></w:t>
      </w:r>
      <w:r>
        <w:rPr/>
        <w:tab/>
        <w:t>Code menudo as beef.</w:t>
      </w:r>
    </w:p>
    <w:p>
      <w:pPr>
        <w:pStyle w:val="Number11bodybullet"/>
        <w:rPr/>
      </w:pPr>
      <w:r>
        <w:rPr/>
        <w:tab/>
      </w:r>
      <w:r>
        <w:rPr>
          <w:rFonts w:eastAsia="Symbol" w:cs="Symbol" w:ascii="Symbol" w:hAnsi="Symbol"/>
        </w:rPr>
        <w:t></w:t>
      </w:r>
      <w:r>
        <w:rPr/>
        <w:tab/>
        <w:t>Code pickled herring as tuna at ½ the reported frequency.</w:t>
      </w:r>
    </w:p>
    <w:p>
      <w:pPr>
        <w:pStyle w:val="Number11bodybullet"/>
        <w:rPr/>
      </w:pPr>
      <w:r>
        <w:rPr/>
        <w:tab/>
      </w:r>
      <w:r>
        <w:rPr>
          <w:rFonts w:eastAsia="Symbol" w:cs="Symbol" w:ascii="Symbol" w:hAnsi="Symbol"/>
        </w:rPr>
        <w:t></w:t>
      </w:r>
      <w:r>
        <w:rPr/>
        <w:tab/>
        <w:t>Code caviar as shellfish (not fried).</w:t>
      </w:r>
    </w:p>
    <w:p>
      <w:pPr>
        <w:pStyle w:val="Number11bodybullet"/>
        <w:rPr/>
      </w:pPr>
      <w:r>
        <w:rPr/>
        <w:tab/>
      </w:r>
      <w:r>
        <w:rPr>
          <w:rFonts w:eastAsia="Symbol" w:cs="Symbol" w:ascii="Symbol" w:hAnsi="Symbol"/>
        </w:rPr>
        <w:t></w:t>
      </w:r>
      <w:r>
        <w:rPr/>
        <w:tab/>
        <w:t>Code frozen entrees or dinners by their component items (e.g., code each item in a chicken, rice, and green beans frozen dinner separately). Ask the DAC for assistance if needed.</w:t>
      </w:r>
    </w:p>
    <w:p>
      <w:pPr>
        <w:pStyle w:val="Number11bodybullet"/>
        <w:rPr/>
      </w:pPr>
      <w:r>
        <w:rPr/>
        <w:tab/>
      </w:r>
      <w:r>
        <w:rPr>
          <w:rFonts w:eastAsia="Symbol" w:cs="Symbol" w:ascii="Symbol" w:hAnsi="Symbol"/>
        </w:rPr>
        <w:t></w:t>
      </w:r>
      <w:r>
        <w:rPr/>
        <w:tab/>
        <w:t>Code jerky (beef, chicken or fish) as bacon.</w:t>
      </w:r>
    </w:p>
    <w:p>
      <w:pPr>
        <w:pStyle w:val="Number11bodybullet"/>
        <w:rPr/>
      </w:pPr>
      <w:r>
        <w:rPr/>
        <w:tab/>
      </w:r>
      <w:r>
        <w:rPr>
          <w:rFonts w:eastAsia="Symbol" w:cs="Symbol" w:ascii="Symbol" w:hAnsi="Symbol"/>
        </w:rPr>
        <w:t></w:t>
      </w:r>
      <w:r>
        <w:rPr/>
        <w:tab/>
        <w:t>Code barbacoa as sausage at twice the reported frequency.</w:t>
      </w:r>
    </w:p>
    <w:p>
      <w:pPr>
        <w:pStyle w:val="Number11bodybullet"/>
        <w:rPr/>
      </w:pPr>
      <w:r>
        <w:rPr/>
        <w:tab/>
      </w:r>
      <w:r>
        <w:rPr>
          <w:rFonts w:eastAsia="Symbol" w:cs="Symbol" w:ascii="Symbol" w:hAnsi="Symbol"/>
        </w:rPr>
        <w:t></w:t>
      </w:r>
      <w:r>
        <w:rPr/>
        <w:tab/>
        <w:t>Code chicken and dumplings as “meat, chicken, or turkey stew, pot pie or empanada.”</w:t>
      </w:r>
    </w:p>
    <w:p>
      <w:pPr>
        <w:pStyle w:val="Number11bodybullet"/>
        <w:rPr/>
      </w:pPr>
      <w:r>
        <w:rPr/>
        <w:tab/>
      </w:r>
      <w:r>
        <w:rPr>
          <w:rFonts w:eastAsia="Symbol" w:cs="Symbol" w:ascii="Symbol" w:hAnsi="Symbol"/>
        </w:rPr>
        <w:t></w:t>
      </w:r>
      <w:r>
        <w:rPr/>
        <w:tab/>
        <w:t>Record veggie burger in the comments section on page 17 and fill in bubble 3 (Diet Center review needed).</w:t>
      </w:r>
    </w:p>
    <w:p>
      <w:pPr>
        <w:pStyle w:val="Number11bodybullet"/>
        <w:rPr/>
      </w:pPr>
      <w:r>
        <w:rPr/>
      </w:r>
    </w:p>
    <w:p>
      <w:pPr>
        <w:pStyle w:val="Number11"/>
        <w:rPr/>
      </w:pPr>
      <w:r>
        <w:rPr/>
        <w:tab/>
        <w:t>9.4</w:t>
        <w:tab/>
      </w:r>
      <w:r>
        <w:rPr>
          <w:u w:val="single"/>
        </w:rPr>
        <w:t>Breads and Snacks</w:t>
      </w:r>
    </w:p>
    <w:p>
      <w:pPr>
        <w:pStyle w:val="Number11"/>
        <w:rPr>
          <w:u w:val="single"/>
        </w:rPr>
      </w:pPr>
      <w:r>
        <w:rPr>
          <w:u w:val="single"/>
        </w:rPr>
      </w:r>
    </w:p>
    <w:p>
      <w:pPr>
        <w:pStyle w:val="Number11bodybullet"/>
        <w:rPr/>
      </w:pPr>
      <w:r>
        <w:rPr/>
        <w:tab/>
      </w:r>
      <w:r>
        <w:rPr>
          <w:rFonts w:eastAsia="Symbol" w:cs="Symbol" w:ascii="Symbol" w:hAnsi="Symbol"/>
        </w:rPr>
        <w:t></w:t>
      </w:r>
      <w:r>
        <w:rPr/>
        <w:tab/>
        <w:t>Code chips made with safflower or canola oil as regular chips.</w:t>
      </w:r>
    </w:p>
    <w:p>
      <w:pPr>
        <w:pStyle w:val="Number11bodybullet"/>
        <w:rPr/>
      </w:pPr>
      <w:r>
        <w:rPr/>
        <w:tab/>
      </w:r>
      <w:r>
        <w:rPr>
          <w:rFonts w:eastAsia="Symbol" w:cs="Symbol" w:ascii="Symbol" w:hAnsi="Symbol"/>
        </w:rPr>
        <w:t></w:t>
      </w:r>
      <w:r>
        <w:rPr/>
        <w:tab/>
        <w:t>Code blue corn chips as regular corn chips.</w:t>
      </w:r>
    </w:p>
    <w:p>
      <w:pPr>
        <w:pStyle w:val="Number11bodybullet"/>
        <w:rPr/>
      </w:pPr>
      <w:r>
        <w:rPr/>
        <w:tab/>
      </w:r>
      <w:r>
        <w:rPr>
          <w:rFonts w:eastAsia="Symbol" w:cs="Symbol" w:ascii="Symbol" w:hAnsi="Symbol"/>
        </w:rPr>
        <w:t></w:t>
      </w:r>
      <w:r>
        <w:rPr/>
        <w:tab/>
        <w:t>Code low-salt chips, including low-salt blue corn chips, as regular corn chips.</w:t>
      </w:r>
    </w:p>
    <w:p>
      <w:pPr>
        <w:pStyle w:val="Number11bodybullet"/>
        <w:rPr/>
      </w:pPr>
      <w:r>
        <w:rPr/>
        <w:tab/>
      </w:r>
      <w:r>
        <w:rPr>
          <w:rFonts w:eastAsia="Symbol" w:cs="Symbol" w:ascii="Symbol" w:hAnsi="Symbol"/>
        </w:rPr>
        <w:t></w:t>
      </w:r>
      <w:r>
        <w:rPr/>
        <w:tab/>
        <w:t>Code low-salt popcorn as regular popcorn.</w:t>
      </w:r>
    </w:p>
    <w:p>
      <w:pPr>
        <w:pStyle w:val="Number11bodybullet"/>
        <w:rPr/>
      </w:pPr>
      <w:r>
        <w:rPr/>
        <w:tab/>
      </w:r>
      <w:r>
        <w:rPr>
          <w:rFonts w:eastAsia="Symbol" w:cs="Symbol" w:ascii="Symbol" w:hAnsi="Symbol"/>
        </w:rPr>
        <w:t></w:t>
      </w:r>
      <w:r>
        <w:rPr/>
        <w:tab/>
        <w:t>Code low-sodium crackers as regular crackers.</w:t>
      </w:r>
    </w:p>
    <w:p>
      <w:pPr>
        <w:pStyle w:val="Number11bodybullet"/>
        <w:rPr/>
      </w:pPr>
      <w:r>
        <w:rPr/>
        <w:tab/>
      </w:r>
      <w:r>
        <w:rPr>
          <w:rFonts w:eastAsia="Symbol" w:cs="Symbol" w:ascii="Symbol" w:hAnsi="Symbol"/>
        </w:rPr>
        <w:t></w:t>
      </w:r>
      <w:r>
        <w:rPr/>
        <w:tab/>
        <w:t xml:space="preserve">Code matzo balls as biscuits, scones, etc. </w:t>
      </w:r>
    </w:p>
    <w:p>
      <w:pPr>
        <w:pStyle w:val="Number11bodybullet"/>
        <w:rPr/>
      </w:pPr>
      <w:r>
        <w:rPr/>
        <w:tab/>
      </w:r>
      <w:r>
        <w:rPr>
          <w:rFonts w:eastAsia="Symbol" w:cs="Symbol" w:ascii="Symbol" w:hAnsi="Symbol"/>
        </w:rPr>
        <w:t></w:t>
      </w:r>
      <w:r>
        <w:rPr/>
        <w:tab/>
        <w:t>Code potato bread as white bread.</w:t>
      </w:r>
    </w:p>
    <w:p>
      <w:pPr>
        <w:pStyle w:val="Number11bodybullet"/>
        <w:rPr/>
      </w:pPr>
      <w:r>
        <w:rPr/>
        <w:tab/>
      </w:r>
      <w:r>
        <w:rPr>
          <w:rFonts w:eastAsia="Symbol" w:cs="Symbol" w:ascii="Symbol" w:hAnsi="Symbol"/>
        </w:rPr>
        <w:t></w:t>
      </w:r>
      <w:r>
        <w:rPr/>
        <w:tab/>
        <w:t>Code unsalted butter or margarine on bread as regular butter or margarine.</w:t>
      </w:r>
    </w:p>
    <w:p>
      <w:pPr>
        <w:pStyle w:val="Number11bodybullet"/>
        <w:rPr/>
      </w:pPr>
      <w:r>
        <w:rPr/>
        <w:tab/>
      </w:r>
      <w:r>
        <w:rPr>
          <w:rFonts w:eastAsia="Symbol" w:cs="Symbol" w:ascii="Symbol" w:hAnsi="Symbol"/>
        </w:rPr>
        <w:t></w:t>
      </w:r>
      <w:r>
        <w:rPr/>
        <w:tab/>
        <w:t>Code trail mix as half “salty snacks” and half “nuts and seeds.”</w:t>
      </w:r>
    </w:p>
    <w:p>
      <w:pPr>
        <w:pStyle w:val="Number11bodybullet"/>
        <w:rPr/>
      </w:pPr>
      <w:r>
        <w:rPr/>
      </w:r>
    </w:p>
    <w:p>
      <w:pPr>
        <w:pStyle w:val="Number11"/>
        <w:rPr/>
      </w:pPr>
      <w:r>
        <w:rPr/>
        <w:tab/>
        <w:t>9.5</w:t>
        <w:tab/>
      </w:r>
      <w:r>
        <w:rPr>
          <w:u w:val="single"/>
        </w:rPr>
        <w:t>Breakfast</w:t>
      </w:r>
    </w:p>
    <w:p>
      <w:pPr>
        <w:pStyle w:val="Number11bodybullet"/>
        <w:rPr/>
      </w:pPr>
      <w:r>
        <w:rPr/>
      </w:r>
    </w:p>
    <w:p>
      <w:pPr>
        <w:pStyle w:val="Number11bodybullet"/>
        <w:rPr/>
      </w:pPr>
      <w:r>
        <w:rPr/>
        <w:tab/>
      </w:r>
      <w:r>
        <w:rPr>
          <w:rFonts w:eastAsia="Symbol" w:cs="Symbol" w:ascii="Symbol" w:hAnsi="Symbol"/>
        </w:rPr>
        <w:t></w:t>
      </w:r>
      <w:r>
        <w:rPr/>
        <w:tab/>
        <w:t xml:space="preserve">Code Eggbeaters or other low-fat egg substitute at ½ the reported frequency.  </w:t>
      </w:r>
    </w:p>
    <w:p>
      <w:pPr>
        <w:pStyle w:val="Number11bodybullet"/>
        <w:rPr/>
      </w:pPr>
      <w:r>
        <w:rPr/>
        <w:tab/>
      </w:r>
      <w:r>
        <w:rPr>
          <w:rFonts w:eastAsia="Symbol" w:cs="Symbol" w:ascii="Symbol" w:hAnsi="Symbol"/>
        </w:rPr>
        <w:t></w:t>
      </w:r>
      <w:r>
        <w:rPr/>
        <w:tab/>
        <w:t>Do not code egg whites only.</w:t>
      </w:r>
    </w:p>
    <w:p>
      <w:pPr>
        <w:pStyle w:val="Number11bodybullet"/>
        <w:rPr/>
      </w:pPr>
      <w:r>
        <w:rPr/>
        <w:tab/>
      </w:r>
      <w:r>
        <w:rPr>
          <w:rFonts w:eastAsia="Symbol" w:cs="Symbol" w:ascii="Symbol" w:hAnsi="Symbol"/>
        </w:rPr>
        <w:t></w:t>
      </w:r>
      <w:r>
        <w:rPr/>
        <w:tab/>
        <w:t>Code cooked bulgur, kasha, oat bran, etc., as cooked cereals.</w:t>
      </w:r>
    </w:p>
    <w:p>
      <w:pPr>
        <w:pStyle w:val="Number11bodybullet"/>
        <w:rPr/>
      </w:pPr>
      <w:r>
        <w:rPr/>
        <w:tab/>
      </w:r>
      <w:r>
        <w:rPr>
          <w:rFonts w:eastAsia="Symbol" w:cs="Symbol" w:ascii="Symbol" w:hAnsi="Symbol"/>
        </w:rPr>
        <w:t></w:t>
      </w:r>
      <w:r>
        <w:rPr/>
        <w:tab/>
        <w:t>Code French toast as one egg and one serving bread.</w:t>
      </w:r>
    </w:p>
    <w:p>
      <w:pPr>
        <w:pStyle w:val="Number11bodybullet"/>
        <w:rPr/>
      </w:pPr>
      <w:r>
        <w:rPr/>
        <w:tab/>
      </w:r>
      <w:r>
        <w:rPr>
          <w:rFonts w:eastAsia="Symbol" w:cs="Symbol" w:ascii="Symbol" w:hAnsi="Symbol"/>
        </w:rPr>
        <w:t></w:t>
      </w:r>
      <w:r>
        <w:rPr/>
        <w:tab/>
        <w:t>Code wheat germ as cold cereal.</w:t>
      </w:r>
    </w:p>
    <w:p>
      <w:pPr>
        <w:pStyle w:val="Number11bodybullet"/>
        <w:rPr/>
      </w:pPr>
      <w:r>
        <w:rPr/>
        <w:tab/>
      </w:r>
      <w:r>
        <w:rPr>
          <w:rFonts w:eastAsia="Symbol" w:cs="Symbol" w:ascii="Symbol" w:hAnsi="Symbol"/>
        </w:rPr>
        <w:t></w:t>
      </w:r>
      <w:r>
        <w:rPr/>
        <w:tab/>
        <w:t>If the participant does not use milk on cereal, decrease milk as a beverage by half the frequency of reported cold cereal use.</w:t>
      </w:r>
    </w:p>
    <w:p>
      <w:pPr>
        <w:pStyle w:val="Number11bodybullet"/>
        <w:rPr/>
      </w:pPr>
      <w:r>
        <w:rPr/>
      </w:r>
    </w:p>
    <w:p>
      <w:pPr>
        <w:pStyle w:val="Number11"/>
        <w:rPr/>
      </w:pPr>
      <w:r>
        <w:rPr/>
        <w:tab/>
        <w:t>9.6</w:t>
        <w:tab/>
      </w:r>
      <w:r>
        <w:rPr>
          <w:u w:val="single"/>
        </w:rPr>
        <w:t>Sweets</w:t>
      </w:r>
    </w:p>
    <w:p>
      <w:pPr>
        <w:pStyle w:val="Number11bodybullet"/>
        <w:rPr/>
      </w:pPr>
      <w:r>
        <w:rPr/>
      </w:r>
    </w:p>
    <w:p>
      <w:pPr>
        <w:pStyle w:val="Number11bodybullet"/>
        <w:rPr/>
      </w:pPr>
      <w:r>
        <w:rPr/>
        <w:tab/>
      </w:r>
      <w:r>
        <w:rPr>
          <w:rFonts w:eastAsia="Symbol" w:cs="Symbol" w:ascii="Symbol" w:hAnsi="Symbol"/>
        </w:rPr>
        <w:t></w:t>
      </w:r>
      <w:r>
        <w:rPr/>
        <w:tab/>
        <w:t>Code sugar-free “spreadable fruit” as “other fruit” (or add to the specific line item for that fruit if possible) at ½ the frequency.</w:t>
      </w:r>
    </w:p>
    <w:p>
      <w:pPr>
        <w:pStyle w:val="Number11bodybullet"/>
        <w:rPr/>
      </w:pPr>
      <w:r>
        <w:rPr/>
        <w:tab/>
      </w:r>
      <w:r>
        <w:rPr>
          <w:rFonts w:eastAsia="Symbol" w:cs="Symbol" w:ascii="Symbol" w:hAnsi="Symbol"/>
        </w:rPr>
        <w:t></w:t>
      </w:r>
      <w:r>
        <w:rPr/>
        <w:tab/>
        <w:t>Code sweet dim sum as cake doughnuts.</w:t>
      </w:r>
    </w:p>
    <w:p>
      <w:pPr>
        <w:pStyle w:val="Number11bodybullet"/>
        <w:rPr/>
      </w:pPr>
      <w:r>
        <w:rPr/>
        <w:tab/>
      </w:r>
      <w:r>
        <w:rPr>
          <w:rFonts w:eastAsia="Symbol" w:cs="Symbol" w:ascii="Symbol" w:hAnsi="Symbol"/>
        </w:rPr>
        <w:t></w:t>
      </w:r>
      <w:r>
        <w:rPr/>
        <w:tab/>
        <w:t>Code graham crackers as cookies.</w:t>
      </w:r>
    </w:p>
    <w:p>
      <w:pPr>
        <w:pStyle w:val="Number11bodybullet"/>
        <w:rPr/>
      </w:pPr>
      <w:r>
        <w:rPr/>
        <w:tab/>
      </w:r>
      <w:r>
        <w:rPr>
          <w:rFonts w:eastAsia="Symbol" w:cs="Symbol" w:ascii="Symbol" w:hAnsi="Symbol"/>
        </w:rPr>
        <w:t></w:t>
      </w:r>
      <w:r>
        <w:rPr/>
        <w:tab/>
        <w:t>Code NutraSweet fudgsicles or other specialty dairy desserts as frozen yogurt/ice milk.</w:t>
      </w:r>
    </w:p>
    <w:p>
      <w:pPr>
        <w:pStyle w:val="Number11bodybullet"/>
        <w:rPr/>
      </w:pPr>
      <w:r>
        <w:rPr/>
        <w:tab/>
      </w:r>
      <w:r>
        <w:rPr>
          <w:rFonts w:eastAsia="Symbol" w:cs="Symbol" w:ascii="Symbol" w:hAnsi="Symbol"/>
        </w:rPr>
        <w:t></w:t>
      </w:r>
      <w:r>
        <w:rPr/>
        <w:tab/>
        <w:t>Code granola bars, breakfast bars, Power bars as cookies, cake.  If bar is a meal replacement bar, code as “Instant Breakfast, Ensure, Slimfast.”</w:t>
      </w:r>
    </w:p>
    <w:p>
      <w:pPr>
        <w:pStyle w:val="Number11bodybullet"/>
        <w:rPr/>
      </w:pPr>
      <w:r>
        <w:rPr/>
        <w:tab/>
      </w:r>
      <w:r>
        <w:rPr>
          <w:rFonts w:eastAsia="Symbol" w:cs="Symbol" w:ascii="Symbol" w:hAnsi="Symbol"/>
        </w:rPr>
        <w:t></w:t>
      </w:r>
      <w:r>
        <w:rPr/>
        <w:tab/>
        <w:t>Code “dietetic” cookies and cakes as such at ½  the servings reported.</w:t>
      </w:r>
    </w:p>
    <w:p>
      <w:pPr>
        <w:pStyle w:val="Number11bodybullet"/>
        <w:rPr/>
      </w:pPr>
      <w:r>
        <w:rPr/>
        <w:tab/>
      </w:r>
      <w:r>
        <w:rPr>
          <w:rFonts w:eastAsia="Symbol" w:cs="Symbol" w:ascii="Symbol" w:hAnsi="Symbol"/>
        </w:rPr>
        <w:t></w:t>
      </w:r>
      <w:r>
        <w:rPr/>
        <w:tab/>
        <w:t>Do not code sugar-free Jell-O.</w:t>
      </w:r>
    </w:p>
    <w:p>
      <w:pPr>
        <w:pStyle w:val="Number11bodybullet"/>
        <w:rPr/>
      </w:pPr>
      <w:r>
        <w:rPr/>
        <w:tab/>
      </w:r>
      <w:r>
        <w:rPr>
          <w:rFonts w:eastAsia="Symbol" w:cs="Symbol" w:ascii="Symbol" w:hAnsi="Symbol"/>
        </w:rPr>
        <w:t></w:t>
      </w:r>
      <w:r>
        <w:rPr/>
        <w:tab/>
        <w:t>Do not code calorie-free candies, mints, gum, etc.</w:t>
      </w:r>
    </w:p>
    <w:p>
      <w:pPr>
        <w:pStyle w:val="Number11bodybullet"/>
        <w:rPr/>
      </w:pPr>
      <w:r>
        <w:rPr/>
        <w:tab/>
      </w:r>
      <w:r>
        <w:rPr>
          <w:rFonts w:eastAsia="Symbol" w:cs="Symbol" w:ascii="Symbol" w:hAnsi="Symbol"/>
        </w:rPr>
        <w:t></w:t>
      </w:r>
      <w:r>
        <w:rPr/>
        <w:tab/>
        <w:t>Code syrup with other candy, jelly, honey, etc.</w:t>
      </w:r>
    </w:p>
    <w:p>
      <w:pPr>
        <w:pStyle w:val="Number11bodybullet"/>
        <w:rPr/>
      </w:pPr>
      <w:r>
        <w:rPr/>
        <w:tab/>
      </w:r>
      <w:r>
        <w:rPr>
          <w:rFonts w:eastAsia="Symbol" w:cs="Symbol" w:ascii="Symbol" w:hAnsi="Symbol"/>
        </w:rPr>
        <w:t></w:t>
      </w:r>
      <w:r>
        <w:rPr/>
        <w:tab/>
        <w:t>Code Weight Watchers Mousse Dessert as frozen yogurt/ice milk.</w:t>
      </w:r>
    </w:p>
    <w:p>
      <w:pPr>
        <w:pStyle w:val="Number11bodybullet"/>
        <w:rPr/>
      </w:pPr>
      <w:r>
        <w:rPr/>
        <w:tab/>
      </w:r>
      <w:r>
        <w:rPr>
          <w:rFonts w:eastAsia="Symbol" w:cs="Symbol" w:ascii="Symbol" w:hAnsi="Symbol"/>
        </w:rPr>
        <w:t></w:t>
      </w:r>
      <w:r>
        <w:rPr/>
        <w:tab/>
        <w:t xml:space="preserve">Code Weight Watchers Cookies as regular cookies at ½  the reported frequency.  </w:t>
      </w:r>
    </w:p>
    <w:p>
      <w:pPr>
        <w:pStyle w:val="Number11bodybullet"/>
        <w:rPr/>
      </w:pPr>
      <w:r>
        <w:rPr/>
        <w:tab/>
      </w:r>
      <w:r>
        <w:rPr>
          <w:rFonts w:eastAsia="Symbol" w:cs="Symbol" w:ascii="Symbol" w:hAnsi="Symbol"/>
        </w:rPr>
        <w:t></w:t>
      </w:r>
      <w:r>
        <w:rPr/>
        <w:tab/>
        <w:t>Code Cracker Jack as cookies/cakes/dessert.</w:t>
      </w:r>
    </w:p>
    <w:p>
      <w:pPr>
        <w:pStyle w:val="Number11bodybullet"/>
        <w:rPr/>
      </w:pPr>
      <w:r>
        <w:rPr/>
        <w:tab/>
      </w:r>
      <w:r>
        <w:rPr>
          <w:rFonts w:eastAsia="Symbol" w:cs="Symbol" w:ascii="Symbol" w:hAnsi="Symbol"/>
        </w:rPr>
        <w:t></w:t>
      </w:r>
      <w:r>
        <w:rPr/>
        <w:tab/>
        <w:t>Code non-fat cookies at ½ the reported frequency.</w:t>
      </w:r>
    </w:p>
    <w:p>
      <w:pPr>
        <w:pStyle w:val="Number11bodybullet"/>
        <w:rPr/>
      </w:pPr>
      <w:r>
        <w:rPr/>
        <w:tab/>
      </w:r>
      <w:r>
        <w:rPr>
          <w:rFonts w:eastAsia="Symbol" w:cs="Symbol" w:ascii="Symbol" w:hAnsi="Symbol"/>
        </w:rPr>
        <w:t></w:t>
      </w:r>
      <w:r>
        <w:rPr/>
        <w:tab/>
        <w:t>Code sugar-free pudding at ½ the reported frequency.</w:t>
      </w:r>
    </w:p>
    <w:p>
      <w:pPr>
        <w:pStyle w:val="Number11bodybullet"/>
        <w:rPr/>
      </w:pPr>
      <w:r>
        <w:rPr/>
        <w:tab/>
      </w:r>
      <w:r>
        <w:rPr>
          <w:rFonts w:eastAsia="Symbol" w:cs="Symbol" w:ascii="Symbol" w:hAnsi="Symbol"/>
        </w:rPr>
        <w:t></w:t>
      </w:r>
      <w:r>
        <w:rPr/>
        <w:tab/>
        <w:t>Code light syrup at ½ the reported frequency.</w:t>
      </w:r>
    </w:p>
    <w:p>
      <w:pPr>
        <w:pStyle w:val="Number11bodybullet"/>
        <w:rPr/>
      </w:pPr>
      <w:r>
        <w:rPr/>
        <w:tab/>
      </w:r>
      <w:r>
        <w:rPr>
          <w:rFonts w:eastAsia="Symbol" w:cs="Symbol" w:ascii="Symbol" w:hAnsi="Symbol"/>
        </w:rPr>
        <w:t></w:t>
      </w:r>
      <w:r>
        <w:rPr/>
        <w:tab/>
        <w:t>Code diabetic ice cream as frozen yogurt/ice milk</w:t>
      </w:r>
    </w:p>
    <w:p>
      <w:pPr>
        <w:pStyle w:val="Number11bodybullet"/>
        <w:rPr/>
      </w:pPr>
      <w:r>
        <w:rPr/>
        <w:tab/>
      </w:r>
      <w:r>
        <w:rPr>
          <w:rFonts w:eastAsia="Symbol" w:cs="Symbol" w:ascii="Symbol" w:hAnsi="Symbol"/>
        </w:rPr>
        <w:t></w:t>
      </w:r>
      <w:r>
        <w:rPr/>
        <w:tab/>
        <w:t>Code non-fat ice cream as frozen yogurt/ice milk.</w:t>
      </w:r>
    </w:p>
    <w:p>
      <w:pPr>
        <w:pStyle w:val="Number11bodybullet"/>
        <w:rPr/>
      </w:pPr>
      <w:r>
        <w:rPr/>
      </w:r>
    </w:p>
    <w:p>
      <w:pPr>
        <w:pStyle w:val="Number11"/>
        <w:rPr/>
      </w:pPr>
      <w:r>
        <w:rPr/>
        <w:tab/>
        <w:t>9.7</w:t>
        <w:tab/>
      </w:r>
      <w:r>
        <w:rPr>
          <w:u w:val="single"/>
        </w:rPr>
        <w:t>Dairy Products</w:t>
      </w:r>
    </w:p>
    <w:p>
      <w:pPr>
        <w:pStyle w:val="Normal"/>
        <w:tabs>
          <w:tab w:val="clear" w:pos="720"/>
          <w:tab w:val="left" w:pos="-720" w:leader="none"/>
          <w:tab w:val="left" w:pos="-16" w:leader="none"/>
          <w:tab w:val="left" w:pos="703" w:leader="none"/>
          <w:tab w:val="left" w:pos="1423"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jc w:val="both"/>
        <w:rPr/>
      </w:pPr>
      <w:r>
        <w:rPr/>
      </w:r>
    </w:p>
    <w:p>
      <w:pPr>
        <w:pStyle w:val="Number11bodybullet"/>
        <w:rPr/>
      </w:pPr>
      <w:r>
        <w:rPr/>
        <w:tab/>
      </w:r>
      <w:r>
        <w:rPr>
          <w:rFonts w:eastAsia="Symbol" w:cs="Symbol" w:ascii="Symbol" w:hAnsi="Symbol"/>
        </w:rPr>
        <w:t></w:t>
      </w:r>
      <w:r>
        <w:rPr/>
        <w:tab/>
        <w:t>Code fat-free, sugar-free yogurt as plain yogurt</w:t>
      </w:r>
    </w:p>
    <w:p>
      <w:pPr>
        <w:pStyle w:val="Number11"/>
        <w:rPr/>
      </w:pPr>
      <w:r>
        <w:rPr/>
      </w:r>
    </w:p>
    <w:p>
      <w:pPr>
        <w:pStyle w:val="Number11"/>
        <w:rPr/>
      </w:pPr>
      <w:r>
        <w:rPr/>
        <w:tab/>
        <w:t>9.8</w:t>
        <w:tab/>
      </w:r>
      <w:r>
        <w:rPr>
          <w:u w:val="single"/>
        </w:rPr>
        <w:t>Beverages</w:t>
      </w:r>
    </w:p>
    <w:p>
      <w:pPr>
        <w:pStyle w:val="Number11"/>
        <w:rPr/>
      </w:pPr>
      <w:r>
        <w:rPr/>
      </w:r>
    </w:p>
    <w:p>
      <w:pPr>
        <w:pStyle w:val="Number11bodybullet"/>
        <w:rPr/>
      </w:pPr>
      <w:r>
        <w:rPr/>
        <w:tab/>
      </w:r>
      <w:r>
        <w:rPr>
          <w:rFonts w:eastAsia="Symbol" w:cs="Symbol" w:ascii="Symbol" w:hAnsi="Symbol"/>
        </w:rPr>
        <w:t></w:t>
      </w:r>
      <w:r>
        <w:rPr/>
        <w:tab/>
        <w:t>Code Crystal Light or other calorie-free, unfortified beverage mix as diet soda.</w:t>
      </w:r>
    </w:p>
    <w:p>
      <w:pPr>
        <w:pStyle w:val="Number11bodybullet"/>
        <w:rPr/>
      </w:pPr>
      <w:r>
        <w:rPr/>
        <w:tab/>
      </w:r>
      <w:r>
        <w:rPr>
          <w:rFonts w:eastAsia="Symbol" w:cs="Symbol" w:ascii="Symbol" w:hAnsi="Symbol"/>
        </w:rPr>
        <w:t></w:t>
      </w:r>
      <w:r>
        <w:rPr/>
        <w:tab/>
        <w:t>Code Malta as lemonade, sweetened mineral water</w:t>
      </w:r>
    </w:p>
    <w:p>
      <w:pPr>
        <w:pStyle w:val="Number11bodybullet"/>
        <w:rPr/>
      </w:pPr>
      <w:r>
        <w:rPr/>
        <w:tab/>
      </w:r>
      <w:r>
        <w:rPr>
          <w:rFonts w:eastAsia="Symbol" w:cs="Symbol" w:ascii="Symbol" w:hAnsi="Symbol"/>
        </w:rPr>
        <w:t></w:t>
      </w:r>
      <w:r>
        <w:rPr/>
        <w:tab/>
        <w:t>Code Mocha Mix in coffee as non-dairy creamer.</w:t>
      </w:r>
    </w:p>
    <w:p>
      <w:pPr>
        <w:pStyle w:val="Number11bodybullet"/>
        <w:rPr/>
      </w:pPr>
      <w:r>
        <w:rPr/>
        <w:tab/>
      </w:r>
      <w:r>
        <w:rPr>
          <w:rFonts w:eastAsia="Symbol" w:cs="Symbol" w:ascii="Symbol" w:hAnsi="Symbol"/>
        </w:rPr>
        <w:t></w:t>
      </w:r>
      <w:r>
        <w:rPr/>
        <w:tab/>
        <w:t>Code evaporated milk in coffee at twice the reported frequency.</w:t>
      </w:r>
    </w:p>
    <w:p>
      <w:pPr>
        <w:pStyle w:val="Number11bodybullet"/>
        <w:rPr/>
      </w:pPr>
      <w:r>
        <w:rPr/>
        <w:tab/>
      </w:r>
      <w:r>
        <w:rPr>
          <w:rFonts w:eastAsia="Symbol" w:cs="Symbol" w:ascii="Symbol" w:hAnsi="Symbol"/>
        </w:rPr>
        <w:t></w:t>
      </w:r>
      <w:r>
        <w:rPr/>
        <w:tab/>
        <w:t>Record other milk substitutes (like LactAid, soy milk), specifying brand and fat content, in the comments section on page 17 and fill in bubble 3 (Diet Center review needed).</w:t>
      </w:r>
    </w:p>
    <w:p>
      <w:pPr>
        <w:pStyle w:val="Number11bodybullet"/>
        <w:rPr/>
      </w:pPr>
      <w:r>
        <w:rPr/>
        <w:tab/>
      </w:r>
      <w:r>
        <w:rPr>
          <w:rFonts w:eastAsia="Symbol" w:cs="Symbol" w:ascii="Symbol" w:hAnsi="Symbol"/>
        </w:rPr>
        <w:t></w:t>
      </w:r>
      <w:r>
        <w:rPr/>
        <w:tab/>
        <w:t>Code lactose-free milk as milk (whole, 2%,1%, skim).</w:t>
      </w:r>
    </w:p>
    <w:p>
      <w:pPr>
        <w:pStyle w:val="Number11bodybullet"/>
        <w:rPr/>
      </w:pPr>
      <w:r>
        <w:rPr/>
        <w:tab/>
      </w:r>
      <w:r>
        <w:rPr>
          <w:rFonts w:eastAsia="Symbol" w:cs="Symbol" w:ascii="Symbol" w:hAnsi="Symbol"/>
        </w:rPr>
        <w:t></w:t>
      </w:r>
      <w:r>
        <w:rPr/>
        <w:tab/>
        <w:t xml:space="preserve">Code Optifast as Ensure/Instant Breakfast. </w:t>
      </w:r>
    </w:p>
    <w:p>
      <w:pPr>
        <w:pStyle w:val="Number11bodybullet"/>
        <w:rPr/>
      </w:pPr>
      <w:r>
        <w:rPr/>
        <w:tab/>
      </w:r>
      <w:r>
        <w:rPr>
          <w:rFonts w:eastAsia="Symbol" w:cs="Symbol" w:ascii="Symbol" w:hAnsi="Symbol"/>
        </w:rPr>
        <w:t></w:t>
      </w:r>
      <w:r>
        <w:rPr/>
        <w:tab/>
        <w:t xml:space="preserve">Code evaporated milk as twice the frequency of milk. </w:t>
      </w:r>
    </w:p>
    <w:p>
      <w:pPr>
        <w:pStyle w:val="Number11bodybullet"/>
        <w:rPr/>
      </w:pPr>
      <w:r>
        <w:rPr/>
        <w:tab/>
      </w:r>
      <w:r>
        <w:rPr>
          <w:rFonts w:eastAsia="Symbol" w:cs="Symbol" w:ascii="Symbol" w:hAnsi="Symbol"/>
        </w:rPr>
        <w:t></w:t>
      </w:r>
      <w:r>
        <w:rPr/>
        <w:tab/>
        <w:t>Code flavored coffee mixes as regular or decaffeinated coffee at twice the frequency reported; plus sugar in coffee (large) and non-dairy creamer (large).</w:t>
      </w:r>
    </w:p>
    <w:p>
      <w:pPr>
        <w:pStyle w:val="Number11bodybullet"/>
        <w:rPr/>
      </w:pPr>
      <w:r>
        <w:rPr/>
        <w:tab/>
      </w:r>
      <w:r>
        <w:rPr>
          <w:rFonts w:eastAsia="Symbol" w:cs="Symbol" w:ascii="Symbol" w:hAnsi="Symbol"/>
        </w:rPr>
        <w:t></w:t>
      </w:r>
      <w:r>
        <w:rPr/>
        <w:tab/>
        <w:t>Code Yoohoo as chocolate (one medium serving for one bottle).</w:t>
      </w:r>
    </w:p>
    <w:p>
      <w:pPr>
        <w:pStyle w:val="Number11bodybullet"/>
        <w:rPr/>
      </w:pPr>
      <w:r>
        <w:rPr/>
        <w:tab/>
      </w:r>
      <w:r>
        <w:rPr>
          <w:rFonts w:eastAsia="Symbol" w:cs="Symbol" w:ascii="Symbol" w:hAnsi="Symbol"/>
        </w:rPr>
        <w:t></w:t>
      </w:r>
      <w:r>
        <w:rPr/>
        <w:tab/>
        <w:t>Code light beer as regular beer</w:t>
      </w:r>
    </w:p>
    <w:p>
      <w:pPr>
        <w:pStyle w:val="Number11bodybullet"/>
        <w:rPr/>
      </w:pPr>
      <w:r>
        <w:rPr/>
        <w:tab/>
      </w:r>
      <w:r>
        <w:rPr>
          <w:rFonts w:eastAsia="Symbol" w:cs="Symbol" w:ascii="Symbol" w:hAnsi="Symbol"/>
        </w:rPr>
        <w:t></w:t>
      </w:r>
      <w:r>
        <w:rPr/>
        <w:tab/>
        <w:t>Code wine cooler as wine.</w:t>
      </w:r>
    </w:p>
    <w:p>
      <w:pPr>
        <w:pStyle w:val="Number11"/>
        <w:rPr/>
      </w:pPr>
      <w:r>
        <w:rPr/>
      </w:r>
    </w:p>
    <w:p>
      <w:pPr>
        <w:pStyle w:val="Number11"/>
        <w:rPr/>
      </w:pPr>
      <w:r>
        <w:rPr/>
        <w:tab/>
        <w:t>9.9</w:t>
        <w:tab/>
      </w:r>
      <w:r>
        <w:rPr>
          <w:u w:val="single"/>
        </w:rPr>
        <w:t>Fats</w:t>
      </w:r>
      <w:r>
        <w:rPr/>
        <w:t xml:space="preserve"> </w:t>
      </w:r>
    </w:p>
    <w:p>
      <w:pPr>
        <w:pStyle w:val="Number11bodybullet"/>
        <w:rPr/>
      </w:pPr>
      <w:r>
        <w:rPr/>
      </w:r>
    </w:p>
    <w:p>
      <w:pPr>
        <w:pStyle w:val="Number11bodybullet"/>
        <w:rPr/>
      </w:pPr>
      <w:r>
        <w:rPr/>
        <w:tab/>
      </w:r>
      <w:r>
        <w:rPr>
          <w:rFonts w:eastAsia="Symbol" w:cs="Symbol" w:ascii="Symbol" w:hAnsi="Symbol"/>
        </w:rPr>
        <w:t></w:t>
      </w:r>
      <w:r>
        <w:rPr/>
        <w:tab/>
        <w:t>Code diet soft margarine as soft margarine.</w:t>
      </w:r>
    </w:p>
    <w:p>
      <w:pPr>
        <w:pStyle w:val="Number11bodybullet"/>
        <w:rPr/>
      </w:pPr>
      <w:r>
        <w:rPr/>
        <w:tab/>
      </w:r>
      <w:r>
        <w:rPr>
          <w:rFonts w:eastAsia="Symbol" w:cs="Symbol" w:ascii="Symbol" w:hAnsi="Symbol"/>
        </w:rPr>
        <w:t></w:t>
      </w:r>
      <w:r>
        <w:rPr/>
        <w:tab/>
        <w:t>Code vegetable shortening as stick margarine.</w:t>
      </w:r>
    </w:p>
    <w:p>
      <w:pPr>
        <w:pStyle w:val="Number11bodybullet"/>
        <w:rPr/>
      </w:pPr>
      <w:r>
        <w:rPr/>
        <w:tab/>
      </w:r>
      <w:r>
        <w:rPr>
          <w:rFonts w:eastAsia="Symbol" w:cs="Symbol" w:ascii="Symbol" w:hAnsi="Symbol"/>
        </w:rPr>
        <w:t></w:t>
      </w:r>
      <w:r>
        <w:rPr/>
        <w:tab/>
        <w:t>Code unsalted butter or margarine as regular butter or margarine.</w:t>
      </w:r>
    </w:p>
    <w:p>
      <w:pPr>
        <w:pStyle w:val="Number11bodybullet"/>
        <w:rPr/>
      </w:pPr>
      <w:r>
        <w:rPr/>
        <w:tab/>
      </w:r>
      <w:r>
        <w:rPr>
          <w:rFonts w:eastAsia="Symbol" w:cs="Symbol" w:ascii="Symbol" w:hAnsi="Symbol"/>
        </w:rPr>
        <w:t></w:t>
      </w:r>
      <w:r>
        <w:rPr/>
        <w:tab/>
        <w:t>Do not code Molly McButter or other calorie-free butter flavoring, fat-free margerine, fat-free mayonnaise, or fat-free sour cream.</w:t>
      </w:r>
    </w:p>
    <w:p>
      <w:pPr>
        <w:pStyle w:val="Number11bodybullet"/>
        <w:rPr/>
      </w:pPr>
      <w:r>
        <w:rPr/>
      </w:r>
    </w:p>
    <w:p>
      <w:pPr>
        <w:pStyle w:val="Number11"/>
        <w:rPr/>
      </w:pPr>
      <w:r>
        <w:rPr/>
        <w:tab/>
        <w:t>9.10</w:t>
        <w:tab/>
      </w:r>
      <w:r>
        <w:rPr>
          <w:u w:val="single"/>
        </w:rPr>
        <w:t>Miscellaneous</w:t>
      </w:r>
    </w:p>
    <w:p>
      <w:pPr>
        <w:pStyle w:val="Number11"/>
        <w:rPr>
          <w:u w:val="single"/>
        </w:rPr>
      </w:pPr>
      <w:r>
        <w:rPr>
          <w:u w:val="single"/>
        </w:rPr>
      </w:r>
    </w:p>
    <w:p>
      <w:pPr>
        <w:pStyle w:val="Number11bodybullet"/>
        <w:rPr/>
      </w:pPr>
      <w:r>
        <w:rPr/>
        <w:tab/>
      </w:r>
      <w:r>
        <w:rPr>
          <w:rFonts w:eastAsia="Symbol" w:cs="Symbol" w:ascii="Symbol" w:hAnsi="Symbol"/>
        </w:rPr>
        <w:t></w:t>
      </w:r>
      <w:r>
        <w:rPr/>
        <w:tab/>
        <w:t>If a participant reports luncheon meat, remember to probe for some type of bread.</w:t>
      </w:r>
    </w:p>
    <w:p>
      <w:pPr>
        <w:pStyle w:val="Number11bodybullet"/>
        <w:rPr/>
      </w:pPr>
      <w:r>
        <w:rPr/>
        <w:tab/>
      </w:r>
      <w:r>
        <w:rPr>
          <w:rFonts w:eastAsia="Symbol" w:cs="Symbol" w:ascii="Symbol" w:hAnsi="Symbol"/>
        </w:rPr>
        <w:t></w:t>
      </w:r>
      <w:r>
        <w:rPr/>
        <w:tab/>
        <w:t>Code matzo ball soup as other soups.</w:t>
      </w:r>
    </w:p>
    <w:p>
      <w:pPr>
        <w:pStyle w:val="Number11bodybullet"/>
        <w:rPr/>
      </w:pPr>
      <w:r>
        <w:rPr/>
        <w:tab/>
      </w:r>
      <w:r>
        <w:rPr>
          <w:rFonts w:eastAsia="Symbol" w:cs="Symbol" w:ascii="Symbol" w:hAnsi="Symbol"/>
        </w:rPr>
        <w:t></w:t>
      </w:r>
      <w:r>
        <w:rPr/>
        <w:tab/>
        <w:t>Code SlimFast Cup-A-Soup as other soups.</w:t>
      </w:r>
    </w:p>
    <w:p>
      <w:pPr>
        <w:pStyle w:val="Number11bodybullet"/>
        <w:rPr/>
      </w:pPr>
      <w:r>
        <w:rPr/>
        <w:tab/>
      </w:r>
      <w:r>
        <w:rPr>
          <w:rFonts w:eastAsia="Symbol" w:cs="Symbol" w:ascii="Symbol" w:hAnsi="Symbol"/>
        </w:rPr>
        <w:t></w:t>
      </w:r>
      <w:r>
        <w:rPr/>
        <w:tab/>
        <w:t>Do not code mustard, soy sauce, pica, or calorie-free seasonings.</w:t>
      </w:r>
    </w:p>
    <w:p>
      <w:pPr>
        <w:pStyle w:val="Number11bodybullet"/>
        <w:rPr/>
      </w:pPr>
      <w:r>
        <w:rPr/>
        <w:tab/>
      </w:r>
      <w:r>
        <w:rPr>
          <w:rFonts w:eastAsia="Symbol" w:cs="Symbol" w:ascii="Symbol" w:hAnsi="Symbol"/>
        </w:rPr>
        <w:t></w:t>
      </w:r>
      <w:r>
        <w:rPr/>
        <w:tab/>
        <w:t>Code amaranth as cooked cereal.</w:t>
      </w:r>
    </w:p>
    <w:p>
      <w:pPr>
        <w:pStyle w:val="Number11bodybullet"/>
        <w:rPr/>
      </w:pPr>
      <w:r>
        <w:rPr/>
      </w:r>
    </w:p>
    <w:p>
      <w:pPr>
        <w:pStyle w:val="Number1"/>
        <w:rPr/>
      </w:pPr>
      <w:r>
        <w:rPr/>
        <w:tab/>
        <w:t>10.</w:t>
        <w:tab/>
      </w:r>
      <w:r>
        <w:rPr>
          <w:u w:val="single"/>
        </w:rPr>
        <w:t>Vitamins and Other Supplements</w:t>
      </w:r>
    </w:p>
    <w:p>
      <w:pPr>
        <w:pStyle w:val="Number11"/>
        <w:rPr>
          <w:u w:val="single"/>
        </w:rPr>
      </w:pPr>
      <w:r>
        <w:rPr>
          <w:u w:val="single"/>
        </w:rPr>
      </w:r>
    </w:p>
    <w:p>
      <w:pPr>
        <w:pStyle w:val="Number11"/>
        <w:rPr/>
      </w:pPr>
      <w:r>
        <w:rPr/>
        <w:tab/>
        <w:t>10.1</w:t>
        <w:tab/>
        <w:t xml:space="preserve">Participants will be instructed prior to this clinic visit to bring in bottles of any vitamin or other nutritional supplements they take, along with all prescription and over-the-counter medications. Therefore, this section will be completed at the time of the Medication Inventory.  </w:t>
      </w:r>
    </w:p>
    <w:p>
      <w:pPr>
        <w:pStyle w:val="Number11"/>
        <w:rPr/>
      </w:pPr>
      <w:r>
        <w:rPr/>
      </w:r>
    </w:p>
    <w:p>
      <w:pPr>
        <w:pStyle w:val="Number11"/>
        <w:rPr/>
      </w:pPr>
      <w:r>
        <w:rPr/>
        <w:tab/>
        <w:t>10.2</w:t>
        <w:tab/>
        <w:t>The Nutritional Supplement portion of the questionnaire is divided into sections to facilitate the collection of the vitamin and supplement data. In the first section, on page 18, ask the questions and follow the appropriate skip patterns. Use the second section, pages 19–21, as a worksheet to organize the vitamin, mineral, and other supplement information. (There is also a space provided on page 21 to list any other nutritional supplement that is taken at least once a weeks but is not included on the form list.) These pages will not be used for data entry. The last section will be used to code the following information for selected vitamins, minerals, and other nutritional supplements:</w:t>
      </w:r>
    </w:p>
    <w:p>
      <w:pPr>
        <w:pStyle w:val="Number111"/>
        <w:rPr/>
      </w:pPr>
      <w:r>
        <w:rPr/>
      </w:r>
    </w:p>
    <w:p>
      <w:pPr>
        <w:pStyle w:val="Number11bodybullet"/>
        <w:rPr/>
      </w:pPr>
      <w:r>
        <w:rPr/>
        <w:tab/>
      </w:r>
      <w:r>
        <w:rPr>
          <w:rFonts w:eastAsia="Symbol" w:cs="Symbol" w:ascii="Symbol" w:hAnsi="Symbol"/>
        </w:rPr>
        <w:t></w:t>
      </w:r>
      <w:r>
        <w:rPr/>
        <w:tab/>
        <w:t>Overall frequency of use (1–3/month vs. 1/week or more).</w:t>
      </w:r>
    </w:p>
    <w:p>
      <w:pPr>
        <w:pStyle w:val="Number11bodybullet"/>
        <w:rPr/>
      </w:pPr>
      <w:r>
        <w:rPr/>
        <w:tab/>
      </w:r>
      <w:r>
        <w:rPr>
          <w:rFonts w:eastAsia="Symbol" w:cs="Symbol" w:ascii="Symbol" w:hAnsi="Symbol"/>
        </w:rPr>
        <w:t></w:t>
      </w:r>
      <w:r>
        <w:rPr/>
        <w:tab/>
        <w:t xml:space="preserve">Detailed information on </w:t>
      </w:r>
      <w:r>
        <w:rPr>
          <w:i/>
          <w:iCs/>
        </w:rPr>
        <w:t>only</w:t>
      </w:r>
      <w:r>
        <w:rPr/>
        <w:t xml:space="preserve"> selected items and </w:t>
      </w:r>
      <w:r>
        <w:rPr>
          <w:i/>
          <w:iCs/>
        </w:rPr>
        <w:t>only</w:t>
      </w:r>
      <w:r>
        <w:rPr/>
        <w:t xml:space="preserve"> for those that are taken </w:t>
      </w:r>
      <w:r>
        <w:rPr>
          <w:i/>
          <w:iCs/>
        </w:rPr>
        <w:t>at least</w:t>
      </w:r>
      <w:r>
        <w:rPr/>
        <w:t xml:space="preserve"> once a week.</w:t>
      </w:r>
    </w:p>
    <w:p>
      <w:pPr>
        <w:pStyle w:val="Number111"/>
        <w:rPr/>
      </w:pPr>
      <w:r>
        <w:rPr/>
        <w:tab/>
        <w:t>-</w:t>
        <w:tab/>
        <w:t>Number of pills per week</w:t>
      </w:r>
    </w:p>
    <w:p>
      <w:pPr>
        <w:pStyle w:val="Number111"/>
        <w:rPr/>
      </w:pPr>
      <w:r>
        <w:rPr/>
        <w:tab/>
        <w:t>-</w:t>
        <w:tab/>
        <w:t>Dose per pill</w:t>
      </w:r>
    </w:p>
    <w:p>
      <w:pPr>
        <w:pStyle w:val="Number111"/>
        <w:rPr/>
      </w:pPr>
      <w:r>
        <w:rPr/>
        <w:tab/>
        <w:t>-</w:t>
        <w:tab/>
        <w:t xml:space="preserve">Duration of regular (at least once a week) use. Dose </w:t>
      </w:r>
      <w:r>
        <w:rPr>
          <w:i/>
          <w:iCs/>
        </w:rPr>
        <w:t>changes</w:t>
      </w:r>
      <w:r>
        <w:rPr/>
        <w:t xml:space="preserve"> during that period are not recorded</w:t>
      </w:r>
    </w:p>
    <w:p>
      <w:pPr>
        <w:pStyle w:val="Number111"/>
        <w:rPr/>
      </w:pPr>
      <w:r>
        <w:rPr/>
      </w:r>
    </w:p>
    <w:p>
      <w:pPr>
        <w:pStyle w:val="Number11"/>
        <w:rPr>
          <w:b/>
          <w:b/>
          <w:bCs/>
          <w:u w:val="single"/>
        </w:rPr>
      </w:pPr>
      <w:r>
        <w:rPr/>
        <w:tab/>
        <w:t>10.3</w:t>
        <w:tab/>
      </w:r>
      <w:r>
        <w:rPr>
          <w:u w:val="single"/>
        </w:rPr>
        <w:t>Recording Doses</w:t>
      </w:r>
    </w:p>
    <w:p>
      <w:pPr>
        <w:pStyle w:val="Number11"/>
        <w:rPr>
          <w:b/>
          <w:b/>
          <w:bCs/>
          <w:u w:val="single"/>
        </w:rPr>
      </w:pPr>
      <w:r>
        <w:rPr>
          <w:b/>
          <w:bCs/>
          <w:u w:val="single"/>
        </w:rPr>
      </w:r>
    </w:p>
    <w:p>
      <w:pPr>
        <w:pStyle w:val="Number111"/>
        <w:rPr/>
      </w:pPr>
      <w:r>
        <w:rPr/>
        <w:tab/>
        <w:t>10.3.1</w:t>
        <w:tab/>
        <w:t>Record dose from the supplement label. If the participant has forgotten to bring in the bottle but is absolutely confident of the dose, you may record the dose as reported by the participant. If the participant is unsure, arrange to call him/her later in the day and have the dose information read to you over the phone. If, for reasons of literacy, vision, etc., this will not work, try alternative solutions (e.g., bring in the bottle on another day; have a relative or friend read over the phone). Be sure to hold off scanning the form until this is resolved. If all else fails, enter 99999.</w:t>
      </w:r>
    </w:p>
    <w:p>
      <w:pPr>
        <w:pStyle w:val="Number111"/>
        <w:rPr/>
      </w:pPr>
      <w:r>
        <w:rPr/>
      </w:r>
    </w:p>
    <w:p>
      <w:pPr>
        <w:pStyle w:val="Number111"/>
        <w:rPr/>
      </w:pPr>
      <w:r>
        <mc:AlternateContent>
          <mc:Choice Requires="wps">
            <w:drawing>
              <wp:anchor behindDoc="0" distT="0" distB="0" distL="114935" distR="114935" simplePos="0" locked="0" layoutInCell="0" allowOverlap="1" relativeHeight="61">
                <wp:simplePos x="0" y="0"/>
                <wp:positionH relativeFrom="column">
                  <wp:posOffset>1495425</wp:posOffset>
                </wp:positionH>
                <wp:positionV relativeFrom="paragraph">
                  <wp:posOffset>506095</wp:posOffset>
                </wp:positionV>
                <wp:extent cx="64135" cy="0"/>
                <wp:effectExtent l="0" t="5080" r="0" b="5080"/>
                <wp:wrapNone/>
                <wp:docPr id="13" name=""/>
                <a:graphic xmlns:a="http://schemas.openxmlformats.org/drawingml/2006/main">
                  <a:graphicData uri="http://schemas.microsoft.com/office/word/2010/wordprocessingShape">
                    <wps:wsp>
                      <wps:cNvSpPr/>
                      <wps:spPr>
                        <a:xfrm>
                          <a:off x="0" y="0"/>
                          <a:ext cx="64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7.75pt,39.85pt" to="122.75pt,39.8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62">
                <wp:simplePos x="0" y="0"/>
                <wp:positionH relativeFrom="column">
                  <wp:posOffset>1614805</wp:posOffset>
                </wp:positionH>
                <wp:positionV relativeFrom="paragraph">
                  <wp:posOffset>506095</wp:posOffset>
                </wp:positionV>
                <wp:extent cx="64135" cy="0"/>
                <wp:effectExtent l="0" t="5080" r="0" b="5080"/>
                <wp:wrapNone/>
                <wp:docPr id="14" name=""/>
                <a:graphic xmlns:a="http://schemas.openxmlformats.org/drawingml/2006/main">
                  <a:graphicData uri="http://schemas.microsoft.com/office/word/2010/wordprocessingShape">
                    <wps:wsp>
                      <wps:cNvSpPr/>
                      <wps:spPr>
                        <a:xfrm>
                          <a:off x="0" y="0"/>
                          <a:ext cx="64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15pt,39.85pt" to="132.15pt,39.85pt" stroked="t" o:allowincell="f" style="position:absolute">
                <v:stroke color="black" weight="9360" joinstyle="miter" endcap="flat"/>
                <v:fill o:detectmouseclick="t" on="false"/>
                <w10:wrap type="none"/>
              </v:line>
            </w:pict>
          </mc:Fallback>
        </mc:AlternateContent>
      </w:r>
      <w:r>
        <w:rPr/>
        <w:tab/>
        <w:t>10.3.2</w:t>
        <w:tab/>
        <w:t>Fill in leading 0’s for the dose data. For example, if the participant takes 500 mg of vitamin C, record “</w:t>
      </w:r>
      <w:r>
        <w:rPr>
          <w:u w:val="single"/>
        </w:rPr>
        <w:t>0</w:t>
      </w:r>
      <w:r>
        <w:rPr/>
        <w:t xml:space="preserve"> </w:t>
      </w:r>
      <w:r>
        <w:rPr>
          <w:u w:val="single"/>
        </w:rPr>
        <w:t>0</w:t>
      </w:r>
      <w:r>
        <w:rPr/>
        <w:t xml:space="preserve"> </w:t>
      </w:r>
      <w:r>
        <w:rPr>
          <w:u w:val="single"/>
        </w:rPr>
        <w:t>5</w:t>
      </w:r>
      <w:r>
        <w:rPr/>
        <w:t xml:space="preserve"> </w:t>
      </w:r>
      <w:r>
        <w:rPr>
          <w:u w:val="single"/>
        </w:rPr>
        <w:t>0</w:t>
      </w:r>
      <w:r>
        <w:rPr/>
        <w:t xml:space="preserve"> </w:t>
      </w:r>
      <w:r>
        <w:rPr>
          <w:u w:val="single"/>
        </w:rPr>
        <w:t>0</w:t>
      </w:r>
      <w:r>
        <w:rPr/>
        <w:t>,” not “</w:t>
      </w:r>
      <w:r>
        <w:rPr>
          <w:u w:val="single"/>
        </w:rPr>
        <w:t>5</w:t>
      </w:r>
      <w:r>
        <w:rPr/>
        <w:t xml:space="preserve"> </w:t>
      </w:r>
      <w:r>
        <w:rPr>
          <w:u w:val="single"/>
        </w:rPr>
        <w:t>0</w:t>
      </w:r>
      <w:r>
        <w:rPr/>
        <w:t xml:space="preserve"> </w:t>
      </w:r>
      <w:r>
        <w:rPr>
          <w:u w:val="single"/>
        </w:rPr>
        <w:t>0</w:t>
      </w:r>
      <w:r>
        <w:rPr/>
        <w:t xml:space="preserve">      .”</w:t>
      </w:r>
    </w:p>
    <w:p>
      <w:pPr>
        <w:pStyle w:val="Number111"/>
        <w:rPr/>
      </w:pPr>
      <w:r>
        <w:rPr/>
      </w:r>
    </w:p>
    <w:p>
      <w:pPr>
        <w:pStyle w:val="Number111"/>
        <w:rPr/>
      </w:pPr>
      <w:r>
        <w:rPr/>
        <w:tab/>
        <w:t>10.3.3</w:t>
        <w:tab/>
        <w:t xml:space="preserve">If the participant does </w:t>
      </w:r>
      <w:r>
        <w:rPr>
          <w:i/>
          <w:iCs/>
        </w:rPr>
        <w:t>not</w:t>
      </w:r>
      <w:r>
        <w:rPr/>
        <w:t xml:space="preserve"> take a particular supplement at least once a week, you may simply leave the rest of the fields blank.  You do not need to fill in 00000.</w:t>
      </w:r>
    </w:p>
    <w:p>
      <w:pPr>
        <w:pStyle w:val="Number111"/>
        <w:rPr/>
      </w:pPr>
      <w:r>
        <w:rPr/>
      </w:r>
    </w:p>
    <w:p>
      <w:pPr>
        <w:pStyle w:val="Number111"/>
        <w:rPr/>
      </w:pPr>
      <w:r>
        <w:rPr/>
        <w:tab/>
        <w:t>10.3.4</w:t>
        <w:tab/>
      </w:r>
      <w:r>
        <w:rPr>
          <w:i/>
          <w:iCs/>
        </w:rPr>
        <w:t>Be sure that the units on the bottle are the same as the units printed on the form.</w:t>
      </w:r>
      <w:r>
        <w:rPr/>
        <w:t xml:space="preserve">  If the units are different, check with the DAC as to how to convert the units on the bottle to match those on the form. Make a photocopy of the bottle to refer to, if needed.</w:t>
      </w:r>
    </w:p>
    <w:p>
      <w:pPr>
        <w:pStyle w:val="Normal"/>
        <w:jc w:val="both"/>
        <w:rPr/>
      </w:pPr>
      <w:r>
        <w:rPr/>
      </w:r>
    </w:p>
    <w:p>
      <w:pPr>
        <w:pStyle w:val="Number111"/>
        <w:rPr/>
      </w:pPr>
      <w:r>
        <w:rPr/>
        <w:tab/>
        <w:t>10.3.5</w:t>
        <w:tab/>
        <w:t xml:space="preserve">If you have any question at all about recording of supplement information, we encourage you to contact us at the DAC for clarification. For the quickest response, email Beth Mayer-Davis at </w:t>
      </w:r>
      <w:r>
        <w:rPr>
          <w:i/>
          <w:iCs/>
        </w:rPr>
        <w:t>ejmayer@.sph.sc.edu</w:t>
      </w:r>
      <w:r>
        <w:rPr/>
        <w:t>.</w:t>
      </w:r>
    </w:p>
    <w:p>
      <w:pPr>
        <w:pStyle w:val="Normal"/>
        <w:rPr/>
      </w:pPr>
      <w:r>
        <w:rPr/>
      </w:r>
    </w:p>
    <w:p>
      <w:pPr>
        <w:pStyle w:val="Number1"/>
        <w:rPr/>
      </w:pPr>
      <w:r>
        <w:rPr/>
        <w:tab/>
        <w:t>11.</w:t>
        <w:tab/>
      </w:r>
      <w:r>
        <w:rPr>
          <w:u w:val="single"/>
        </w:rPr>
        <w:t>Instructions for Mailing Forms to the Diet Assessment Center</w:t>
      </w:r>
    </w:p>
    <w:p>
      <w:pPr>
        <w:pStyle w:val="TextBody"/>
        <w:tabs>
          <w:tab w:val="clear" w:pos="720"/>
          <w:tab w:val="left" w:pos="-720" w:leader="none"/>
          <w:tab w:val="left" w:pos="-16" w:leader="none"/>
          <w:tab w:val="left" w:pos="1423"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rPr>
          <w:b/>
          <w:b/>
          <w:u w:val="single"/>
        </w:rPr>
      </w:pPr>
      <w:r>
        <w:rPr>
          <w:b/>
          <w:u w:val="single"/>
        </w:rPr>
      </w:r>
    </w:p>
    <w:p>
      <w:pPr>
        <w:pStyle w:val="Number11"/>
        <w:rPr/>
      </w:pPr>
      <w:r>
        <w:rPr/>
        <w:tab/>
        <w:t>11.1</w:t>
        <w:tab/>
        <w:t>Data entry will be performed at the DAC using the computer-scanned forms used for data collection.</w:t>
      </w:r>
    </w:p>
    <w:p>
      <w:pPr>
        <w:pStyle w:val="Number11"/>
        <w:rPr/>
      </w:pPr>
      <w:r>
        <w:rPr/>
      </w:r>
    </w:p>
    <w:p>
      <w:pPr>
        <w:pStyle w:val="Number11"/>
        <w:rPr/>
      </w:pPr>
      <w:r>
        <w:rPr/>
        <w:tab/>
        <w:t>11.2</w:t>
        <w:tab/>
        <w:t xml:space="preserve">Forms should be sent to the DAC weekly until further notice. After enough forms have been received to ensure the quality of the data, the schedule for sending forms may change to bi-weekly.  </w:t>
      </w:r>
    </w:p>
    <w:p>
      <w:pPr>
        <w:pStyle w:val="Number11"/>
        <w:rPr/>
      </w:pPr>
      <w:r>
        <w:rPr/>
      </w:r>
    </w:p>
    <w:p>
      <w:pPr>
        <w:pStyle w:val="Number11"/>
        <w:rPr/>
      </w:pPr>
      <w:r>
        <w:rPr/>
        <w:tab/>
        <w:t>11.3</w:t>
        <w:tab/>
        <w:t>Before mailing forms, fax a log sheet (to be provided by the DAC) that specifies (by Participant ID) what forms and which sections (food, vitamin or both) are being sent. NOTE:  It is not necessary to hold onto one of the sections (food or vitamin) for a participant until the other section has been completed. You may send them separately.  The DAC will make sure that the two sections are put back together for each participant.</w:t>
      </w:r>
    </w:p>
    <w:p>
      <w:pPr>
        <w:pStyle w:val="TextBody"/>
        <w:tabs>
          <w:tab w:val="clear" w:pos="720"/>
          <w:tab w:val="left" w:pos="-720" w:leader="none"/>
          <w:tab w:val="left" w:pos="-16"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rPr/>
      </w:pPr>
      <w:r>
        <w:rPr/>
      </w:r>
    </w:p>
    <w:p>
      <w:pPr>
        <w:pStyle w:val="Number111"/>
        <w:rPr/>
      </w:pPr>
      <w:r>
        <w:rPr/>
        <w:tab/>
        <w:t>11.3.1</w:t>
        <w:tab/>
        <w:t>Fax the log sheet to K. C. Sparks at (803) 777-0944. Once the forms have been received, the DAC will fax the log sheet back to the clinic to verify that the forms have been received.</w:t>
      </w:r>
    </w:p>
    <w:p>
      <w:pPr>
        <w:pStyle w:val="Number11body"/>
        <w:rPr/>
      </w:pPr>
      <w:r>
        <w:rPr/>
      </w:r>
    </w:p>
    <w:p>
      <w:pPr>
        <w:pStyle w:val="Number111"/>
        <w:rPr/>
      </w:pPr>
      <w:r>
        <w:rPr/>
        <w:tab/>
        <w:t>11.3.2</w:t>
        <w:tab/>
        <w:t>Send the forms by Federal Express to the following address. It is very important for us to be able to track the forms with the FedEx tracking number.</w:t>
      </w:r>
    </w:p>
    <w:p>
      <w:pPr>
        <w:pStyle w:val="Number11"/>
        <w:rPr/>
      </w:pPr>
      <w:r>
        <w:rPr/>
      </w:r>
    </w:p>
    <w:p>
      <w:pPr>
        <w:pStyle w:val="Number111"/>
        <w:rPr/>
      </w:pPr>
      <w:r>
        <w:rPr/>
        <w:tab/>
        <w:tab/>
        <w:t>K. C. Sparks</w:t>
      </w:r>
    </w:p>
    <w:p>
      <w:pPr>
        <w:pStyle w:val="Number111"/>
        <w:rPr/>
      </w:pPr>
      <w:r>
        <w:rPr/>
        <w:tab/>
        <w:tab/>
        <w:t>University of South Carolina</w:t>
      </w:r>
    </w:p>
    <w:p>
      <w:pPr>
        <w:pStyle w:val="Number111"/>
        <w:rPr/>
      </w:pPr>
      <w:r>
        <w:rPr/>
        <w:tab/>
        <w:tab/>
        <w:t>School of Public Health</w:t>
      </w:r>
    </w:p>
    <w:p>
      <w:pPr>
        <w:pStyle w:val="Number111"/>
        <w:rPr/>
      </w:pPr>
      <w:r>
        <w:rPr/>
        <w:tab/>
        <w:tab/>
        <w:t>Department of Epidemiology and Biostatistics</w:t>
      </w:r>
    </w:p>
    <w:p>
      <w:pPr>
        <w:pStyle w:val="Number111"/>
        <w:rPr/>
      </w:pPr>
      <w:r>
        <w:rPr/>
        <w:tab/>
        <w:tab/>
        <w:t>800 Sumter Street</w:t>
      </w:r>
    </w:p>
    <w:p>
      <w:pPr>
        <w:pStyle w:val="Number111"/>
        <w:rPr/>
      </w:pPr>
      <w:r>
        <w:rPr/>
        <w:tab/>
        <w:tab/>
        <w:t>Columbia, SC  29208</w:t>
      </w:r>
    </w:p>
    <w:p>
      <w:pPr>
        <w:pStyle w:val="Number111"/>
        <w:rPr/>
      </w:pPr>
      <w:r>
        <w:rPr/>
      </w:r>
    </w:p>
    <w:p>
      <w:pPr>
        <w:pStyle w:val="Romanbold"/>
        <w:rPr/>
      </w:pPr>
      <w:r>
        <w:rPr/>
        <w:tab/>
        <w:t>III.</w:t>
        <w:tab/>
        <w:t>Notes on Statistial Analysis of dietary data</w:t>
      </w:r>
    </w:p>
    <w:p>
      <w:pPr>
        <w:pStyle w:val="Romanbold"/>
        <w:rPr/>
      </w:pPr>
      <w:r>
        <w:rPr/>
      </w:r>
    </w:p>
    <w:p>
      <w:pPr>
        <w:pStyle w:val="Number1"/>
        <w:rPr/>
      </w:pPr>
      <w:r>
        <w:rPr/>
        <w:tab/>
        <w:t>1.</w:t>
        <w:tab/>
      </w:r>
      <w:r>
        <w:rPr>
          <w:u w:val="single"/>
        </w:rPr>
        <w:t>Expected Error in Dietary Data: Bias vs. Precision</w:t>
      </w:r>
      <w:r>
        <w:rPr/>
        <w:t xml:space="preserve">.  </w:t>
      </w:r>
    </w:p>
    <w:p>
      <w:pPr>
        <w:pStyle w:val="Number1"/>
        <w:rPr/>
      </w:pPr>
      <w:r>
        <w:rPr/>
      </w:r>
    </w:p>
    <w:p>
      <w:pPr>
        <w:pStyle w:val="Number1"/>
        <w:rPr/>
      </w:pPr>
      <w:r>
        <w:rPr/>
        <w:tab/>
        <w:tab/>
        <w:t>It is important to note that the misclassification expected by form assessment of usual dietary intake is assumed to be non-differential—that is, imprecise but unbiased relative to other variables of interest. This will generally lead to underestimation of true associations. Although there is a growing body of literature dealing with ways to adjust estimates of association for this random misclassification, we will not have the necessary estimates of “true” intake (usually derived from multiple 24-hr recalls) required to make such adjustments.</w:t>
      </w:r>
    </w:p>
    <w:p>
      <w:pPr>
        <w:pStyle w:val="Number1"/>
        <w:rPr/>
      </w:pPr>
      <w:r>
        <w:rPr/>
      </w:r>
    </w:p>
    <w:p>
      <w:pPr>
        <w:pStyle w:val="Number1"/>
        <w:rPr/>
      </w:pPr>
      <w:r>
        <w:rPr/>
        <w:tab/>
        <w:tab/>
        <w:t>Even though error in estimation of dietary intake is expected to be non-differential, it has been shown that if a continuous variable (e.g,. grams of dietary fat) is categorized into, say, quintiles, estimates of association such as odds ratios with a referent to the lowest quintile could be biased (Flegal et al., 1991). Therefore, a decision to evaluate a categorized dietary variable that was collected as a continuous measure should be made with caution.</w:t>
      </w:r>
    </w:p>
    <w:p>
      <w:pPr>
        <w:pStyle w:val="Number1"/>
        <w:rPr/>
      </w:pPr>
      <w:r>
        <w:rPr/>
      </w:r>
    </w:p>
    <w:p>
      <w:pPr>
        <w:pStyle w:val="Number1"/>
        <w:rPr/>
      </w:pPr>
      <w:r>
        <w:rPr/>
        <w:tab/>
        <w:t xml:space="preserve">2.  </w:t>
        <w:tab/>
      </w:r>
      <w:r>
        <w:rPr>
          <w:u w:val="single"/>
        </w:rPr>
        <w:t>Consideration of Total Caloric Intake</w:t>
      </w:r>
      <w:r>
        <w:rPr/>
        <w:t>.</w:t>
      </w:r>
    </w:p>
    <w:p>
      <w:pPr>
        <w:pStyle w:val="Number1"/>
        <w:rPr/>
      </w:pPr>
      <w:r>
        <w:rPr/>
      </w:r>
    </w:p>
    <w:p>
      <w:pPr>
        <w:pStyle w:val="Number1"/>
        <w:rPr/>
      </w:pPr>
      <w:r>
        <w:rPr/>
        <w:tab/>
        <w:tab/>
        <w:t>Willett (1990) has summarized several ways to account for the close relation of macronutrient intake to caloric intake. Two common methods are use of energy-adjusted nutrients and use of grams of a nutrient. In both cases, total calories are also entered into the model. These models give identical results for the association of the nutrient with the outcome (Palmgran and Kushi, 1991); however, the interpretation of the estimate of association for total calories differs. More recently, it has been noted that, for some hypotheses, adjustment for total calories may not be as important as adjustment for kg of body weight or other variables. This may be particularly true in the case of nutritional supplements.</w:t>
      </w:r>
    </w:p>
    <w:p>
      <w:pPr>
        <w:pStyle w:val="Number1"/>
        <w:rPr/>
      </w:pPr>
      <w:r>
        <w:rPr/>
      </w:r>
    </w:p>
    <w:p>
      <w:pPr>
        <w:pStyle w:val="Number1"/>
        <w:rPr/>
      </w:pPr>
      <w:r>
        <w:rPr/>
        <w:tab/>
        <w:t xml:space="preserve">3.  </w:t>
        <w:tab/>
      </w:r>
      <w:r>
        <w:rPr>
          <w:u w:val="single"/>
        </w:rPr>
        <w:t>Colinearity Between Nutrients</w:t>
      </w:r>
      <w:r>
        <w:rPr/>
        <w:t xml:space="preserve">.  </w:t>
      </w:r>
    </w:p>
    <w:p>
      <w:pPr>
        <w:pStyle w:val="Number1"/>
        <w:rPr/>
      </w:pPr>
      <w:r>
        <w:rPr/>
      </w:r>
    </w:p>
    <w:p>
      <w:pPr>
        <w:sectPr>
          <w:headerReference w:type="even" r:id="rId92"/>
          <w:headerReference w:type="default" r:id="rId93"/>
          <w:footerReference w:type="even" r:id="rId94"/>
          <w:footerReference w:type="default" r:id="rId95"/>
          <w:type w:val="oddPage"/>
          <w:pgSz w:w="12240" w:h="15840"/>
          <w:pgMar w:left="2880" w:right="1080" w:gutter="0" w:header="720" w:top="1440" w:footer="720" w:bottom="1440"/>
          <w:pgNumType w:fmt="decimal"/>
          <w:formProt w:val="false"/>
          <w:textDirection w:val="lrTb"/>
          <w:docGrid w:type="default" w:linePitch="360" w:charSpace="0"/>
        </w:sectPr>
        <w:pStyle w:val="Number1"/>
        <w:rPr>
          <w:b/>
          <w:b/>
        </w:rPr>
      </w:pPr>
      <w:r>
        <w:rPr/>
        <w:tab/>
        <w:tab/>
        <w:t>Even after adjustment for total calories, some nutrients may be too highly correlated to be evaluated in a meaningful way when included simultaneously in a statistical model (e.g., palmitic and stearic acid).</w:t>
      </w:r>
    </w:p>
    <w:p>
      <w:pPr>
        <w:pStyle w:val="Subsub"/>
        <w:rPr>
          <w:b/>
          <w:b/>
        </w:rPr>
      </w:pPr>
      <w:r>
        <w:rPr>
          <w:b/>
        </w:rPr>
      </w:r>
    </w:p>
    <w:p>
      <w:pPr>
        <w:sectPr>
          <w:headerReference w:type="even" r:id="rId96"/>
          <w:headerReference w:type="default" r:id="rId97"/>
          <w:footerReference w:type="even" r:id="rId98"/>
          <w:footerReference w:type="default" r:id="rId99"/>
          <w:type w:val="oddPage"/>
          <w:pgSz w:w="12240" w:h="15840"/>
          <w:pgMar w:left="2880" w:right="1080" w:gutter="0" w:header="720" w:top="1440" w:footer="720" w:bottom="1440"/>
          <w:pgNumType w:fmt="decimal"/>
          <w:formProt w:val="false"/>
          <w:textDirection w:val="lrTb"/>
          <w:docGrid w:type="default" w:linePitch="360" w:charSpace="0"/>
        </w:sectPr>
        <w:pStyle w:val="Subsectionheading"/>
        <w:rPr/>
      </w:pPr>
      <w:bookmarkStart w:id="24" w:name="__RefHeading___Toc503858980"/>
      <w:bookmarkEnd w:id="24"/>
      <w:r>
        <w:rPr/>
        <w:t>3.5  Clinic Examinations</w:t>
      </w:r>
    </w:p>
    <w:p>
      <w:pPr>
        <w:pStyle w:val="Subsub"/>
        <w:rPr/>
      </w:pPr>
      <w:bookmarkStart w:id="25" w:name="__RefHeading___Toc503858981"/>
      <w:bookmarkEnd w:id="25"/>
      <w:r>
        <w:rPr/>
        <w:t>3.5.1  Anthropometry</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jc w:val="center"/>
        <w:rPr>
          <w:b/>
          <w:b/>
          <w:sz w:val="36"/>
          <w:u w:val="single"/>
        </w:rPr>
      </w:pPr>
      <w:r>
        <w:rPr>
          <w:b/>
          <w:sz w:val="36"/>
          <w:u w:val="single"/>
        </w:rPr>
      </w:r>
    </w:p>
    <w:p>
      <w:pPr>
        <w:pStyle w:val="Romanbold"/>
        <w:rPr/>
      </w:pPr>
      <w:r>
        <w:rPr/>
        <w:tab/>
        <w:t>I.</w:t>
        <w:tab/>
        <w:t>Purpose</w:t>
      </w:r>
    </w:p>
    <w:p>
      <w:pPr>
        <w:pStyle w:val="Romanbold"/>
        <w:rPr/>
      </w:pPr>
      <w:r>
        <w:rPr/>
      </w:r>
    </w:p>
    <w:p>
      <w:pPr>
        <w:pStyle w:val="Romanbold"/>
        <w:rPr/>
      </w:pPr>
      <w:r>
        <w:rPr/>
        <w:tab/>
        <w:t>II.</w:t>
        <w:tab/>
        <w:t>Materials and equipment</w:t>
      </w:r>
    </w:p>
    <w:p>
      <w:pPr>
        <w:pStyle w:val="Romanbold"/>
        <w:rPr/>
      </w:pPr>
      <w:r>
        <w:rPr/>
      </w:r>
    </w:p>
    <w:p>
      <w:pPr>
        <w:pStyle w:val="Romanbodybullet"/>
        <w:rPr/>
      </w:pPr>
      <w:r>
        <w:rPr>
          <w:rFonts w:eastAsia="Symbol" w:cs="Symbol" w:ascii="Symbol" w:hAnsi="Symbol"/>
        </w:rPr>
        <w:t></w:t>
      </w:r>
      <w:r>
        <w:rPr/>
        <w:tab/>
        <w:t>Stadiometer (Accu-Hite Measure Device with level bubble)</w:t>
      </w:r>
    </w:p>
    <w:p>
      <w:pPr>
        <w:pStyle w:val="Romanbodybullet"/>
        <w:tabs>
          <w:tab w:val="clear" w:pos="720"/>
          <w:tab w:val="left" w:pos="810" w:leader="none"/>
        </w:tabs>
        <w:rPr/>
      </w:pPr>
      <w:r>
        <w:rPr>
          <w:rFonts w:eastAsia="Symbol" w:cs="Symbol" w:ascii="Symbol" w:hAnsi="Symbol"/>
        </w:rPr>
        <w:t></w:t>
      </w:r>
      <w:r>
        <w:rPr/>
        <w:tab/>
        <w:t>Detecto Platform Balance Scale in lbs/kg</w:t>
      </w:r>
    </w:p>
    <w:p>
      <w:pPr>
        <w:pStyle w:val="Number11bodybullet"/>
        <w:ind w:left="810" w:hanging="270"/>
        <w:rPr/>
      </w:pPr>
      <w:r>
        <w:rPr>
          <w:rFonts w:eastAsia="Symbol" w:cs="Symbol" w:ascii="Symbol" w:hAnsi="Symbol"/>
        </w:rPr>
        <w:t></w:t>
      </w:r>
      <w:r>
        <w:rPr/>
        <w:tab/>
        <w:t xml:space="preserve">Gulick II 150 cm anthropometric tape </w:t>
      </w:r>
    </w:p>
    <w:p>
      <w:pPr>
        <w:pStyle w:val="Romanbodybullet"/>
        <w:rPr/>
      </w:pPr>
      <w:r>
        <w:rPr>
          <w:rFonts w:eastAsia="Symbol" w:cs="Symbol" w:ascii="Symbol" w:hAnsi="Symbol"/>
        </w:rPr>
        <w:t></w:t>
      </w:r>
      <w:r>
        <w:rPr/>
        <w:tab/>
        <w:t>Full length mirror</w:t>
      </w:r>
    </w:p>
    <w:p>
      <w:pPr>
        <w:pStyle w:val="Romanbodybullet"/>
        <w:rPr/>
      </w:pPr>
      <w:r>
        <w:rPr>
          <w:rFonts w:eastAsia="Symbol" w:cs="Symbol" w:ascii="Symbol" w:hAnsi="Symbol"/>
        </w:rPr>
        <w:t></w:t>
      </w:r>
      <w:r>
        <w:rPr/>
        <w:tab/>
        <w:t>Four 50-pound weights (certified prior to first MESA visit) to calibrate scale</w:t>
      </w:r>
    </w:p>
    <w:p>
      <w:pPr>
        <w:pStyle w:val="Romanbold"/>
        <w:rPr/>
      </w:pPr>
      <w:r>
        <w:rPr/>
      </w:r>
    </w:p>
    <w:p>
      <w:pPr>
        <w:pStyle w:val="Romanbold"/>
        <w:rPr/>
      </w:pPr>
      <w:r>
        <w:rPr/>
        <w:tab/>
        <w:t>III.</w:t>
        <w:tab/>
        <w:t>Definitions</w:t>
      </w:r>
    </w:p>
    <w:p>
      <w:pPr>
        <w:pStyle w:val="Romanbold"/>
        <w:rPr/>
      </w:pPr>
      <w:r>
        <w:rPr/>
      </w:r>
    </w:p>
    <w:p>
      <w:pPr>
        <w:pStyle w:val="Romanbold"/>
        <w:rPr/>
      </w:pPr>
      <w:r>
        <w:rPr/>
        <w:tab/>
        <w:t>IV.</w:t>
        <w:tab/>
        <w:t>methods</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sz w:val="22"/>
        </w:rPr>
      </w:pPr>
      <w:r>
        <w:rPr>
          <w:sz w:val="22"/>
        </w:rPr>
      </w:r>
    </w:p>
    <w:p>
      <w:pPr>
        <w:pStyle w:val="Number1"/>
        <w:rPr/>
      </w:pPr>
      <w:r>
        <w:rPr/>
        <w:tab/>
        <w:t>1.</w:t>
        <w:tab/>
      </w:r>
      <w:r>
        <w:rPr>
          <w:u w:val="single"/>
        </w:rPr>
        <w:t>General Instructions for Body Size Measurements</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sz w:val="22"/>
        </w:rPr>
      </w:pPr>
      <w:r>
        <w:rPr>
          <w:sz w:val="22"/>
        </w:rPr>
      </w:r>
    </w:p>
    <w:p>
      <w:pPr>
        <w:pStyle w:val="Number11"/>
        <w:rPr/>
      </w:pPr>
      <w:r>
        <w:rPr/>
        <w:tab/>
        <w:t>1.1</w:t>
        <w:tab/>
        <w:t>For all measurements, participants should wear light clothing but no shoes (thin socks or “pillow slippers” OK). Keep a supply of surgical scrubs at the clinical center for participants who forget to wear or bring the appropriate clothes. Have participants completely empty their pockets and remove excessive amounts of jewelry that could affect the weight measurement. Provide lockers with locks for valuables.</w:t>
      </w:r>
    </w:p>
    <w:p>
      <w:pPr>
        <w:pStyle w:val="Number11"/>
        <w:rPr/>
      </w:pPr>
      <w:r>
        <w:rPr/>
      </w:r>
    </w:p>
    <w:p>
      <w:pPr>
        <w:pStyle w:val="Number11"/>
        <w:rPr/>
      </w:pPr>
      <w:r>
        <w:rPr/>
        <w:tab/>
        <w:t>1.2</w:t>
        <w:tab/>
        <w:t>Pregnant women should not be measured, regardless of gestational stage (check exclusion criteria for pregnancy). The Clinic Coordinator should ascertain pregnancy status, both for measurements and for subsequent coronary calcification measurement.</w:t>
      </w:r>
    </w:p>
    <w:p>
      <w:pPr>
        <w:pStyle w:val="Number11"/>
        <w:rPr/>
      </w:pPr>
      <w:r>
        <w:rPr/>
      </w:r>
    </w:p>
    <w:p>
      <w:pPr>
        <w:pStyle w:val="Number11"/>
        <w:rPr/>
      </w:pPr>
      <w:r>
        <w:rPr/>
        <w:tab/>
        <w:t>1.3</w:t>
        <w:tab/>
        <w:t>Take a single measurement at each body site and record using specific rounding rules. Record any modifications in measurement techniques (e.g., height decreased from a hunched posture or weight that exceeds the capacity of the scale) on the Anthropometry Form.</w:t>
      </w:r>
    </w:p>
    <w:p>
      <w:pPr>
        <w:pStyle w:val="Normal"/>
        <w:rPr/>
      </w:pPr>
      <w:r>
        <w:rPr/>
      </w:r>
    </w:p>
    <w:p>
      <w:pPr>
        <w:pStyle w:val="Number1"/>
        <w:rPr/>
      </w:pPr>
      <w:r>
        <w:rPr/>
        <w:tab/>
        <w:t>2.</w:t>
        <w:tab/>
      </w:r>
      <w:r>
        <w:rPr>
          <w:u w:val="single"/>
        </w:rPr>
        <w:t>Standing Body Height</w:t>
      </w:r>
    </w:p>
    <w:p>
      <w:pPr>
        <w:pStyle w:val="Normal"/>
        <w:rPr/>
      </w:pPr>
      <w:r>
        <w:rPr/>
      </w:r>
    </w:p>
    <w:p>
      <w:pPr>
        <w:pStyle w:val="Number11"/>
        <w:rPr/>
      </w:pPr>
      <w:r>
        <w:rPr/>
        <w:tab/>
        <w:t>2.1</w:t>
        <w:tab/>
        <w:t>Equipment</w:t>
      </w:r>
    </w:p>
    <w:p>
      <w:pPr>
        <w:pStyle w:val="Number11"/>
        <w:rPr/>
      </w:pPr>
      <w:r>
        <w:rPr/>
      </w:r>
    </w:p>
    <w:p>
      <w:pPr>
        <w:pStyle w:val="Number11bodybullet"/>
        <w:rPr/>
      </w:pPr>
      <w:r>
        <w:rPr/>
        <w:tab/>
      </w:r>
      <w:r>
        <w:rPr>
          <w:rFonts w:eastAsia="Symbol" w:cs="Symbol" w:ascii="Symbol" w:hAnsi="Symbol"/>
        </w:rPr>
        <w:t></w:t>
      </w:r>
      <w:r>
        <w:rPr/>
        <w:tab/>
        <w:t>Stadiometer (Accu-Hite Measure Device with level bubble)</w:t>
      </w:r>
    </w:p>
    <w:p>
      <w:pPr>
        <w:pStyle w:val="Number11"/>
        <w:rPr/>
      </w:pPr>
      <w:r>
        <w:rPr/>
      </w:r>
    </w:p>
    <w:p>
      <w:pPr>
        <w:pStyle w:val="Number11"/>
        <w:rPr/>
      </w:pPr>
      <w:r>
        <w:rPr/>
        <w:tab/>
        <w:t>2.2</w:t>
        <w:tab/>
        <w:t>Before measuring height, check to make sure the floor is level, the wall is at a 90 degree angle to the floor, the wall is straight, and the Stadiometer is mounted perpendicular to the floor.</w:t>
      </w:r>
    </w:p>
    <w:p>
      <w:pPr>
        <w:pStyle w:val="Number11"/>
        <w:rPr/>
      </w:pPr>
      <w:r>
        <w:rPr/>
        <w:t xml:space="preserve"> </w:t>
      </w:r>
    </w:p>
    <w:p>
      <w:pPr>
        <w:pStyle w:val="Number11"/>
        <w:rPr/>
      </w:pPr>
      <w:r>
        <w:rPr/>
        <w:tab/>
        <w:t>2.3</w:t>
        <w:tab/>
        <w:t xml:space="preserve">For accurate measurement of height, the participant must be standing in a vertical plane. To achieve this position, have the participant stand erect on the floor or horizontal platform, with back against the vertical Stadiometer, heels against the wall, and feet </w:t>
      </w:r>
      <w:r>
        <w:rPr>
          <w:i/>
          <w:iCs/>
        </w:rPr>
        <w:t>or</w:t>
      </w:r>
      <w:r>
        <w:rPr/>
        <w:t xml:space="preserve"> knees together—whichever come together first. Have the participant look straight ahead, with head in the Frankfort horizontal plane (Figure 1, below).</w:t>
      </w:r>
      <w:r>
        <w:rPr>
          <w:sz w:val="20"/>
          <w:lang w:val="en-US" w:eastAsia="en-US"/>
        </w:rPr>
        <w:t xml:space="preserve"> </w:t>
      </w:r>
    </w:p>
    <w:p>
      <w:pPr>
        <w:pStyle w:val="Normal"/>
        <w:rPr/>
      </w:pPr>
      <w:r>
        <w:rPr/>
        <w:drawing>
          <wp:anchor behindDoc="0" distT="0" distB="0" distL="114935" distR="114935" simplePos="0" locked="0" layoutInCell="0" allowOverlap="1" relativeHeight="17">
            <wp:simplePos x="0" y="0"/>
            <wp:positionH relativeFrom="column">
              <wp:posOffset>737235</wp:posOffset>
            </wp:positionH>
            <wp:positionV relativeFrom="paragraph">
              <wp:posOffset>342265</wp:posOffset>
            </wp:positionV>
            <wp:extent cx="2581275" cy="2314575"/>
            <wp:effectExtent l="0" t="0" r="0" b="0"/>
            <wp:wrapTopAndBottom/>
            <wp:docPr id="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pic:cNvPicPr>
                      <a:picLocks noChangeAspect="1" noChangeArrowheads="1"/>
                    </pic:cNvPicPr>
                  </pic:nvPicPr>
                  <pic:blipFill>
                    <a:blip r:embed="rId100"/>
                    <a:srcRect l="-14" t="-16" r="-14" b="-16"/>
                    <a:stretch>
                      <a:fillRect/>
                    </a:stretch>
                  </pic:blipFill>
                  <pic:spPr bwMode="auto">
                    <a:xfrm>
                      <a:off x="0" y="0"/>
                      <a:ext cx="2581275" cy="2314575"/>
                    </a:xfrm>
                    <a:prstGeom prst="rect">
                      <a:avLst/>
                    </a:prstGeom>
                  </pic:spPr>
                </pic:pic>
              </a:graphicData>
            </a:graphic>
          </wp:anchor>
        </w:drawing>
        <w:t xml:space="preserve"> </w:t>
      </w:r>
      <w:r>
        <mc:AlternateContent>
          <mc:Choice Requires="wps">
            <w:drawing>
              <wp:anchor behindDoc="0" distT="0" distB="0" distL="114935" distR="114935" simplePos="0" locked="0" layoutInCell="0" allowOverlap="1" relativeHeight="18">
                <wp:simplePos x="0" y="0"/>
                <wp:positionH relativeFrom="column">
                  <wp:posOffset>508635</wp:posOffset>
                </wp:positionH>
                <wp:positionV relativeFrom="paragraph">
                  <wp:posOffset>-4076065</wp:posOffset>
                </wp:positionV>
                <wp:extent cx="2857500" cy="228600"/>
                <wp:effectExtent l="0" t="0" r="0" b="0"/>
                <wp:wrapNone/>
                <wp:docPr id="16" name="Frame6"/>
                <a:graphic xmlns:a="http://schemas.openxmlformats.org/drawingml/2006/main">
                  <a:graphicData uri="http://schemas.microsoft.com/office/word/2010/wordprocessingShape">
                    <wps:wsp>
                      <wps:cNvSpPr txBox="1"/>
                      <wps:spPr>
                        <a:xfrm>
                          <a:off x="0" y="0"/>
                          <a:ext cx="2857500" cy="228600"/>
                        </a:xfrm>
                        <a:prstGeom prst="rect"/>
                        <a:solidFill>
                          <a:srgbClr val="FFFFFF"/>
                        </a:solidFill>
                      </wps:spPr>
                      <wps:txbx>
                        <w:txbxContent>
                          <w:p>
                            <w:pPr>
                              <w:pStyle w:val="Normal"/>
                              <w:rPr/>
                            </w:pPr>
                            <w:r>
                              <w:rPr>
                                <w:rFonts w:cs="Arial;Arial" w:ascii="Arial;Arial" w:hAnsi="Arial;Arial"/>
                                <w:b/>
                                <w:bCs/>
                                <w:sz w:val="18"/>
                              </w:rPr>
                              <w:t>Figure 1.</w:t>
                            </w:r>
                            <w:r>
                              <w:rPr>
                                <w:rFonts w:cs="Arial;Arial" w:ascii="Arial;Arial" w:hAnsi="Arial;Arial"/>
                                <w:sz w:val="18"/>
                              </w:rPr>
                              <w:t xml:space="preserve"> Frankfurt Plane for Measuring Body Height</w:t>
                            </w:r>
                          </w:p>
                        </w:txbxContent>
                      </wps:txbx>
                      <wps:bodyPr anchor="t" lIns="92075" tIns="46355" rIns="92075" bIns="46355">
                        <a:noAutofit/>
                      </wps:bodyPr>
                    </wps:wsp>
                  </a:graphicData>
                </a:graphic>
              </wp:anchor>
            </w:drawing>
          </mc:Choice>
          <mc:Fallback>
            <w:pict>
              <v:rect fillcolor="#FFFFFF" style="position:absolute;rotation:-0;width:225pt;height:18pt;mso-wrap-distance-left:9.05pt;mso-wrap-distance-right:9.05pt;mso-wrap-distance-top:0pt;mso-wrap-distance-bottom:0pt;margin-top:-320.95pt;mso-position-vertical-relative:text;margin-left:40.05pt;mso-position-horizontal-relative:text">
                <v:textbox inset="0.100694444444444in,0.0506944444444444in,0.100694444444444in,0.0506944444444444in">
                  <w:txbxContent>
                    <w:p>
                      <w:pPr>
                        <w:pStyle w:val="Normal"/>
                        <w:rPr/>
                      </w:pPr>
                      <w:r>
                        <w:rPr>
                          <w:rFonts w:cs="Arial;Arial" w:ascii="Arial;Arial" w:hAnsi="Arial;Arial"/>
                          <w:b/>
                          <w:bCs/>
                          <w:sz w:val="18"/>
                        </w:rPr>
                        <w:t>Figure 1.</w:t>
                      </w:r>
                      <w:r>
                        <w:rPr>
                          <w:rFonts w:cs="Arial;Arial" w:ascii="Arial;Arial" w:hAnsi="Arial;Arial"/>
                          <w:sz w:val="18"/>
                        </w:rPr>
                        <w:t xml:space="preserve"> Frankfurt Plane for Measuring Body Height</w:t>
                      </w:r>
                    </w:p>
                  </w:txbxContent>
                </v:textbox>
                <w10:wrap type="none"/>
              </v:rect>
            </w:pict>
          </mc:Fallback>
        </mc:AlternateContent>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16">
                <wp:simplePos x="0" y="0"/>
                <wp:positionH relativeFrom="column">
                  <wp:posOffset>3366135</wp:posOffset>
                </wp:positionH>
                <wp:positionV relativeFrom="paragraph">
                  <wp:posOffset>524510</wp:posOffset>
                </wp:positionV>
                <wp:extent cx="2171700" cy="2057400"/>
                <wp:effectExtent l="0" t="0" r="0" b="0"/>
                <wp:wrapNone/>
                <wp:docPr id="17" name="Frame7"/>
                <a:graphic xmlns:a="http://schemas.openxmlformats.org/drawingml/2006/main">
                  <a:graphicData uri="http://schemas.microsoft.com/office/word/2010/wordprocessingShape">
                    <wps:wsp>
                      <wps:cNvSpPr txBox="1"/>
                      <wps:spPr>
                        <a:xfrm>
                          <a:off x="0" y="0"/>
                          <a:ext cx="2171700" cy="2057400"/>
                        </a:xfrm>
                        <a:prstGeom prst="rect"/>
                        <a:solidFill>
                          <a:srgbClr val="FFFFFF"/>
                        </a:solidFill>
                      </wps:spPr>
                      <wps:txbx>
                        <w:txbxContent>
                          <w:p>
                            <w:pPr>
                              <w:pStyle w:val="Normal"/>
                              <w:rPr>
                                <w:rFonts w:ascii="Arial;Arial" w:hAnsi="Arial;Arial" w:cs="Arial;Arial"/>
                                <w:sz w:val="22"/>
                              </w:rPr>
                            </w:pPr>
                            <w:r>
                              <w:rPr>
                                <w:rFonts w:cs="Arial;Arial" w:ascii="Arial;Arial" w:hAnsi="Arial;Arial"/>
                                <w:sz w:val="22"/>
                              </w:rPr>
                              <w:t xml:space="preserve">The Frankfort Plane includes the lower margin of the bony orbit (the bony socket containing the eye) and the most forward point in the supratragal notch (the notch just above the anterior cartilaginous projections of the external ear)—also referred to as the upper margin of the external auditory meatus (the hole in the ear).  </w:t>
                            </w:r>
                          </w:p>
                        </w:txbxContent>
                      </wps:txbx>
                      <wps:bodyPr anchor="t" lIns="92075" tIns="46355" rIns="92075" bIns="46355">
                        <a:noAutofit/>
                      </wps:bodyPr>
                    </wps:wsp>
                  </a:graphicData>
                </a:graphic>
              </wp:anchor>
            </w:drawing>
          </mc:Choice>
          <mc:Fallback>
            <w:pict>
              <v:rect fillcolor="#FFFFFF" style="position:absolute;rotation:-0;width:171pt;height:162pt;mso-wrap-distance-left:9.05pt;mso-wrap-distance-right:9.05pt;mso-wrap-distance-top:0pt;mso-wrap-distance-bottom:0pt;margin-top:41.3pt;mso-position-vertical-relative:text;margin-left:265.05pt;mso-position-horizontal-relative:text">
                <v:textbox inset="0.100694444444444in,0.0506944444444444in,0.100694444444444in,0.0506944444444444in">
                  <w:txbxContent>
                    <w:p>
                      <w:pPr>
                        <w:pStyle w:val="Normal"/>
                        <w:rPr>
                          <w:rFonts w:ascii="Arial;Arial" w:hAnsi="Arial;Arial" w:cs="Arial;Arial"/>
                          <w:sz w:val="22"/>
                        </w:rPr>
                      </w:pPr>
                      <w:r>
                        <w:rPr>
                          <w:rFonts w:cs="Arial;Arial" w:ascii="Arial;Arial" w:hAnsi="Arial;Arial"/>
                          <w:sz w:val="22"/>
                        </w:rPr>
                        <w:t xml:space="preserve">The Frankfort Plane includes the lower margin of the bony orbit (the bony socket containing the eye) and the most forward point in the supratragal notch (the notch just above the anterior cartilaginous projections of the external ear)—also referred to as the upper margin of the external auditory meatus (the hole in the ear).  </w:t>
                      </w:r>
                    </w:p>
                  </w:txbxContent>
                </v:textbox>
                <w10:wrap type="none"/>
              </v:rect>
            </w:pict>
          </mc:Fallback>
        </mc:AlternateContent>
      </w:r>
    </w:p>
    <w:p>
      <w:pPr>
        <w:pStyle w:val="Normal"/>
        <w:rPr/>
      </w:pPr>
      <w:r>
        <w:rPr/>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19">
                <wp:simplePos x="0" y="0"/>
                <wp:positionH relativeFrom="column">
                  <wp:posOffset>1651635</wp:posOffset>
                </wp:positionH>
                <wp:positionV relativeFrom="paragraph">
                  <wp:posOffset>153670</wp:posOffset>
                </wp:positionV>
                <wp:extent cx="2971800" cy="228600"/>
                <wp:effectExtent l="0" t="0" r="0" b="0"/>
                <wp:wrapNone/>
                <wp:docPr id="18" name="Frame8"/>
                <a:graphic xmlns:a="http://schemas.openxmlformats.org/drawingml/2006/main">
                  <a:graphicData uri="http://schemas.microsoft.com/office/word/2010/wordprocessingShape">
                    <wps:wsp>
                      <wps:cNvSpPr txBox="1"/>
                      <wps:spPr>
                        <a:xfrm>
                          <a:off x="0" y="0"/>
                          <a:ext cx="2971800" cy="228600"/>
                        </a:xfrm>
                        <a:prstGeom prst="rect"/>
                        <a:solidFill>
                          <a:srgbClr val="FFFFFF"/>
                        </a:solidFill>
                      </wps:spPr>
                      <wps:txbx>
                        <w:txbxContent>
                          <w:p>
                            <w:pPr>
                              <w:pStyle w:val="Normal"/>
                              <w:ind w:left="900" w:hanging="900"/>
                              <w:rPr/>
                            </w:pPr>
                            <w:r>
                              <w:rPr>
                                <w:rFonts w:cs="Arial;Arial" w:ascii="Arial;Arial" w:hAnsi="Arial;Arial"/>
                                <w:b/>
                                <w:bCs/>
                                <w:sz w:val="18"/>
                              </w:rPr>
                              <w:t>Figure 1.</w:t>
                            </w:r>
                            <w:r>
                              <w:rPr>
                                <w:rFonts w:cs="Arial;Arial" w:ascii="Arial;Arial" w:hAnsi="Arial;Arial"/>
                                <w:sz w:val="18"/>
                              </w:rPr>
                              <w:t xml:space="preserve"> </w:t>
                              <w:tab/>
                              <w:t>Frankfort Plane for Measuring Body Height</w:t>
                            </w:r>
                          </w:p>
                        </w:txbxContent>
                      </wps:txbx>
                      <wps:bodyPr anchor="t" lIns="92075" tIns="46355" rIns="92075" bIns="46355">
                        <a:noAutofit/>
                      </wps:bodyPr>
                    </wps:wsp>
                  </a:graphicData>
                </a:graphic>
              </wp:anchor>
            </w:drawing>
          </mc:Choice>
          <mc:Fallback>
            <w:pict>
              <v:rect fillcolor="#FFFFFF" style="position:absolute;rotation:-0;width:234pt;height:18pt;mso-wrap-distance-left:9.05pt;mso-wrap-distance-right:9.05pt;mso-wrap-distance-top:0pt;mso-wrap-distance-bottom:0pt;margin-top:12.1pt;mso-position-vertical-relative:text;margin-left:130.05pt;mso-position-horizontal-relative:text">
                <v:textbox inset="0.100694444444444in,0.0506944444444444in,0.100694444444444in,0.0506944444444444in">
                  <w:txbxContent>
                    <w:p>
                      <w:pPr>
                        <w:pStyle w:val="Normal"/>
                        <w:ind w:left="900" w:hanging="900"/>
                        <w:rPr/>
                      </w:pPr>
                      <w:r>
                        <w:rPr>
                          <w:rFonts w:cs="Arial;Arial" w:ascii="Arial;Arial" w:hAnsi="Arial;Arial"/>
                          <w:b/>
                          <w:bCs/>
                          <w:sz w:val="18"/>
                        </w:rPr>
                        <w:t>Figure 1.</w:t>
                      </w:r>
                      <w:r>
                        <w:rPr>
                          <w:rFonts w:cs="Arial;Arial" w:ascii="Arial;Arial" w:hAnsi="Arial;Arial"/>
                          <w:sz w:val="18"/>
                        </w:rPr>
                        <w:t xml:space="preserve"> </w:t>
                        <w:tab/>
                        <w:t>Frankfort Plane for Measuring Body Height</w:t>
                      </w:r>
                    </w:p>
                  </w:txbxContent>
                </v:textbox>
                <w10:wrap type="none"/>
              </v:rect>
            </w:pict>
          </mc:Fallback>
        </mc:AlternateContent>
      </w:r>
    </w:p>
    <w:p>
      <w:pPr>
        <w:pStyle w:val="Normal"/>
        <w:rPr/>
      </w:pPr>
      <w:r>
        <w:rPr/>
      </w:r>
    </w:p>
    <w:p>
      <w:pPr>
        <w:pStyle w:val="Normal"/>
        <w:rPr/>
      </w:pPr>
      <w:r>
        <w:rPr/>
      </w:r>
    </w:p>
    <w:p>
      <w:pPr>
        <w:pStyle w:val="Contents1"/>
        <w:rPr/>
      </w:pPr>
      <w:r>
        <w:rPr/>
        <w:tab/>
      </w:r>
    </w:p>
    <w:p>
      <w:pPr>
        <w:pStyle w:val="Number11"/>
        <w:rPr/>
      </w:pPr>
      <w:r>
        <w:rPr/>
        <w:tab/>
        <w:t>2.4</w:t>
        <w:tab/>
        <w:t xml:space="preserve">Place the headboard over the crown of the head, with the headboard forming a right angle to the scale. The headboard should touch the scalp lightly. </w:t>
      </w:r>
    </w:p>
    <w:p>
      <w:pPr>
        <w:pStyle w:val="Number11"/>
        <w:rPr/>
      </w:pPr>
      <w:r>
        <w:rPr/>
      </w:r>
    </w:p>
    <w:p>
      <w:pPr>
        <w:pStyle w:val="Number11"/>
        <w:rPr/>
      </w:pPr>
      <w:r>
        <w:rPr/>
        <w:tab/>
        <w:t>2.5</w:t>
        <w:tab/>
        <w:t xml:space="preserve">Ask the participant to step out from under the headboard. </w:t>
      </w:r>
      <w:r>
        <w:rPr>
          <w:i/>
          <w:iCs/>
        </w:rPr>
        <w:t>Record the participant’s height to the nearest 0.1 centimeter in Box 1a of the Anthropometry Form.</w:t>
      </w:r>
    </w:p>
    <w:p>
      <w:pPr>
        <w:pStyle w:val="Number11"/>
        <w:rPr>
          <w:i/>
          <w:i/>
          <w:iCs/>
        </w:rPr>
      </w:pPr>
      <w:r>
        <w:rPr>
          <w:i/>
          <w:iCs/>
        </w:rPr>
      </w:r>
    </w:p>
    <w:p>
      <w:pPr>
        <w:pStyle w:val="Number11"/>
        <w:rPr/>
      </w:pPr>
      <w:r>
        <w:rPr/>
        <w:tab/>
        <w:t>2.6</w:t>
        <w:tab/>
        <w:t xml:space="preserve">If you are unable to measure the actual height of the participant because the headboard does not rest directly over the scalp, </w:t>
      </w:r>
      <w:r>
        <w:rPr>
          <w:i/>
          <w:iCs/>
        </w:rPr>
        <w:t>estimate height to the nearest 0.1 cm, record in Box 1a of the Anthropometry Form and  answer “yes” to the question, “Was there a modification in protocol?”</w:t>
      </w:r>
    </w:p>
    <w:p>
      <w:pPr>
        <w:pStyle w:val="Number11"/>
        <w:rPr/>
      </w:pPr>
      <w:r>
        <w:rPr/>
        <w:tab/>
      </w:r>
    </w:p>
    <w:p>
      <w:pPr>
        <w:pStyle w:val="Number1"/>
        <w:rPr/>
      </w:pPr>
      <w:r>
        <w:rPr/>
        <w:tab/>
        <w:t>3.</w:t>
        <w:tab/>
      </w:r>
      <w:r>
        <w:rPr>
          <w:u w:val="single"/>
        </w:rPr>
        <w:t>Body Weight</w:t>
      </w:r>
    </w:p>
    <w:p>
      <w:pPr>
        <w:pStyle w:val="Normal"/>
        <w:rPr/>
      </w:pPr>
      <w:r>
        <w:rPr/>
      </w:r>
    </w:p>
    <w:p>
      <w:pPr>
        <w:pStyle w:val="Number11"/>
        <w:rPr/>
      </w:pPr>
      <w:r>
        <w:rPr/>
        <w:tab/>
        <w:t>3.1</w:t>
        <w:tab/>
        <w:t>Equipment</w:t>
      </w:r>
    </w:p>
    <w:p>
      <w:pPr>
        <w:pStyle w:val="Number11"/>
        <w:rPr/>
      </w:pPr>
      <w:r>
        <w:rPr/>
      </w:r>
    </w:p>
    <w:p>
      <w:pPr>
        <w:pStyle w:val="Number11bodybullet"/>
        <w:rPr/>
      </w:pPr>
      <w:r>
        <w:rPr/>
        <w:tab/>
      </w:r>
      <w:r>
        <w:rPr>
          <w:rFonts w:eastAsia="Symbol" w:cs="Symbol" w:ascii="Symbol" w:hAnsi="Symbol"/>
        </w:rPr>
        <w:t></w:t>
      </w:r>
      <w:r>
        <w:rPr/>
        <w:tab/>
        <w:t>Detecto Platform Balance Scale in lbs/kg</w:t>
      </w:r>
    </w:p>
    <w:p>
      <w:pPr>
        <w:pStyle w:val="Number11bodybullet"/>
        <w:rPr/>
      </w:pPr>
      <w:r>
        <w:rPr/>
      </w:r>
    </w:p>
    <w:p>
      <w:pPr>
        <w:pStyle w:val="Number11"/>
        <w:rPr/>
      </w:pPr>
      <w:r>
        <w:rPr/>
        <w:tab/>
        <w:t>3.2</w:t>
        <w:tab/>
        <w:t xml:space="preserve">Balance the scale so that the indicator is at zero when no weight is on the scale. The scale should be on a firm, level surface (not on a carpet, for example). Instruct the participant to stand in the middle of the platform of the balance scale, with head erect and eyes looking straight ahead. Adjust the weight on the indicator until it is balanced. </w:t>
      </w:r>
      <w:r>
        <w:rPr>
          <w:i/>
          <w:iCs/>
        </w:rPr>
        <w:t>Record the results, to the nearest pound, in Box 2a on the Anthropometry Form.</w:t>
      </w:r>
    </w:p>
    <w:p>
      <w:pPr>
        <w:pStyle w:val="Number11"/>
        <w:rPr/>
      </w:pPr>
      <w:r>
        <w:rPr/>
      </w:r>
    </w:p>
    <w:p>
      <w:pPr>
        <w:pStyle w:val="Number11"/>
        <w:rPr/>
      </w:pPr>
      <w:r>
        <w:rPr/>
        <w:tab/>
        <w:t>3.3</w:t>
        <w:tab/>
        <w:t>If the participant is too obese to stand securely on the scale’s platform when looking straight ahead, he/she may stand sideways on the scale to take the weight measurement; facing to the side rather than the front will provide the participant a wider base and more stability.</w:t>
      </w:r>
    </w:p>
    <w:p>
      <w:pPr>
        <w:pStyle w:val="Number11"/>
        <w:rPr>
          <w:i/>
          <w:i/>
          <w:iCs/>
        </w:rPr>
      </w:pPr>
      <w:r>
        <w:rPr>
          <w:i/>
          <w:iCs/>
        </w:rPr>
        <w:t xml:space="preserve"> </w:t>
      </w:r>
    </w:p>
    <w:p>
      <w:pPr>
        <w:pStyle w:val="Number11"/>
        <w:rPr/>
      </w:pPr>
      <w:r>
        <w:rPr/>
        <w:tab/>
        <w:t>3.4</w:t>
        <w:tab/>
        <w:t xml:space="preserve">If a participant has a prosthetic limb or breast prosthesis, measure weight with the limb </w:t>
      </w:r>
      <w:r>
        <w:rPr>
          <w:i/>
          <w:iCs/>
        </w:rPr>
        <w:t>on.</w:t>
      </w:r>
      <w:r>
        <w:rPr/>
        <w:t xml:space="preserve"> </w:t>
      </w:r>
    </w:p>
    <w:p>
      <w:pPr>
        <w:pStyle w:val="Number11"/>
        <w:rPr/>
      </w:pPr>
      <w:r>
        <w:rPr/>
      </w:r>
    </w:p>
    <w:p>
      <w:pPr>
        <w:pStyle w:val="Number11"/>
        <w:rPr/>
      </w:pPr>
      <w:r>
        <w:rPr/>
        <w:tab/>
        <w:t>3.5</w:t>
        <w:tab/>
        <w:t>If a participant is frail or unsteady, measure weight while participant is lightly steadied by you or an assistant.</w:t>
      </w:r>
    </w:p>
    <w:p>
      <w:pPr>
        <w:pStyle w:val="Number11"/>
        <w:rPr/>
      </w:pPr>
      <w:r>
        <w:rPr/>
      </w:r>
    </w:p>
    <w:p>
      <w:pPr>
        <w:pStyle w:val="Number11"/>
        <w:rPr/>
      </w:pPr>
      <w:r>
        <w:rPr/>
        <w:tab/>
        <w:t>3.6</w:t>
        <w:tab/>
        <w:t xml:space="preserve">If a participant is unable to stand on the scale for a weight measurement, do not attempt a weight measurement. </w:t>
      </w:r>
      <w:r>
        <w:rPr>
          <w:i/>
          <w:iCs/>
        </w:rPr>
        <w:t>Answer “yes” to the question, “Was there a modification in protocol?”</w:t>
      </w:r>
      <w:r>
        <w:rPr/>
        <w:t xml:space="preserve"> </w:t>
      </w:r>
    </w:p>
    <w:p>
      <w:pPr>
        <w:pStyle w:val="Number11"/>
        <w:rPr>
          <w:sz w:val="22"/>
        </w:rPr>
      </w:pPr>
      <w:r>
        <w:rPr>
          <w:sz w:val="22"/>
        </w:rPr>
      </w:r>
    </w:p>
    <w:p>
      <w:pPr>
        <w:pStyle w:val="Number1"/>
        <w:rPr/>
      </w:pPr>
      <w:r>
        <w:rPr/>
        <w:tab/>
        <w:t>4.</w:t>
        <w:tab/>
      </w:r>
      <w:r>
        <w:rPr>
          <w:u w:val="single"/>
        </w:rPr>
        <w:t>Girth Measurements</w:t>
      </w:r>
    </w:p>
    <w:p>
      <w:pPr>
        <w:pStyle w:val="Normal"/>
        <w:tabs>
          <w:tab w:val="clear" w:pos="720"/>
          <w:tab w:val="left" w:pos="-1440" w:leader="none"/>
          <w:tab w:val="left" w:pos="-1260" w:leader="none"/>
          <w:tab w:val="left" w:pos="-900" w:leader="none"/>
          <w:tab w:val="left" w:pos="-720" w:leader="none"/>
          <w:tab w:val="left" w:pos="-54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rPr>
          <w:sz w:val="22"/>
        </w:rPr>
      </w:pPr>
      <w:r>
        <w:rPr>
          <w:sz w:val="22"/>
        </w:rPr>
      </w:r>
    </w:p>
    <w:p>
      <w:pPr>
        <w:pStyle w:val="Number11"/>
        <w:rPr/>
      </w:pPr>
      <w:r>
        <w:rPr/>
        <w:tab/>
        <w:t>4.1</w:t>
        <w:tab/>
        <w:t>Equipment</w:t>
      </w:r>
    </w:p>
    <w:p>
      <w:pPr>
        <w:pStyle w:val="Normal"/>
        <w:tabs>
          <w:tab w:val="clear" w:pos="720"/>
          <w:tab w:val="left" w:pos="-1440" w:leader="none"/>
          <w:tab w:val="left" w:pos="-1260" w:leader="none"/>
          <w:tab w:val="left" w:pos="-900" w:leader="none"/>
          <w:tab w:val="left" w:pos="-720" w:leader="none"/>
          <w:tab w:val="left" w:pos="-54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rPr>
          <w:sz w:val="22"/>
        </w:rPr>
      </w:pPr>
      <w:r>
        <w:rPr>
          <w:sz w:val="22"/>
        </w:rPr>
      </w:r>
    </w:p>
    <w:p>
      <w:pPr>
        <w:pStyle w:val="Number11bodybullet"/>
        <w:rPr/>
      </w:pPr>
      <w:r>
        <w:rPr/>
        <w:tab/>
      </w:r>
      <w:r>
        <w:rPr>
          <w:rFonts w:eastAsia="Symbol" w:cs="Symbol" w:ascii="Symbol" w:hAnsi="Symbol"/>
        </w:rPr>
        <w:t></w:t>
      </w:r>
      <w:r>
        <w:rPr/>
        <w:tab/>
        <w:t xml:space="preserve">Gulick II 150 cm anthropometric tape </w:t>
      </w:r>
    </w:p>
    <w:p>
      <w:pPr>
        <w:pStyle w:val="Number11bodybullet"/>
        <w:rPr/>
      </w:pPr>
      <w:r>
        <w:rPr/>
        <w:tab/>
      </w:r>
      <w:r>
        <w:rPr>
          <w:rFonts w:eastAsia="Symbol" w:cs="Symbol" w:ascii="Symbol" w:hAnsi="Symbol"/>
        </w:rPr>
        <w:t></w:t>
      </w:r>
      <w:r>
        <w:rPr/>
        <w:tab/>
        <w:t>Full length mirror</w:t>
      </w:r>
    </w:p>
    <w:p>
      <w:pPr>
        <w:pStyle w:val="11bodyletter"/>
        <w:rPr/>
      </w:pPr>
      <w:r>
        <w:rPr/>
      </w:r>
    </w:p>
    <w:p>
      <w:pPr>
        <w:pStyle w:val="Number11"/>
        <w:rPr/>
      </w:pPr>
      <w:r>
        <w:rPr/>
        <w:tab/>
        <w:t>4.2</w:t>
        <w:tab/>
        <w:t>Technique</w:t>
      </w:r>
    </w:p>
    <w:p>
      <w:pPr>
        <w:pStyle w:val="Number111"/>
        <w:rPr/>
      </w:pPr>
      <w:r>
        <w:rPr/>
      </w:r>
    </w:p>
    <w:p>
      <w:pPr>
        <w:pStyle w:val="Number111"/>
        <w:rPr/>
      </w:pPr>
      <w:r>
        <w:rPr/>
        <w:tab/>
        <w:t>4.21</w:t>
        <w:tab/>
        <w:t xml:space="preserve">Do </w:t>
      </w:r>
      <w:r>
        <w:rPr>
          <w:i/>
          <w:iCs/>
        </w:rPr>
        <w:t>not</w:t>
      </w:r>
      <w:r>
        <w:rPr/>
        <w:t xml:space="preserve"> take abdominal and hip girth measurements over clothing.</w:t>
      </w:r>
    </w:p>
    <w:p>
      <w:pPr>
        <w:pStyle w:val="Number111"/>
        <w:rPr/>
      </w:pPr>
      <w:r>
        <w:rPr/>
      </w:r>
    </w:p>
    <w:p>
      <w:pPr>
        <w:pStyle w:val="Number111"/>
        <w:rPr/>
      </w:pPr>
      <w:r>
        <w:rPr/>
        <w:tab/>
        <w:t>4.22</w:t>
        <w:tab/>
        <w:t>If a participant is very large, you may have him/her hold one end of the tape while walking the tape around to obtain the measurement. If any circumference exceeds 150 cm, use the 250 cm tape measure. (Take care not to offend the person being measured, and change to the larger tape as discretely as possible.)</w:t>
      </w:r>
    </w:p>
    <w:p>
      <w:pPr>
        <w:pStyle w:val="Number111"/>
        <w:rPr>
          <w:sz w:val="22"/>
        </w:rPr>
      </w:pPr>
      <w:r>
        <w:rPr>
          <w:sz w:val="22"/>
        </w:rPr>
      </w:r>
    </w:p>
    <w:p>
      <w:pPr>
        <w:pStyle w:val="Number11"/>
        <w:rPr/>
      </w:pPr>
      <w:r>
        <w:rPr/>
        <w:tab/>
        <w:t>4.3</w:t>
        <w:tab/>
        <w:t>Abdominal Girth</w:t>
      </w:r>
    </w:p>
    <w:p>
      <w:pPr>
        <w:pStyle w:val="Number11"/>
        <w:rPr/>
      </w:pPr>
      <w:r>
        <w:rPr/>
      </w:r>
    </w:p>
    <w:p>
      <w:pPr>
        <w:pStyle w:val="Number11"/>
        <w:rPr/>
      </w:pPr>
      <w:r>
        <w:rPr/>
        <w:tab/>
        <w:tab/>
        <w:t xml:space="preserve">Apply a Gulick II anthropometric tape horizontally at the level of the umbilicus and instruct the participant to breathe normally. Move to the participant’s right side to take the measurement; do not take this measurement from the front. Be sure to keep the tape horizontal while making the measurement; use the wall-mounted mirror to assure horizontal placement on all sides. </w:t>
      </w:r>
      <w:r>
        <w:rPr>
          <w:i/>
          <w:iCs/>
        </w:rPr>
        <w:t xml:space="preserve">Round abdominal girth measurement to the nearest cm and record in Box 3a on the Anthropometry Form. If the circumference exceeds 150 cm, record “yes” for the question, “Was there a modification in protocol?” </w:t>
      </w:r>
    </w:p>
    <w:p>
      <w:pPr>
        <w:pStyle w:val="Number11"/>
        <w:rPr/>
      </w:pPr>
      <w:r>
        <w:rPr/>
      </w:r>
    </w:p>
    <w:p>
      <w:pPr>
        <w:pStyle w:val="Number11"/>
        <w:rPr/>
      </w:pPr>
      <w:r>
        <w:rPr/>
        <w:tab/>
        <w:t>4.5</w:t>
        <w:tab/>
        <w:t>Hip Girth</w:t>
      </w:r>
    </w:p>
    <w:p>
      <w:pPr>
        <w:pStyle w:val="Number11"/>
        <w:rPr/>
      </w:pPr>
      <w:r>
        <w:rPr/>
      </w:r>
    </w:p>
    <w:p>
      <w:pPr>
        <w:pStyle w:val="Number11"/>
        <w:rPr/>
      </w:pPr>
      <w:r>
        <w:rPr/>
        <w:tab/>
        <w:tab/>
        <w:t xml:space="preserve">Take the hip girth measurement from the participant’s right side; do not take this measurement from the front. Instruct the participant to stand with his/her feet together. Measure hip girth at the maximum circumference of the buttocks.. Check to see that the tape is level in front and back. </w:t>
      </w:r>
      <w:r>
        <w:rPr>
          <w:i/>
          <w:iCs/>
        </w:rPr>
        <w:t>Round hip girth measurement to the nearest cm and record in Box 3b on the Anthropometry Form. If the circumference exceeds 150 cm, record “yes” for the question, “Was there a modification in protocol?”</w:t>
      </w:r>
    </w:p>
    <w:p>
      <w:pPr>
        <w:pStyle w:val="Number1"/>
        <w:rPr/>
      </w:pPr>
      <w:r>
        <w:rPr/>
      </w:r>
    </w:p>
    <w:p>
      <w:pPr>
        <w:pStyle w:val="Number1"/>
        <w:rPr/>
      </w:pPr>
      <w:r>
        <w:rPr/>
        <w:tab/>
        <w:t>5.</w:t>
        <w:tab/>
      </w:r>
      <w:r>
        <w:rPr>
          <w:u w:val="single"/>
        </w:rPr>
        <w:t>Comments/Modifications to the Protocol</w:t>
      </w:r>
    </w:p>
    <w:p>
      <w:pPr>
        <w:pStyle w:val="Number1"/>
        <w:rPr/>
      </w:pPr>
      <w:r>
        <w:rPr/>
      </w:r>
    </w:p>
    <w:p>
      <w:pPr>
        <w:pStyle w:val="Number1"/>
        <w:rPr/>
      </w:pPr>
      <w:r>
        <w:rPr/>
        <w:tab/>
        <w:tab/>
      </w:r>
      <w:r>
        <w:rPr>
          <w:i/>
          <w:iCs/>
        </w:rPr>
        <w:t>If you have comments or if there have been modifications to the protocol, as described above, answer “yes” to question 4 on the Anthropometry Form and record comments in the space provided. If there are no comments or modifications, answer “no” to question 4.</w:t>
      </w:r>
    </w:p>
    <w:p>
      <w:pPr>
        <w:pStyle w:val="Number1"/>
        <w:rPr>
          <w:i/>
          <w:i/>
          <w:iCs/>
        </w:rPr>
      </w:pPr>
      <w:r>
        <w:rPr>
          <w:i/>
          <w:iCs/>
        </w:rPr>
      </w:r>
    </w:p>
    <w:p>
      <w:pPr>
        <w:pStyle w:val="Number1"/>
        <w:rPr/>
      </w:pPr>
      <w:r>
        <w:rPr/>
        <w:tab/>
        <w:t>6.</w:t>
        <w:tab/>
      </w:r>
      <w:r>
        <w:rPr>
          <w:u w:val="single"/>
        </w:rPr>
        <w:t>Calibration Check of Scales and Equipment Check</w:t>
      </w:r>
    </w:p>
    <w:p>
      <w:pPr>
        <w:pStyle w:val="Normal"/>
        <w:rPr/>
      </w:pPr>
      <w:r>
        <w:rPr/>
      </w:r>
    </w:p>
    <w:p>
      <w:pPr>
        <w:pStyle w:val="Number11"/>
        <w:rPr/>
      </w:pPr>
      <w:r>
        <w:rPr/>
        <w:tab/>
        <w:t>6.1</w:t>
        <w:tab/>
        <w:t>Equipment:</w:t>
      </w:r>
    </w:p>
    <w:p>
      <w:pPr>
        <w:pStyle w:val="Number11bodybullet"/>
        <w:rPr/>
      </w:pPr>
      <w:r>
        <w:rPr/>
      </w:r>
    </w:p>
    <w:p>
      <w:pPr>
        <w:pStyle w:val="Number11bodybullet"/>
        <w:rPr/>
      </w:pPr>
      <w:r>
        <w:rPr/>
        <w:tab/>
      </w:r>
      <w:r>
        <w:rPr>
          <w:rFonts w:eastAsia="Symbol" w:cs="Symbol" w:ascii="Symbol" w:hAnsi="Symbol"/>
        </w:rPr>
        <w:t></w:t>
      </w:r>
      <w:r>
        <w:rPr/>
        <w:tab/>
        <w:t>Four 50-pound weights (certified prior to first MESA visit) to calibrate scale</w:t>
      </w:r>
    </w:p>
    <w:p>
      <w:pPr>
        <w:pStyle w:val="Number11bodybullet"/>
        <w:rPr/>
      </w:pPr>
      <w:r>
        <w:rPr/>
        <w:tab/>
      </w:r>
      <w:r>
        <w:rPr>
          <w:rFonts w:eastAsia="Symbol" w:cs="Symbol" w:ascii="Symbol" w:hAnsi="Symbol"/>
        </w:rPr>
        <w:t></w:t>
      </w:r>
      <w:r>
        <w:rPr/>
        <w:tab/>
        <w:t xml:space="preserve">Gulick II anthropometric tapes </w:t>
      </w:r>
    </w:p>
    <w:p>
      <w:pPr>
        <w:pStyle w:val="Number11bodybullet"/>
        <w:rPr/>
      </w:pPr>
      <w:r>
        <w:rPr/>
      </w:r>
    </w:p>
    <w:p>
      <w:pPr>
        <w:pStyle w:val="Number11"/>
        <w:rPr/>
      </w:pPr>
      <w:r>
        <w:rPr/>
        <w:tab/>
        <w:t>6.2</w:t>
        <w:tab/>
        <w:t>Check scales for accuracy on a monthly basis.</w:t>
      </w:r>
    </w:p>
    <w:p>
      <w:pPr>
        <w:pStyle w:val="Normal"/>
        <w:rPr/>
      </w:pPr>
      <w:r>
        <w:rPr/>
      </w:r>
    </w:p>
    <w:p>
      <w:pPr>
        <w:pStyle w:val="Number111"/>
        <w:rPr/>
      </w:pPr>
      <w:r>
        <w:rPr/>
        <w:tab/>
        <w:t>6.21</w:t>
        <w:tab/>
        <w:t>Place two weights on the scale and record the numeric value obtained in the “Light Poise” column of the “Scale Calibration Checklist.” Add two more weights and record the numeric value obtained in the “Heavy Poise” column.</w:t>
      </w:r>
    </w:p>
    <w:p>
      <w:pPr>
        <w:pStyle w:val="Number111"/>
        <w:rPr/>
      </w:pPr>
      <w:r>
        <w:rPr/>
      </w:r>
    </w:p>
    <w:p>
      <w:pPr>
        <w:pStyle w:val="Number111"/>
        <w:rPr/>
      </w:pPr>
      <w:r>
        <w:rPr/>
        <w:tab/>
        <w:t>6.22</w:t>
        <w:tab/>
        <w:t xml:space="preserve">The values obtained should be within </w:t>
      </w:r>
      <w:r>
        <w:rPr>
          <w:rFonts w:eastAsia="Symbol" w:cs="Symbol" w:ascii="Symbol" w:hAnsi="Symbol"/>
        </w:rPr>
        <w:t></w:t>
      </w:r>
      <w:r>
        <w:rPr/>
        <w:t>1.0 pound of the expected weight. If either value exceeds this limit, the scale must be calibrated by the manufacturer or by the appropriate institution personnel.</w:t>
      </w:r>
    </w:p>
    <w:p>
      <w:pPr>
        <w:pStyle w:val="Number111"/>
        <w:rPr/>
      </w:pPr>
      <w:r>
        <w:rPr/>
      </w:r>
    </w:p>
    <w:p>
      <w:pPr>
        <w:pStyle w:val="Number111"/>
        <w:rPr/>
      </w:pPr>
      <w:r>
        <w:rPr/>
        <w:tab/>
        <w:t>6.23</w:t>
        <w:tab/>
        <w:t>When the scale is not in use, keep it balanced at 300 pounds. This keeps the tension off the internal spring mechanism.</w:t>
      </w:r>
    </w:p>
    <w:p>
      <w:pPr>
        <w:pStyle w:val="11bodyletter"/>
        <w:tabs>
          <w:tab w:val="right" w:pos="1620" w:leader="none"/>
          <w:tab w:val="right" w:pos="1800" w:leader="none"/>
        </w:tabs>
        <w:ind w:left="1890" w:hanging="1890"/>
        <w:rPr/>
      </w:pPr>
      <w:r>
        <w:rPr/>
      </w:r>
    </w:p>
    <w:p>
      <w:pPr>
        <w:sectPr>
          <w:headerReference w:type="even" r:id="rId101"/>
          <w:headerReference w:type="default" r:id="rId102"/>
          <w:footerReference w:type="even" r:id="rId103"/>
          <w:footerReference w:type="default" r:id="rId104"/>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6.3</w:t>
        <w:tab/>
        <w:t xml:space="preserve">Examine anthropometry tape measures on a weekly basis for sign of wear. </w:t>
      </w:r>
    </w:p>
    <w:p>
      <w:pPr>
        <w:pStyle w:val="Subsub"/>
        <w:rPr/>
      </w:pPr>
      <w:bookmarkStart w:id="26" w:name="__RefHeading___Toc503858982"/>
      <w:bookmarkEnd w:id="26"/>
      <w:r>
        <w:rPr/>
        <w:t>3.5.2  Seated Blood Pressure</w:t>
      </w:r>
    </w:p>
    <w:p>
      <w:pPr>
        <w:pStyle w:val="Normal"/>
        <w:rPr>
          <w:b/>
          <w:b/>
          <w:sz w:val="36"/>
          <w:u w:val="single"/>
        </w:rPr>
      </w:pPr>
      <w:r>
        <w:rPr>
          <w:b/>
          <w:sz w:val="36"/>
          <w:u w:val="single"/>
        </w:rPr>
      </w:r>
    </w:p>
    <w:p>
      <w:pPr>
        <w:pStyle w:val="Normal"/>
        <w:rPr>
          <w:b/>
          <w:b/>
          <w:sz w:val="36"/>
          <w:u w:val="single"/>
        </w:rPr>
      </w:pPr>
      <w:r>
        <w:rPr>
          <w:b/>
          <w:sz w:val="36"/>
          <w:u w:val="single"/>
        </w:rPr>
      </w:r>
    </w:p>
    <w:p>
      <w:pPr>
        <w:pStyle w:val="Romanbold"/>
        <w:rPr/>
      </w:pPr>
      <w:r>
        <w:rPr/>
        <w:tab/>
        <w:t>I.</w:t>
        <w:tab/>
        <w:t>Background and Purpose</w:t>
      </w:r>
    </w:p>
    <w:p>
      <w:pPr>
        <w:pStyle w:val="Normal"/>
        <w:rPr/>
      </w:pPr>
      <w:r>
        <w:rPr/>
      </w:r>
    </w:p>
    <w:p>
      <w:pPr>
        <w:pStyle w:val="Romanbody"/>
        <w:rPr/>
      </w:pPr>
      <w:r>
        <w:rPr/>
        <w:t>Blood pressure (BP) level is a major risk factor for coronary heart disease, congestive heart failure, and stroke. Heart rate reflects autonomic nervous system function and cardiovascular fitness. The measured BP level is subject to biological and observer variability. The purpose of a specific measurement protocol, or training and certifications of technicians, and of ongoing quality control is to minimize variability due to known exogenous factors and to reduce imprecision and biases in measurement.</w:t>
      </w:r>
    </w:p>
    <w:p>
      <w:pPr>
        <w:pStyle w:val="Romanbody"/>
        <w:rPr/>
      </w:pPr>
      <w:r>
        <w:rPr/>
      </w:r>
    </w:p>
    <w:p>
      <w:pPr>
        <w:pStyle w:val="Romanbody"/>
        <w:rPr/>
      </w:pPr>
      <w:r>
        <w:rPr/>
        <w:t>The main advantages of the Dinamap</w:t>
      </w:r>
      <w:r>
        <w:rPr>
          <w:rFonts w:eastAsia="Symbol" w:cs="Symbol" w:ascii="Symbol" w:hAnsi="Symbol"/>
          <w:vertAlign w:val="superscript"/>
        </w:rPr>
        <w:t></w:t>
      </w:r>
      <w:r>
        <w:rPr/>
        <w:t xml:space="preserve"> automated device are accuracy comparable to manual mercury sphygmomanometry, with reduced potential for observer biases and less demand on research assistants in terms of training and effort in data collection. The available data that describes the accuracy of the Dinamap</w:t>
      </w:r>
      <w:r>
        <w:rPr>
          <w:rFonts w:eastAsia="Symbol" w:cs="Symbol" w:ascii="Symbol" w:hAnsi="Symbol"/>
          <w:vertAlign w:val="superscript"/>
        </w:rPr>
        <w:t></w:t>
      </w:r>
      <w:r>
        <w:rPr/>
        <w:t xml:space="preserve"> and other oscillometric BP devices are reviewed in Appendix A.</w:t>
      </w:r>
    </w:p>
    <w:p>
      <w:pPr>
        <w:pStyle w:val="Normal"/>
        <w:rPr/>
      </w:pPr>
      <w:r>
        <w:rPr/>
      </w:r>
    </w:p>
    <w:p>
      <w:pPr>
        <w:pStyle w:val="Romanbold"/>
        <w:rPr/>
      </w:pPr>
      <w:r>
        <w:rPr/>
        <w:tab/>
        <w:t>II.</w:t>
        <w:tab/>
        <w:t>Materials and equipment</w:t>
      </w:r>
    </w:p>
    <w:p>
      <w:pPr>
        <w:pStyle w:val="Normal"/>
        <w:rPr/>
      </w:pPr>
      <w:r>
        <w:rPr/>
      </w:r>
    </w:p>
    <w:p>
      <w:pPr>
        <w:pStyle w:val="Romanbodybullet"/>
        <w:rPr/>
      </w:pPr>
      <w:r>
        <w:rPr>
          <w:rFonts w:eastAsia="Symbol" w:cs="Symbol" w:ascii="Symbol" w:hAnsi="Symbol"/>
        </w:rPr>
        <w:t></w:t>
      </w:r>
      <w:r>
        <w:rPr/>
        <w:tab/>
        <w:t>Dinamap</w:t>
      </w:r>
      <w:r>
        <w:rPr>
          <w:rFonts w:eastAsia="Symbol" w:cs="Symbol" w:ascii="Symbol" w:hAnsi="Symbol"/>
        </w:rPr>
        <w:t></w:t>
      </w:r>
      <w:r>
        <w:rPr/>
        <w:t xml:space="preserve"> automated blood pressure device (Dinamap Monitor Pro 100</w:t>
      </w:r>
      <w:r>
        <w:rPr>
          <w:rFonts w:eastAsia="Symbol" w:cs="Symbol" w:ascii="Symbol" w:hAnsi="Symbol"/>
          <w:vertAlign w:val="superscript"/>
        </w:rPr>
        <w:t></w:t>
      </w:r>
      <w:r>
        <w:rPr/>
        <w:t>, which includes printer paper, power cable, and power converter.)</w:t>
      </w:r>
    </w:p>
    <w:p>
      <w:pPr>
        <w:pStyle w:val="Romanbodybullet"/>
        <w:rPr/>
      </w:pPr>
      <w:r>
        <w:rPr>
          <w:rFonts w:eastAsia="Symbol" w:cs="Symbol" w:ascii="Symbol" w:hAnsi="Symbol"/>
        </w:rPr>
        <w:t></w:t>
      </w:r>
      <w:r>
        <w:rPr/>
        <w:tab/>
        <w:t>Blood pressure cuffs in a variety of sizes (Dura-cuf Adult Assortment Pack</w:t>
      </w:r>
      <w:r>
        <w:rPr>
          <w:rFonts w:eastAsia="Symbol" w:cs="Symbol" w:ascii="Symbol" w:hAnsi="Symbol"/>
          <w:vertAlign w:val="superscript"/>
        </w:rPr>
        <w:t></w:t>
      </w:r>
      <w:r>
        <w:rPr/>
        <w:t xml:space="preserve"> [#2699]).</w:t>
      </w:r>
    </w:p>
    <w:p>
      <w:pPr>
        <w:pStyle w:val="Romanbodybullet"/>
        <w:rPr/>
      </w:pPr>
      <w:r>
        <w:rPr>
          <w:rFonts w:eastAsia="Symbol" w:cs="Symbol" w:ascii="Symbol" w:hAnsi="Symbol"/>
        </w:rPr>
        <w:t></w:t>
      </w:r>
      <w:r>
        <w:rPr/>
        <w:tab/>
        <w:t>Measuring tape (for arm circumference).</w:t>
      </w:r>
    </w:p>
    <w:p>
      <w:pPr>
        <w:pStyle w:val="Romanbodybullet"/>
        <w:rPr/>
      </w:pPr>
      <w:r>
        <w:rPr>
          <w:rFonts w:eastAsia="Symbol" w:cs="Symbol" w:ascii="Symbol" w:hAnsi="Symbol"/>
        </w:rPr>
        <w:t></w:t>
      </w:r>
      <w:r>
        <w:rPr/>
        <w:tab/>
        <w:t>Watch or stop watch (to time five-minute rest and resting heart rate).</w:t>
      </w:r>
    </w:p>
    <w:p>
      <w:pPr>
        <w:pStyle w:val="Romanbodybullet"/>
        <w:rPr/>
      </w:pPr>
      <w:r>
        <w:rPr>
          <w:rFonts w:eastAsia="Symbol" w:cs="Symbol" w:ascii="Symbol" w:hAnsi="Symbol"/>
        </w:rPr>
        <w:t></w:t>
      </w:r>
      <w:r>
        <w:rPr/>
        <w:tab/>
        <w:t>Hand calculator (to average 2</w:t>
      </w:r>
      <w:r>
        <w:rPr>
          <w:vertAlign w:val="superscript"/>
        </w:rPr>
        <w:t>nd</w:t>
      </w:r>
      <w:r>
        <w:rPr/>
        <w:t xml:space="preserve"> and 3</w:t>
      </w:r>
      <w:r>
        <w:rPr>
          <w:vertAlign w:val="superscript"/>
        </w:rPr>
        <w:t>rd</w:t>
      </w:r>
      <w:r>
        <w:rPr/>
        <w:t xml:space="preserve"> BP readings).</w:t>
      </w:r>
    </w:p>
    <w:p>
      <w:pPr>
        <w:pStyle w:val="Romanbodybullet"/>
        <w:rPr/>
      </w:pPr>
      <w:r>
        <w:rPr>
          <w:rFonts w:eastAsia="Symbol" w:cs="Symbol" w:ascii="Symbol" w:hAnsi="Symbol"/>
        </w:rPr>
        <w:t></w:t>
      </w:r>
      <w:r>
        <w:rPr/>
        <w:tab/>
        <w:t>Copy of Critikon</w:t>
      </w:r>
      <w:r>
        <w:rPr>
          <w:rFonts w:eastAsia="Symbol" w:cs="Symbol" w:ascii="Symbol" w:hAnsi="Symbol"/>
          <w:vertAlign w:val="superscript"/>
        </w:rPr>
        <w:t></w:t>
      </w:r>
      <w:r>
        <w:rPr/>
        <w:t xml:space="preserve"> chart for choosing correct BP cuff size (see Table 2).</w:t>
      </w:r>
    </w:p>
    <w:p>
      <w:pPr>
        <w:pStyle w:val="Romanbodybullet"/>
        <w:rPr/>
      </w:pPr>
      <w:r>
        <w:rPr>
          <w:rFonts w:eastAsia="Symbol" w:cs="Symbol" w:ascii="Symbol" w:hAnsi="Symbol"/>
        </w:rPr>
        <w:t></w:t>
      </w:r>
      <w:r>
        <w:rPr/>
        <w:tab/>
        <w:t>Information sheet on interpretation of BP from JNC VI (see Table 1).</w:t>
      </w:r>
    </w:p>
    <w:p>
      <w:pPr>
        <w:pStyle w:val="Romanbodybullet"/>
        <w:rPr/>
      </w:pPr>
      <w:r>
        <w:rPr>
          <w:rFonts w:eastAsia="Symbol" w:cs="Symbol" w:ascii="Symbol" w:hAnsi="Symbol"/>
        </w:rPr>
        <w:t></w:t>
      </w:r>
      <w:r>
        <w:rPr/>
        <w:tab/>
        <w:t>Resting Heart Rate/Blood Pressure Form.</w:t>
      </w:r>
    </w:p>
    <w:p>
      <w:pPr>
        <w:pStyle w:val="Romanbodybullet"/>
        <w:rPr/>
      </w:pPr>
      <w:r>
        <w:rPr/>
      </w:r>
    </w:p>
    <w:p>
      <w:pPr>
        <w:pStyle w:val="Romanbold"/>
        <w:rPr/>
      </w:pPr>
      <w:r>
        <w:rPr/>
        <w:tab/>
        <w:t>III.</w:t>
        <w:tab/>
        <w:t>Definitions</w:t>
      </w:r>
    </w:p>
    <w:p>
      <w:pPr>
        <w:pStyle w:val="Romanbold"/>
        <w:rPr/>
      </w:pPr>
      <w:r>
        <w:rPr/>
      </w:r>
    </w:p>
    <w:p>
      <w:pPr>
        <w:pStyle w:val="Number1"/>
        <w:rPr/>
      </w:pPr>
      <w:r>
        <w:rPr/>
        <w:tab/>
        <w:t>1.</w:t>
        <w:tab/>
      </w:r>
      <w:r>
        <w:rPr>
          <w:u w:val="single"/>
        </w:rPr>
        <w:t>Sphygmomanometry</w:t>
      </w:r>
      <w:r>
        <w:rPr/>
        <w:t>: Measurement of blood pressure.</w:t>
      </w:r>
    </w:p>
    <w:p>
      <w:pPr>
        <w:pStyle w:val="Number1"/>
        <w:rPr/>
      </w:pPr>
      <w:r>
        <w:rPr/>
      </w:r>
    </w:p>
    <w:p>
      <w:pPr>
        <w:pStyle w:val="Number1"/>
        <w:rPr/>
      </w:pPr>
      <w:r>
        <w:rPr/>
        <w:tab/>
        <w:t>2.</w:t>
        <w:tab/>
      </w:r>
      <w:r>
        <w:rPr>
          <w:u w:val="single"/>
        </w:rPr>
        <w:t>Oscillometric device</w:t>
      </w:r>
      <w:r>
        <w:rPr/>
        <w:t>: Method for measuring blood pressure that relies on the oscillation or fluctuation in arterial pressure generated by the cardiac cycle and transmitted to an inflated blood pressure cuff overlying an artery. This method differs from the auscultatory method, which relies on audible changes over an artery during deflation of an inflated cuff.</w:t>
      </w:r>
    </w:p>
    <w:p>
      <w:pPr>
        <w:pStyle w:val="Number1"/>
        <w:rPr/>
      </w:pPr>
      <w:r>
        <w:rPr/>
      </w:r>
    </w:p>
    <w:p>
      <w:pPr>
        <w:pStyle w:val="Romanbold"/>
        <w:rPr/>
      </w:pPr>
      <w:r>
        <w:rPr/>
        <w:tab/>
        <w:t>IV.</w:t>
        <w:tab/>
        <w:t xml:space="preserve">Classification of the Participant's Blood Pressure within the JNC VI Categories and criteria for alerts and referrals </w:t>
      </w:r>
    </w:p>
    <w:p>
      <w:pPr>
        <w:pStyle w:val="Romanbold"/>
        <w:rPr/>
      </w:pPr>
      <w:r>
        <w:rPr/>
      </w:r>
    </w:p>
    <w:p>
      <w:pPr>
        <w:pStyle w:val="Romanbody"/>
        <w:rPr/>
      </w:pPr>
      <w:r>
        <w:rPr/>
        <w:t>The 1993 Report of the Joint National Committee on Detection, Evaluation, and Treatment of High Blood Pressure (JNC VI) defines categories of blood pressure and recommends follow-up according to the following criteria:</w:t>
      </w:r>
    </w:p>
    <w:p>
      <w:pPr>
        <w:pStyle w:val="Romanbody"/>
        <w:rPr/>
      </w:pPr>
      <w:r>
        <w:rPr/>
      </w:r>
    </w:p>
    <w:p>
      <w:pPr>
        <w:pStyle w:val="Romanbody"/>
        <w:rPr>
          <w:rFonts w:ascii="Arial;Arial" w:hAnsi="Arial;Arial" w:cs="Arial;Arial"/>
          <w:b/>
          <w:b/>
          <w:bCs/>
          <w:sz w:val="20"/>
        </w:rPr>
      </w:pPr>
      <w:r>
        <w:rPr>
          <w:rFonts w:cs="Arial;Arial" w:ascii="Arial;Arial" w:hAnsi="Arial;Arial"/>
          <w:b/>
          <w:bCs/>
          <w:sz w:val="20"/>
        </w:rPr>
        <w:t xml:space="preserve">Table 1. Classification of BP in Adults Aged 18 Years or Older*. </w:t>
      </w:r>
    </w:p>
    <w:p>
      <w:pPr>
        <w:pStyle w:val="Romanbody"/>
        <w:rPr>
          <w:rFonts w:ascii="Arial;Arial" w:hAnsi="Arial;Arial" w:cs="Arial;Arial"/>
          <w:b/>
          <w:b/>
          <w:bCs/>
          <w:sz w:val="20"/>
        </w:rPr>
      </w:pPr>
      <w:r>
        <w:rPr>
          <w:rFonts w:cs="Arial;Arial" w:ascii="Arial;Arial" w:hAnsi="Arial;Arial"/>
          <w:b/>
          <w:bCs/>
          <w:sz w:val="20"/>
        </w:rPr>
      </w:r>
    </w:p>
    <w:tbl>
      <w:tblPr>
        <w:tblW w:w="7920" w:type="dxa"/>
        <w:jc w:val="left"/>
        <w:tblInd w:w="535" w:type="dxa"/>
        <w:tblLayout w:type="fixed"/>
        <w:tblCellMar>
          <w:top w:w="0" w:type="dxa"/>
          <w:left w:w="108" w:type="dxa"/>
          <w:bottom w:w="0" w:type="dxa"/>
          <w:right w:w="108" w:type="dxa"/>
        </w:tblCellMar>
      </w:tblPr>
      <w:tblGrid>
        <w:gridCol w:w="1496"/>
        <w:gridCol w:w="1384"/>
        <w:gridCol w:w="540"/>
        <w:gridCol w:w="1440"/>
        <w:gridCol w:w="3060"/>
      </w:tblGrid>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b/>
                <w:sz w:val="18"/>
              </w:rPr>
              <w:t>BP Category</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18"/>
              </w:rPr>
            </w:pPr>
            <w:r>
              <w:rPr>
                <w:rFonts w:cs="Arial;Arial" w:ascii="Arial;Arial" w:hAnsi="Arial;Arial"/>
                <w:b/>
                <w:sz w:val="18"/>
              </w:rPr>
              <w:t>SBP (mm Hg)</w:t>
            </w:r>
          </w:p>
        </w:tc>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b/>
                <w:b/>
                <w:sz w:val="18"/>
              </w:rPr>
            </w:pPr>
            <w:r>
              <w:rPr>
                <w:rFonts w:cs="Arial;Arial" w:ascii="Arial;Arial" w:hAnsi="Arial;Arial"/>
                <w:b/>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18"/>
              </w:rPr>
            </w:pPr>
            <w:r>
              <w:rPr>
                <w:rFonts w:cs="Arial;Arial" w:ascii="Arial;Arial" w:hAnsi="Arial;Arial"/>
                <w:b/>
                <w:sz w:val="18"/>
              </w:rPr>
              <w:t>DPB (mm Hg)</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Action</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Optimal</w:t>
              <w:tab/>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&lt;120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and</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&lt;80</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2 years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Normal</w:t>
              <w:tab/>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&lt;130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and</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&lt;85</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2 years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High-normal</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130–139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85–89</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1 year</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Hypertension**</w:t>
            </w:r>
          </w:p>
        </w:tc>
        <w:tc>
          <w:tcPr>
            <w:tcW w:w="138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1</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140–159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90–99</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2 months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2</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160–179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100–109</w:t>
              <w:tab/>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1 month</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3</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Arial;Arial" w:ascii="Arial;Arial" w:hAnsi="Arial;Arial"/>
                <w:sz w:val="18"/>
                <w:u w:val="single"/>
              </w:rPr>
              <w:t>&gt;</w:t>
            </w:r>
            <w:r>
              <w:rPr>
                <w:rFonts w:cs="Arial;Arial" w:ascii="Arial;Arial" w:hAnsi="Arial;Arial"/>
                <w:sz w:val="18"/>
              </w:rPr>
              <w:t>180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Arial;Arial" w:ascii="Arial;Arial" w:hAnsi="Arial;Arial"/>
                <w:sz w:val="18"/>
                <w:u w:val="single"/>
              </w:rPr>
              <w:t>&gt;</w:t>
            </w:r>
            <w:r>
              <w:rPr>
                <w:rFonts w:cs="Arial;Arial" w:ascii="Arial;Arial" w:hAnsi="Arial;Arial"/>
                <w:sz w:val="18"/>
              </w:rPr>
              <w:t>110</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1 week or immediately</w:t>
            </w:r>
          </w:p>
        </w:tc>
      </w:tr>
    </w:tbl>
    <w:p>
      <w:pPr>
        <w:pStyle w:val="Normal"/>
        <w:rPr>
          <w:rFonts w:ascii="Arial;Arial" w:hAnsi="Arial;Arial" w:cs="Arial;Arial"/>
          <w:sz w:val="16"/>
        </w:rPr>
      </w:pPr>
      <w:r>
        <w:rPr>
          <w:rFonts w:cs="Arial;Arial" w:ascii="Arial;Arial" w:hAnsi="Arial;Arial"/>
          <w:sz w:val="16"/>
        </w:rPr>
      </w:r>
    </w:p>
    <w:p>
      <w:pPr>
        <w:pStyle w:val="Romanbody"/>
        <w:rPr>
          <w:rFonts w:ascii="Arial;Arial" w:hAnsi="Arial;Arial" w:cs="Arial;Arial"/>
          <w:sz w:val="16"/>
        </w:rPr>
      </w:pPr>
      <w:r>
        <w:rPr>
          <w:rFonts w:cs="Arial;Arial" w:ascii="Arial;Arial" w:hAnsi="Arial;Arial"/>
          <w:sz w:val="16"/>
        </w:rPr>
        <w:t>* When recommendation for follow-up of DBP and SBP are different, the shorter recommended time for recheck and referral should take precedence. This classification applies only to participants not taking antihypertensive drugs.</w:t>
      </w:r>
    </w:p>
    <w:p>
      <w:pPr>
        <w:pStyle w:val="Romanbody"/>
        <w:rPr>
          <w:rFonts w:ascii="Arial;Arial" w:hAnsi="Arial;Arial" w:cs="Arial;Arial"/>
          <w:sz w:val="16"/>
        </w:rPr>
      </w:pPr>
      <w:r>
        <w:rPr>
          <w:rFonts w:cs="Arial;Arial" w:ascii="Arial;Arial" w:hAnsi="Arial;Arial"/>
          <w:sz w:val="16"/>
        </w:rPr>
      </w:r>
    </w:p>
    <w:p>
      <w:pPr>
        <w:pStyle w:val="Romanbody"/>
        <w:rPr>
          <w:rFonts w:ascii="Arial;Arial" w:hAnsi="Arial;Arial" w:cs="Arial;Arial"/>
          <w:sz w:val="16"/>
        </w:rPr>
      </w:pPr>
      <w:r>
        <w:rPr>
          <w:rFonts w:cs="Arial;Arial" w:ascii="Arial;Arial" w:hAnsi="Arial;Arial"/>
          <w:sz w:val="16"/>
        </w:rPr>
        <w:t>** Diagnosis of hypertension must be based on two or more readings taken at each of two or more visits following an initial screening.</w:t>
      </w:r>
    </w:p>
    <w:p>
      <w:pPr>
        <w:pStyle w:val="Romanbody"/>
        <w:rPr>
          <w:rFonts w:ascii="Arial;Arial" w:hAnsi="Arial;Arial" w:eastAsia="Arial;Arial" w:cs="Arial;Arial"/>
          <w:sz w:val="16"/>
        </w:rPr>
      </w:pPr>
      <w:r>
        <w:rPr>
          <w:rFonts w:eastAsia="Arial;Arial" w:cs="Arial;Arial" w:ascii="Arial;Arial" w:hAnsi="Arial;Arial"/>
          <w:sz w:val="16"/>
        </w:rPr>
        <w:t xml:space="preserve"> </w:t>
      </w:r>
    </w:p>
    <w:p>
      <w:pPr>
        <w:pStyle w:val="Romanbody"/>
        <w:rPr>
          <w:rFonts w:ascii="Arial;Arial" w:hAnsi="Arial;Arial" w:cs="Arial;Arial"/>
          <w:sz w:val="16"/>
        </w:rPr>
      </w:pPr>
      <w:r>
        <w:rPr>
          <w:rFonts w:cs="Arial;Arial" w:ascii="Arial;Arial" w:hAnsi="Arial;Arial"/>
          <w:sz w:val="16"/>
        </w:rPr>
        <w:t>SBP= systolic blood pressure.  DBP= diastolic blood pressure.</w:t>
      </w:r>
    </w:p>
    <w:p>
      <w:pPr>
        <w:pStyle w:val="Romanbold"/>
        <w:rPr>
          <w:rFonts w:ascii="Arial;Arial" w:hAnsi="Arial;Arial" w:cs="Arial;Arial"/>
          <w:sz w:val="16"/>
        </w:rPr>
      </w:pPr>
      <w:r>
        <w:rPr>
          <w:rFonts w:cs="Arial;Arial" w:ascii="Arial;Arial" w:hAnsi="Arial;Arial"/>
          <w:sz w:val="16"/>
        </w:rPr>
      </w:r>
    </w:p>
    <w:p>
      <w:pPr>
        <w:pStyle w:val="Romanbody"/>
        <w:rPr/>
      </w:pPr>
      <w:r>
        <w:rPr/>
      </w:r>
    </w:p>
    <w:p>
      <w:pPr>
        <w:pStyle w:val="Number1"/>
        <w:rPr/>
      </w:pPr>
      <w:r>
        <w:rPr/>
        <w:tab/>
        <w:t>1.</w:t>
        <w:tab/>
        <w:t>Alert levels requiring immediate referral (send participant directly to a physician or hospital) for MESA participants are:</w:t>
      </w:r>
    </w:p>
    <w:p>
      <w:pPr>
        <w:pStyle w:val="Number1bodybullet"/>
        <w:rPr/>
      </w:pPr>
      <w:r>
        <w:rPr/>
      </w:r>
    </w:p>
    <w:p>
      <w:pPr>
        <w:pStyle w:val="Number1bodybullet"/>
        <w:rPr/>
      </w:pPr>
      <w:r>
        <w:rPr>
          <w:rFonts w:eastAsia="Symbol" w:cs="Symbol" w:ascii="Symbol" w:hAnsi="Symbol"/>
        </w:rPr>
        <w:t></w:t>
      </w:r>
      <w:r>
        <w:rPr/>
        <w:tab/>
        <w:t>Diastolic BP &gt;120 mm Hg</w:t>
      </w:r>
    </w:p>
    <w:p>
      <w:pPr>
        <w:pStyle w:val="Number1bodybullet"/>
        <w:rPr/>
      </w:pPr>
      <w:r>
        <w:rPr>
          <w:rFonts w:eastAsia="Symbol" w:cs="Symbol" w:ascii="Symbol" w:hAnsi="Symbol"/>
        </w:rPr>
        <w:t></w:t>
      </w:r>
      <w:r>
        <w:rPr/>
        <w:tab/>
        <w:t>Systolic BP &gt;210 mm Hg</w:t>
      </w:r>
    </w:p>
    <w:p>
      <w:pPr>
        <w:pStyle w:val="Number1bodybullet"/>
        <w:rPr/>
      </w:pPr>
      <w:r>
        <w:rPr/>
      </w:r>
    </w:p>
    <w:p>
      <w:pPr>
        <w:pStyle w:val="Number1"/>
        <w:rPr/>
      </w:pPr>
      <w:r>
        <w:rPr/>
        <w:tab/>
        <w:t>2.</w:t>
        <w:tab/>
        <w:t>Alert levels requiring urgent referral (within one week) are:</w:t>
      </w:r>
    </w:p>
    <w:p>
      <w:pPr>
        <w:pStyle w:val="Number1bodybullet"/>
        <w:rPr/>
      </w:pPr>
      <w:r>
        <w:rPr/>
      </w:r>
    </w:p>
    <w:p>
      <w:pPr>
        <w:pStyle w:val="Number1bodybullet"/>
        <w:rPr/>
      </w:pPr>
      <w:r>
        <w:rPr>
          <w:rFonts w:eastAsia="Symbol" w:cs="Symbol" w:ascii="Symbol" w:hAnsi="Symbol"/>
        </w:rPr>
        <w:t></w:t>
      </w:r>
      <w:r>
        <w:rPr/>
        <w:tab/>
        <w:t>Diastolic BP 110–119 mm Hg</w:t>
      </w:r>
    </w:p>
    <w:p>
      <w:pPr>
        <w:pStyle w:val="Number1bodybullet"/>
        <w:rPr/>
      </w:pPr>
      <w:r>
        <w:rPr>
          <w:rFonts w:eastAsia="Symbol" w:cs="Symbol" w:ascii="Symbol" w:hAnsi="Symbol"/>
        </w:rPr>
        <w:t></w:t>
      </w:r>
      <w:r>
        <w:rPr/>
        <w:tab/>
        <w:t>Systolic BP 180–209 mm Hg</w:t>
      </w:r>
    </w:p>
    <w:p>
      <w:pPr>
        <w:pStyle w:val="Number1bodybullet"/>
        <w:rPr/>
      </w:pPr>
      <w:r>
        <w:rPr/>
      </w:r>
    </w:p>
    <w:p>
      <w:pPr>
        <w:pStyle w:val="Number1"/>
        <w:rPr/>
      </w:pPr>
      <w:r>
        <w:rPr/>
        <w:tab/>
        <w:t>3.</w:t>
        <w:tab/>
        <w:t>BP &gt;140/90 mm Hg requires follow-up within two months time, and, therefore, we recommend physician notification for systolic or diastolic BP above these levels.</w:t>
      </w:r>
    </w:p>
    <w:p>
      <w:pPr>
        <w:pStyle w:val="Number1"/>
        <w:rPr/>
      </w:pPr>
      <w:r>
        <w:rPr/>
      </w:r>
    </w:p>
    <w:p>
      <w:pPr>
        <w:pStyle w:val="Number1"/>
        <w:rPr/>
      </w:pPr>
      <w:r>
        <w:rPr/>
        <w:tab/>
        <w:t>4.</w:t>
        <w:tab/>
        <w:t>JNC VI states that blood pressure classifications and referral recommendations are based on the average of two or more readings on two or more occasions. In MESA we intend to use the average of the 2</w:t>
      </w:r>
      <w:r>
        <w:rPr>
          <w:vertAlign w:val="superscript"/>
        </w:rPr>
        <w:t>nd</w:t>
      </w:r>
      <w:r>
        <w:rPr/>
        <w:t xml:space="preserve"> and 3</w:t>
      </w:r>
      <w:r>
        <w:rPr>
          <w:vertAlign w:val="superscript"/>
        </w:rPr>
        <w:t>rd</w:t>
      </w:r>
      <w:r>
        <w:rPr/>
        <w:t xml:space="preserve"> blood pressure readings (see below) in order to reduce the impact of reactivity (higher first reading) on the estimate of the value of the underlying blood pressure. Thus, in deciding whether a participant meets criteria for an alert level, the average of the 2</w:t>
      </w:r>
      <w:r>
        <w:rPr>
          <w:vertAlign w:val="superscript"/>
        </w:rPr>
        <w:t>nd</w:t>
      </w:r>
      <w:r>
        <w:rPr/>
        <w:t xml:space="preserve"> and 3</w:t>
      </w:r>
      <w:r>
        <w:rPr>
          <w:vertAlign w:val="superscript"/>
        </w:rPr>
        <w:t>rd</w:t>
      </w:r>
      <w:r>
        <w:rPr/>
        <w:t xml:space="preserve"> readings should be used. This will require on-the-spot arithmetical manipulation of the systolic and diastolic values. A hand calculator may be useful. The data forms will include fields for these averaged values and for any actions taken.</w:t>
      </w:r>
    </w:p>
    <w:p>
      <w:pPr>
        <w:pStyle w:val="Normal"/>
        <w:rPr/>
      </w:pPr>
      <w:r>
        <w:rPr/>
      </w:r>
    </w:p>
    <w:p>
      <w:pPr>
        <w:pStyle w:val="Romanbold"/>
        <w:rPr/>
      </w:pPr>
      <w:r>
        <w:rPr/>
        <w:tab/>
        <w:t>V.</w:t>
        <w:tab/>
        <w:t>Methods</w:t>
      </w:r>
    </w:p>
    <w:p>
      <w:pPr>
        <w:pStyle w:val="Normal"/>
        <w:rPr/>
      </w:pPr>
      <w:r>
        <w:rPr/>
      </w:r>
    </w:p>
    <w:p>
      <w:pPr>
        <w:pStyle w:val="Number1"/>
        <w:rPr/>
      </w:pPr>
      <w:r>
        <w:rPr/>
        <w:tab/>
        <w:t>1.</w:t>
        <w:tab/>
      </w:r>
      <w:r>
        <w:rPr>
          <w:u w:val="single"/>
        </w:rPr>
        <w:t>Preparation</w:t>
      </w:r>
      <w:r>
        <w:rPr/>
        <w:t xml:space="preserve"> </w:t>
      </w:r>
    </w:p>
    <w:p>
      <w:pPr>
        <w:pStyle w:val="Number1"/>
        <w:rPr/>
      </w:pPr>
      <w:r>
        <w:rPr/>
      </w:r>
    </w:p>
    <w:p>
      <w:pPr>
        <w:pStyle w:val="Number11"/>
        <w:rPr>
          <w:iCs/>
        </w:rPr>
      </w:pPr>
      <w:r>
        <w:rPr/>
        <w:tab/>
        <w:t>1.1</w:t>
        <w:tab/>
      </w:r>
      <w:r>
        <w:rPr>
          <w:i/>
        </w:rPr>
        <w:t>Record the date of the procedure and the Dinamap</w:t>
      </w:r>
      <w:r>
        <w:rPr>
          <w:rFonts w:eastAsia="Symbol" w:cs="Symbol" w:ascii="Symbol" w:hAnsi="Symbol"/>
          <w:i/>
          <w:vertAlign w:val="superscript"/>
        </w:rPr>
        <w:t></w:t>
      </w:r>
      <w:r>
        <w:rPr>
          <w:i/>
        </w:rPr>
        <w:t xml:space="preserve"> number on the Seated Blood Pressure Form during the five-minute rest period.</w:t>
      </w:r>
    </w:p>
    <w:p>
      <w:pPr>
        <w:pStyle w:val="Number11"/>
        <w:rPr>
          <w:iCs/>
        </w:rPr>
      </w:pPr>
      <w:r>
        <w:rPr>
          <w:iCs/>
        </w:rPr>
      </w:r>
    </w:p>
    <w:p>
      <w:pPr>
        <w:pStyle w:val="Number11"/>
        <w:rPr/>
      </w:pPr>
      <w:r>
        <w:rPr>
          <w:iCs/>
        </w:rPr>
        <w:tab/>
        <w:t>1.2</w:t>
        <w:tab/>
        <w:t>Before t</w:t>
      </w:r>
      <w:r>
        <w:rPr/>
        <w:t>he BP measurement procedure, explain to the participant what to expect and how long the procedure will take. The following script is suggested:</w:t>
      </w:r>
    </w:p>
    <w:p>
      <w:pPr>
        <w:pStyle w:val="Number1"/>
        <w:rPr/>
      </w:pPr>
      <w:r>
        <w:rPr/>
      </w:r>
    </w:p>
    <w:p>
      <w:pPr>
        <w:pStyle w:val="Number1bodybullet"/>
        <w:rPr>
          <w:rFonts w:ascii="Arial;Arial" w:hAnsi="Arial;Arial" w:cs="Arial;Arial"/>
          <w:b/>
          <w:b/>
          <w:sz w:val="20"/>
        </w:rPr>
      </w:pPr>
      <w:r>
        <w:rPr>
          <w:rFonts w:cs="Arial;Arial" w:ascii="Arial;Arial" w:hAnsi="Arial;Arial"/>
          <w:b/>
          <w:sz w:val="20"/>
        </w:rPr>
        <w:tab/>
        <w:t>“This part of the exam involves taking your resting blood pressure. It will take about 10 minutes. We would like you to sit with both feet on the floor and your arm supported on the table. We will have you sit quietly for five minutes. Then we will take your blood pressure three times, one minute apart, using an automated device. We will give you your blood pressure readings and some material to help you interpret them at the end.”</w:t>
      </w:r>
    </w:p>
    <w:p>
      <w:pPr>
        <w:pStyle w:val="Number1bodybullet"/>
        <w:rPr>
          <w:rFonts w:ascii="Arial;Arial" w:hAnsi="Arial;Arial" w:cs="Arial;Arial"/>
          <w:b/>
          <w:b/>
          <w:sz w:val="20"/>
        </w:rPr>
      </w:pPr>
      <w:r>
        <w:rPr>
          <w:rFonts w:cs="Arial;Arial" w:ascii="Arial;Arial" w:hAnsi="Arial;Arial"/>
          <w:b/>
          <w:sz w:val="20"/>
        </w:rPr>
      </w:r>
    </w:p>
    <w:p>
      <w:pPr>
        <w:pStyle w:val="Number1bodybullet"/>
        <w:rPr/>
      </w:pPr>
      <w:r>
        <w:rPr/>
        <w:t>1.3</w:t>
        <w:tab/>
        <w:t>Make sure the room temperature is between 70</w:t>
      </w:r>
      <w:r>
        <w:rPr>
          <w:rFonts w:eastAsia="Symbol" w:cs="Symbol" w:ascii="Symbol" w:hAnsi="Symbol"/>
        </w:rPr>
        <w:t></w:t>
      </w:r>
      <w:r>
        <w:rPr/>
        <w:t xml:space="preserve"> and 76</w:t>
      </w:r>
      <w:r>
        <w:rPr>
          <w:rFonts w:eastAsia="Symbol" w:cs="Symbol" w:ascii="Symbol" w:hAnsi="Symbol"/>
        </w:rPr>
        <w:t></w:t>
      </w:r>
      <w:r>
        <w:rPr/>
        <w:t xml:space="preserve"> Fahrenheit.</w:t>
        <w:tab/>
      </w:r>
    </w:p>
    <w:p>
      <w:pPr>
        <w:pStyle w:val="Number1"/>
        <w:rPr/>
      </w:pPr>
      <w:r>
        <w:rPr/>
        <w:tab/>
        <w:t>2.</w:t>
        <w:tab/>
      </w:r>
      <w:r>
        <w:rPr>
          <w:u w:val="single"/>
        </w:rPr>
        <w:t>Cuff Size Selection</w:t>
      </w:r>
    </w:p>
    <w:p>
      <w:pPr>
        <w:pStyle w:val="Number1"/>
        <w:rPr/>
      </w:pPr>
      <w:r>
        <w:rPr/>
      </w:r>
    </w:p>
    <w:p>
      <w:pPr>
        <w:pStyle w:val="Number11"/>
        <w:rPr/>
      </w:pPr>
      <w:r>
        <w:rPr/>
        <w:tab/>
        <w:t>2.1</w:t>
        <w:tab/>
        <w:t>Use the proper cuff size to avoid under- or over-estimation of the correct blood pressure. Selection of the proper sized cuff is based on the guideline that the length of the inflatable bladder in the cuff should be at least 40% of the arm circumference. Measurement of the bladder length in the Critikon</w:t>
      </w:r>
      <w:r>
        <w:rPr>
          <w:rFonts w:eastAsia="Symbol" w:cs="Symbol" w:ascii="Symbol" w:hAnsi="Symbol"/>
          <w:vertAlign w:val="superscript"/>
        </w:rPr>
        <w:t></w:t>
      </w:r>
      <w:r>
        <w:rPr/>
        <w:t xml:space="preserve"> cuffs confirms that the chart in Table 3 conforms to this guideline. A copy of this chart should be available during the BP measurement procedure for easy reference. </w:t>
      </w:r>
      <w:r>
        <w:rPr>
          <w:i/>
        </w:rPr>
        <w:t>Selection of cuff size should be based on the Critikon</w:t>
      </w:r>
      <w:r>
        <w:rPr>
          <w:rFonts w:eastAsia="Symbol" w:cs="Symbol" w:ascii="Symbol" w:hAnsi="Symbol"/>
          <w:i/>
        </w:rPr>
        <w:t></w:t>
      </w:r>
      <w:r>
        <w:rPr>
          <w:i/>
        </w:rPr>
        <w:t xml:space="preserve"> chart in Table 2, and only Critikon</w:t>
      </w:r>
      <w:r>
        <w:rPr>
          <w:rFonts w:eastAsia="Symbol" w:cs="Symbol" w:ascii="Symbol" w:hAnsi="Symbol"/>
          <w:i/>
        </w:rPr>
        <w:t></w:t>
      </w:r>
      <w:r>
        <w:rPr>
          <w:i/>
        </w:rPr>
        <w:t xml:space="preserve"> cuffs should be used.</w:t>
      </w:r>
      <w:r>
        <w:rPr/>
        <w:t xml:space="preserve"> If the participant’s arm size falls in a range in which there is overlap of two Critikon</w:t>
      </w:r>
      <w:r>
        <w:rPr>
          <w:rFonts w:eastAsia="Symbol" w:cs="Symbol" w:ascii="Symbol" w:hAnsi="Symbol"/>
          <w:vertAlign w:val="superscript"/>
        </w:rPr>
        <w:t></w:t>
      </w:r>
      <w:r>
        <w:rPr>
          <w:vertAlign w:val="superscript"/>
        </w:rPr>
        <w:t xml:space="preserve"> </w:t>
      </w:r>
      <w:r>
        <w:rPr/>
        <w:t xml:space="preserve">cuff sizes, use the </w:t>
      </w:r>
      <w:r>
        <w:rPr>
          <w:i/>
        </w:rPr>
        <w:t xml:space="preserve">larger </w:t>
      </w:r>
      <w:r>
        <w:rPr/>
        <w:t>cuff.</w:t>
      </w:r>
    </w:p>
    <w:p>
      <w:pPr>
        <w:pStyle w:val="Number11"/>
        <w:rPr/>
      </w:pPr>
      <w:r>
        <w:rPr/>
      </w:r>
    </w:p>
    <w:p>
      <w:pPr>
        <w:pStyle w:val="Number11"/>
        <w:rPr/>
      </w:pPr>
      <w:r>
        <w:rPr/>
        <w:tab/>
        <w:t>2.2</w:t>
        <w:tab/>
        <w:t>Measure the right arm circumference as follows:</w:t>
      </w:r>
    </w:p>
    <w:p>
      <w:pPr>
        <w:pStyle w:val="Number1"/>
        <w:rPr/>
      </w:pPr>
      <w:r>
        <w:rPr/>
      </w:r>
    </w:p>
    <w:p>
      <w:pPr>
        <w:pStyle w:val="Number11bodybullet"/>
        <w:rPr/>
      </w:pPr>
      <w:r>
        <w:rPr/>
        <w:tab/>
      </w:r>
      <w:r>
        <w:rPr>
          <w:rFonts w:eastAsia="Symbol" w:cs="Symbol" w:ascii="Symbol" w:hAnsi="Symbol"/>
        </w:rPr>
        <w:t></w:t>
      </w:r>
      <w:r>
        <w:rPr/>
        <w:tab/>
        <w:t>Ask the participant to bare the upper arm.</w:t>
      </w:r>
    </w:p>
    <w:p>
      <w:pPr>
        <w:pStyle w:val="Number11bodybullet"/>
        <w:rPr/>
      </w:pPr>
      <w:r>
        <w:rPr/>
        <w:tab/>
      </w:r>
      <w:r>
        <w:rPr>
          <w:rFonts w:eastAsia="Symbol" w:cs="Symbol" w:ascii="Symbol" w:hAnsi="Symbol"/>
        </w:rPr>
        <w:t></w:t>
      </w:r>
      <w:r>
        <w:rPr/>
        <w:tab/>
        <w:t>Instruct the participant to sit or stand holding forearm horizontal, i.e., parallel to the floor.</w:t>
      </w:r>
    </w:p>
    <w:p>
      <w:pPr>
        <w:pStyle w:val="Number11bodybullet"/>
        <w:rPr/>
      </w:pPr>
      <w:r>
        <w:rPr/>
        <w:tab/>
      </w:r>
      <w:r>
        <w:rPr>
          <w:rFonts w:eastAsia="Symbol" w:cs="Symbol" w:ascii="Symbol" w:hAnsi="Symbol"/>
        </w:rPr>
        <w:t></w:t>
      </w:r>
      <w:r>
        <w:rPr/>
        <w:tab/>
        <w:t>Measure arm length from the acromion (bony extremity of the shoulder girdle) to the olecranon (tip of the elbow) using a metric tape.</w:t>
      </w:r>
    </w:p>
    <w:p>
      <w:pPr>
        <w:pStyle w:val="Number11bodybullet"/>
        <w:rPr/>
      </w:pPr>
      <w:r>
        <w:rPr/>
        <w:tab/>
      </w:r>
      <w:r>
        <w:rPr>
          <w:rFonts w:eastAsia="Symbol" w:cs="Symbol" w:ascii="Symbol" w:hAnsi="Symbol"/>
        </w:rPr>
        <w:t></w:t>
      </w:r>
      <w:r>
        <w:rPr/>
        <w:tab/>
        <w:t>Mark the midpoint on the dorsal (back) surface of the arm.</w:t>
      </w:r>
    </w:p>
    <w:p>
      <w:pPr>
        <w:pStyle w:val="Number11bodybullet"/>
        <w:rPr/>
      </w:pPr>
      <w:r>
        <w:rPr/>
        <w:tab/>
      </w:r>
      <w:r>
        <w:rPr>
          <w:rFonts w:eastAsia="Symbol" w:cs="Symbol" w:ascii="Symbol" w:hAnsi="Symbol"/>
        </w:rPr>
        <w:t></w:t>
      </w:r>
      <w:r>
        <w:rPr/>
        <w:tab/>
        <w:t>Ask participant to relax arm along side of the body.</w:t>
      </w:r>
    </w:p>
    <w:p>
      <w:pPr>
        <w:pStyle w:val="Number11bodybullet"/>
        <w:rPr/>
      </w:pPr>
      <w:r>
        <w:rPr/>
        <w:tab/>
      </w:r>
      <w:r>
        <w:rPr>
          <w:rFonts w:eastAsia="Symbol" w:cs="Symbol" w:ascii="Symbol" w:hAnsi="Symbol"/>
        </w:rPr>
        <w:t></w:t>
      </w:r>
      <w:r>
        <w:rPr/>
        <w:tab/>
        <w:t xml:space="preserve">Draw the measuring tape snugly around the arm at the midpoint mark, keeping the tape horizontal. Tape should not indent the skin. </w:t>
      </w:r>
      <w:r>
        <w:rPr>
          <w:i/>
        </w:rPr>
        <w:t>Record the arm circumference in cm in Field 1 on the Seated Blood Pressure Form.</w:t>
      </w:r>
    </w:p>
    <w:p>
      <w:pPr>
        <w:pStyle w:val="Number11bodybullet"/>
        <w:rPr/>
      </w:pPr>
      <w:r>
        <w:rPr/>
        <w:tab/>
      </w:r>
      <w:r>
        <w:rPr>
          <w:rFonts w:eastAsia="Symbol" w:cs="Symbol" w:ascii="Symbol" w:hAnsi="Symbol"/>
        </w:rPr>
        <w:t></w:t>
      </w:r>
      <w:r>
        <w:rPr/>
        <w:tab/>
        <w:t xml:space="preserve">Use the criteria in Table 2, below, to determine cuff size. </w:t>
      </w:r>
      <w:r>
        <w:rPr>
          <w:i/>
        </w:rPr>
        <w:t>Check the cuff size used in Field 2 on the Blood</w:t>
      </w:r>
      <w:r>
        <w:rPr/>
        <w:t xml:space="preserve"> </w:t>
      </w:r>
      <w:r>
        <w:rPr>
          <w:i/>
        </w:rPr>
        <w:t xml:space="preserve">Pressure Form by filling in the appropriate circle. </w:t>
      </w:r>
    </w:p>
    <w:p>
      <w:pPr>
        <w:pStyle w:val="Normal"/>
        <w:rPr/>
      </w:pPr>
      <w:r>
        <w:rPr/>
      </w:r>
    </w:p>
    <w:p>
      <w:pPr>
        <w:pStyle w:val="Number11body"/>
        <w:rPr>
          <w:rFonts w:ascii="Arial;Arial" w:hAnsi="Arial;Arial" w:cs="Arial;Arial"/>
          <w:b/>
          <w:b/>
          <w:bCs/>
          <w:sz w:val="18"/>
        </w:rPr>
      </w:pPr>
      <w:r>
        <w:rPr>
          <w:rFonts w:cs="Arial;Arial" w:ascii="Arial;Arial" w:hAnsi="Arial;Arial"/>
          <w:b/>
          <w:bCs/>
          <w:sz w:val="18"/>
        </w:rPr>
        <w:t>Table 2. Cuff Size Indicated by Measured Arm Circumference</w:t>
      </w:r>
    </w:p>
    <w:p>
      <w:pPr>
        <w:pStyle w:val="Normal"/>
        <w:rPr>
          <w:rFonts w:ascii="Arial;Arial" w:hAnsi="Arial;Arial" w:cs="Arial;Arial"/>
          <w:b/>
          <w:b/>
          <w:bCs/>
          <w:sz w:val="18"/>
        </w:rPr>
      </w:pPr>
      <w:r>
        <w:rPr>
          <w:rFonts w:cs="Arial;Arial" w:ascii="Arial;Arial" w:hAnsi="Arial;Arial"/>
          <w:b/>
          <w:bCs/>
          <w:sz w:val="18"/>
        </w:rPr>
      </w:r>
    </w:p>
    <w:tbl>
      <w:tblPr>
        <w:tblW w:w="5940" w:type="dxa"/>
        <w:jc w:val="left"/>
        <w:tblInd w:w="1345" w:type="dxa"/>
        <w:tblLayout w:type="fixed"/>
        <w:tblCellMar>
          <w:top w:w="0" w:type="dxa"/>
          <w:left w:w="108" w:type="dxa"/>
          <w:bottom w:w="0" w:type="dxa"/>
          <w:right w:w="108" w:type="dxa"/>
        </w:tblCellMar>
      </w:tblPr>
      <w:tblGrid>
        <w:gridCol w:w="2340"/>
        <w:gridCol w:w="1530"/>
        <w:gridCol w:w="2070"/>
      </w:tblGrid>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Arm Circumference* (cm)*</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Cuff Name**</w:t>
              <w:tab/>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Bladder Length (cm)</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12-19</w:t>
              <w:tab/>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Child</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8</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17-25</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Small 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10</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23-33</w:t>
              <w:tab/>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13</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31-40</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Large 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17</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38-50</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Thigh</w:t>
              <w:tab/>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Arial;Arial" w:hAnsi="Arial;Arial" w:cs="Arial;Arial"/>
                <w:sz w:val="18"/>
              </w:rPr>
            </w:pPr>
            <w:r>
              <w:rPr>
                <w:rFonts w:cs="Arial;Arial" w:ascii="Arial;Arial" w:hAnsi="Arial;Arial"/>
                <w:sz w:val="18"/>
              </w:rPr>
            </w:r>
          </w:p>
        </w:tc>
      </w:tr>
    </w:tbl>
    <w:p>
      <w:pPr>
        <w:pStyle w:val="Number11body"/>
        <w:rPr>
          <w:rFonts w:ascii="Arial;Arial" w:hAnsi="Arial;Arial" w:cs="Arial;Arial"/>
          <w:sz w:val="16"/>
        </w:rPr>
      </w:pPr>
      <w:r>
        <w:rPr>
          <w:rFonts w:cs="Arial;Arial" w:ascii="Arial;Arial" w:hAnsi="Arial;Arial"/>
          <w:sz w:val="16"/>
        </w:rPr>
      </w:r>
    </w:p>
    <w:p>
      <w:pPr>
        <w:pStyle w:val="Number11body"/>
        <w:rPr>
          <w:rFonts w:ascii="Arial;Arial" w:hAnsi="Arial;Arial" w:cs="Arial;Arial"/>
          <w:sz w:val="16"/>
        </w:rPr>
      </w:pPr>
      <w:r>
        <w:rPr>
          <w:rFonts w:cs="Arial;Arial" w:ascii="Arial;Arial" w:hAnsi="Arial;Arial"/>
          <w:sz w:val="16"/>
        </w:rPr>
        <w:t>* These circumferences are printed on the corresponding cuff for verification.</w:t>
      </w:r>
    </w:p>
    <w:p>
      <w:pPr>
        <w:pStyle w:val="Number11body"/>
        <w:rPr/>
      </w:pPr>
      <w:r>
        <w:rPr>
          <w:rFonts w:cs="Arial;Arial" w:ascii="Arial;Arial" w:hAnsi="Arial;Arial"/>
          <w:sz w:val="16"/>
        </w:rPr>
        <w:t>** Critikon Dura-cuf</w:t>
      </w:r>
      <w:r>
        <w:rPr>
          <w:rFonts w:eastAsia="Symbol" w:cs="Symbol" w:ascii="Symbol" w:hAnsi="Symbol"/>
          <w:sz w:val="16"/>
        </w:rPr>
        <w:t></w:t>
      </w:r>
      <w:r>
        <w:rPr>
          <w:rFonts w:cs="Arial;Arial" w:ascii="Arial;Arial" w:hAnsi="Arial;Arial"/>
          <w:sz w:val="16"/>
        </w:rPr>
        <w:t xml:space="preserve"> nomenclature, also printed on the cuff</w:t>
      </w:r>
      <w:r>
        <w:rPr/>
        <w:t>.</w:t>
        <w:tab/>
        <w:tab/>
      </w:r>
    </w:p>
    <w:p>
      <w:pPr>
        <w:pStyle w:val="Normal"/>
        <w:rPr/>
      </w:pPr>
      <w:r>
        <w:rPr/>
      </w:r>
    </w:p>
    <w:p>
      <w:pPr>
        <w:pStyle w:val="Number1"/>
        <w:rPr/>
      </w:pPr>
      <w:r>
        <w:rPr/>
        <w:tab/>
        <w:t>3.</w:t>
        <w:tab/>
      </w:r>
      <w:r>
        <w:rPr>
          <w:u w:val="single"/>
        </w:rPr>
        <w:t>Setting up the Dinamap</w:t>
      </w:r>
      <w:r>
        <w:rPr>
          <w:rFonts w:eastAsia="Symbol" w:cs="Symbol" w:ascii="Symbol" w:hAnsi="Symbol"/>
          <w:u w:val="single"/>
          <w:vertAlign w:val="superscript"/>
        </w:rPr>
        <w:t></w:t>
      </w:r>
      <w:r>
        <w:rPr>
          <w:u w:val="single"/>
        </w:rPr>
        <w:t xml:space="preserve"> BP Machine</w:t>
      </w:r>
    </w:p>
    <w:p>
      <w:pPr>
        <w:pStyle w:val="Number11"/>
        <w:rPr/>
      </w:pPr>
      <w:r>
        <w:rPr/>
      </w:r>
    </w:p>
    <w:p>
      <w:pPr>
        <w:pStyle w:val="Number11"/>
        <w:rPr/>
      </w:pPr>
      <w:r>
        <w:rPr/>
        <w:tab/>
        <w:t>3.1</w:t>
        <w:tab/>
        <w:t xml:space="preserve">Load the printer paper by opening the flap on the side of the device. There is a diagram showing how to thread the paper on the inside of the door. There is a gray plastic wheel to the left of the roller. Just to the right of the gray wheel is a </w:t>
      </w:r>
      <w:r>
        <w:rPr>
          <w:i/>
          <w:iCs/>
        </w:rPr>
        <w:t xml:space="preserve">gray plastic lever. </w:t>
      </w:r>
      <w:r>
        <w:rPr/>
        <w:t>Gently flip this lever up. This releases the roller so that you can use the gray plastic wheel to turn the roller to thread the paper. Flip the gray lever down when finished.</w:t>
      </w:r>
    </w:p>
    <w:p>
      <w:pPr>
        <w:pStyle w:val="Number11"/>
        <w:rPr/>
      </w:pPr>
      <w:r>
        <w:rPr/>
      </w:r>
    </w:p>
    <w:p>
      <w:pPr>
        <w:pStyle w:val="Number11"/>
        <w:rPr/>
      </w:pPr>
      <w:r>
        <w:rPr/>
        <w:tab/>
        <w:t>3.2</w:t>
        <w:tab/>
        <w:t>To turn on the Dinamap</w:t>
      </w:r>
      <w:r>
        <w:rPr>
          <w:rFonts w:eastAsia="Symbol" w:cs="Symbol" w:ascii="Symbol" w:hAnsi="Symbol"/>
          <w:vertAlign w:val="superscript"/>
        </w:rPr>
        <w:t></w:t>
      </w:r>
      <w:r>
        <w:rPr/>
        <w:t xml:space="preserve"> device, push the "Off/On" button on the front control panel (lower left).</w:t>
      </w:r>
    </w:p>
    <w:p>
      <w:pPr>
        <w:pStyle w:val="Number11"/>
        <w:rPr/>
      </w:pPr>
      <w:r>
        <w:rPr/>
      </w:r>
    </w:p>
    <w:p>
      <w:pPr>
        <w:pStyle w:val="Number11"/>
        <w:rPr/>
      </w:pPr>
      <w:r>
        <w:rPr/>
        <w:tab/>
        <w:t>3.3</w:t>
        <w:tab/>
        <w:t xml:space="preserve">After five seconds an initial message will appear on the LCD screen. It will consist of a </w:t>
      </w:r>
      <w:r>
        <w:rPr>
          <w:smallCaps/>
        </w:rPr>
        <w:t>warning</w:t>
      </w:r>
      <w:r>
        <w:rPr/>
        <w:t xml:space="preserve"> and the instruction, </w:t>
      </w:r>
      <w:r>
        <w:rPr>
          <w:smallCaps/>
        </w:rPr>
        <w:t>“push a front panel key to start.”</w:t>
      </w:r>
      <w:r>
        <w:rPr/>
        <w:t xml:space="preserve"> </w:t>
      </w:r>
    </w:p>
    <w:p>
      <w:pPr>
        <w:pStyle w:val="Number11"/>
        <w:rPr/>
      </w:pPr>
      <w:r>
        <w:rPr/>
      </w:r>
    </w:p>
    <w:p>
      <w:pPr>
        <w:pStyle w:val="Number11"/>
        <w:rPr/>
      </w:pPr>
      <w:r>
        <w:rPr/>
        <w:tab/>
        <w:t>3.4</w:t>
        <w:tab/>
        <w:t xml:space="preserve">In the main menu select </w:t>
      </w:r>
      <w:r>
        <w:rPr>
          <w:smallCaps/>
        </w:rPr>
        <w:t>print</w:t>
      </w:r>
      <w:r>
        <w:rPr/>
        <w:t xml:space="preserve"> using the gray toggle knob. In the next menu, select </w:t>
      </w:r>
      <w:r>
        <w:rPr>
          <w:smallCaps/>
        </w:rPr>
        <w:t>auto</w:t>
      </w:r>
      <w:r>
        <w:rPr/>
        <w:t xml:space="preserve"> and then push the toggle knob. This will program the device to print the blood pressure measurements.</w:t>
      </w:r>
    </w:p>
    <w:p>
      <w:pPr>
        <w:pStyle w:val="Number11"/>
        <w:rPr/>
      </w:pPr>
      <w:r>
        <w:rPr/>
      </w:r>
    </w:p>
    <w:p>
      <w:pPr>
        <w:pStyle w:val="Number11"/>
        <w:rPr/>
      </w:pPr>
      <w:r>
        <w:rPr/>
        <w:tab/>
        <w:t>3.5</w:t>
        <w:tab/>
        <w:t xml:space="preserve">Do not touch the monitor again until you have completed steps 4–6, below, and you are ready to proceed with blood pressure measurement. </w:t>
      </w:r>
    </w:p>
    <w:p>
      <w:pPr>
        <w:pStyle w:val="Number11"/>
        <w:rPr/>
      </w:pPr>
      <w:r>
        <w:rPr/>
      </w:r>
    </w:p>
    <w:p>
      <w:pPr>
        <w:pStyle w:val="Number1"/>
        <w:rPr/>
      </w:pPr>
      <w:r>
        <w:rPr/>
        <w:tab/>
        <w:t>4.</w:t>
        <w:tab/>
      </w:r>
      <w:r>
        <w:rPr>
          <w:u w:val="single"/>
        </w:rPr>
        <w:t>Positioning the Participant</w:t>
      </w:r>
    </w:p>
    <w:p>
      <w:pPr>
        <w:pStyle w:val="Number1"/>
        <w:rPr/>
      </w:pPr>
      <w:r>
        <w:rPr/>
      </w:r>
    </w:p>
    <w:p>
      <w:pPr>
        <w:pStyle w:val="Number11"/>
        <w:rPr/>
      </w:pPr>
      <w:r>
        <w:rPr/>
        <w:tab/>
        <w:t>4.1</w:t>
        <w:tab/>
        <w:t>The workstation should be free of excessive noise or distractions.</w:t>
      </w:r>
    </w:p>
    <w:p>
      <w:pPr>
        <w:pStyle w:val="Number11"/>
        <w:rPr/>
      </w:pPr>
      <w:r>
        <w:rPr/>
      </w:r>
    </w:p>
    <w:p>
      <w:pPr>
        <w:pStyle w:val="Number11"/>
        <w:rPr/>
      </w:pPr>
      <w:r>
        <w:rPr/>
        <w:tab/>
        <w:t>4.2</w:t>
        <w:tab/>
        <w:t>The participant should be seated and relaxed in a comfortable chair, to ensure that:</w:t>
      </w:r>
    </w:p>
    <w:p>
      <w:pPr>
        <w:pStyle w:val="Number11"/>
        <w:rPr/>
      </w:pPr>
      <w:r>
        <w:rPr/>
      </w:r>
    </w:p>
    <w:p>
      <w:pPr>
        <w:pStyle w:val="Number11bodybullet"/>
        <w:rPr/>
      </w:pPr>
      <w:r>
        <w:rPr/>
        <w:tab/>
      </w:r>
      <w:r>
        <w:rPr>
          <w:rFonts w:eastAsia="Symbol" w:cs="Symbol" w:ascii="Symbol" w:hAnsi="Symbol"/>
        </w:rPr>
        <w:t></w:t>
      </w:r>
      <w:r>
        <w:rPr/>
        <w:tab/>
        <w:t>He or she is sitting up (not slouched).</w:t>
      </w:r>
    </w:p>
    <w:p>
      <w:pPr>
        <w:pStyle w:val="Number11bodybullet"/>
        <w:rPr/>
      </w:pPr>
      <w:r>
        <w:rPr/>
        <w:tab/>
      </w:r>
      <w:r>
        <w:rPr>
          <w:rFonts w:eastAsia="Symbol" w:cs="Symbol" w:ascii="Symbol" w:hAnsi="Symbol"/>
        </w:rPr>
        <w:t></w:t>
      </w:r>
      <w:r>
        <w:rPr/>
        <w:tab/>
        <w:t>Both feet are on the floor (legs/ankles not crossed).</w:t>
      </w:r>
    </w:p>
    <w:p>
      <w:pPr>
        <w:pStyle w:val="Number11bodybullet"/>
        <w:rPr/>
      </w:pPr>
      <w:r>
        <w:rPr/>
        <w:tab/>
      </w:r>
      <w:r>
        <w:rPr>
          <w:rFonts w:eastAsia="Symbol" w:cs="Symbol" w:ascii="Symbol" w:hAnsi="Symbol"/>
        </w:rPr>
        <w:t></w:t>
      </w:r>
      <w:r>
        <w:rPr/>
        <w:tab/>
        <w:t xml:space="preserve">Right forearm is supported resting on the table. </w:t>
      </w:r>
    </w:p>
    <w:p>
      <w:pPr>
        <w:pStyle w:val="Number11"/>
        <w:rPr/>
      </w:pPr>
      <w:r>
        <w:rPr/>
        <w:tab/>
        <w:tab/>
      </w:r>
    </w:p>
    <w:p>
      <w:pPr>
        <w:pStyle w:val="Number11"/>
        <w:rPr/>
      </w:pPr>
      <w:r>
        <w:rPr/>
        <w:tab/>
        <w:t>4.3</w:t>
        <w:tab/>
        <w:t>The participant should not talk, eat, or drink during the procedure.</w:t>
      </w:r>
    </w:p>
    <w:p>
      <w:pPr>
        <w:pStyle w:val="Number11"/>
        <w:rPr/>
      </w:pPr>
      <w:r>
        <w:rPr/>
      </w:r>
    </w:p>
    <w:p>
      <w:pPr>
        <w:pStyle w:val="Number11"/>
        <w:rPr/>
      </w:pPr>
      <w:r>
        <w:rPr/>
        <w:tab/>
        <w:t>4.4</w:t>
        <w:tab/>
        <w:t>Ideally, the Dinamap output will not be visible to the participant during the measurement, as this may cause anxiety.</w:t>
      </w:r>
    </w:p>
    <w:p>
      <w:pPr>
        <w:pStyle w:val="Number11"/>
        <w:rPr/>
      </w:pPr>
      <w:r>
        <w:rPr/>
      </w:r>
    </w:p>
    <w:p>
      <w:pPr>
        <w:pStyle w:val="Number1"/>
        <w:rPr/>
      </w:pPr>
      <w:r>
        <w:rPr/>
        <w:tab/>
        <w:t>5.</w:t>
        <w:tab/>
      </w:r>
      <w:r>
        <w:rPr>
          <w:u w:val="single"/>
        </w:rPr>
        <w:t>Application of the Blood Pressure Cuff</w:t>
      </w:r>
    </w:p>
    <w:p>
      <w:pPr>
        <w:pStyle w:val="Number11"/>
        <w:rPr/>
      </w:pPr>
      <w:r>
        <w:rPr/>
      </w:r>
    </w:p>
    <w:p>
      <w:pPr>
        <w:pStyle w:val="Number11"/>
        <w:rPr/>
      </w:pPr>
      <w:r>
        <w:rPr/>
        <w:tab/>
        <w:t>5.1</w:t>
        <w:tab/>
        <w:t>Place the appropriate cuff around the upper right arm so that the mid-height of the cuff is at heart level. Palpate the patient’s brachial artery and place cuff so that the artery is aligned with the cuff arrow marked “artery.”</w:t>
      </w:r>
    </w:p>
    <w:p>
      <w:pPr>
        <w:pStyle w:val="Number11"/>
        <w:rPr/>
      </w:pPr>
      <w:r>
        <w:rPr/>
      </w:r>
    </w:p>
    <w:p>
      <w:pPr>
        <w:pStyle w:val="Number11"/>
        <w:rPr/>
      </w:pPr>
      <w:r>
        <w:rPr/>
        <w:tab/>
        <w:t>5.2</w:t>
        <w:tab/>
        <w:t>Place the lower edge of the cuff, with its tubing connections, two centimeters above the natural crease across the inner aspect of the elbow.</w:t>
      </w:r>
    </w:p>
    <w:p>
      <w:pPr>
        <w:pStyle w:val="Number11"/>
        <w:rPr/>
      </w:pPr>
      <w:r>
        <w:rPr/>
      </w:r>
    </w:p>
    <w:p>
      <w:pPr>
        <w:pStyle w:val="Number11"/>
        <w:rPr/>
      </w:pPr>
      <w:r>
        <w:rPr/>
        <w:tab/>
        <w:t>5.3</w:t>
        <w:tab/>
        <w:t>Wrap the cuff snugly around the arm, with the palm of the participant's hand turned upward.</w:t>
      </w:r>
    </w:p>
    <w:p>
      <w:pPr>
        <w:pStyle w:val="Number11"/>
        <w:rPr/>
      </w:pPr>
      <w:r>
        <w:rPr/>
      </w:r>
    </w:p>
    <w:p>
      <w:pPr>
        <w:pStyle w:val="Number11"/>
        <w:rPr/>
      </w:pPr>
      <w:r>
        <w:rPr/>
        <w:tab/>
        <w:t>5.4</w:t>
        <w:tab/>
        <w:t>Secure the wrapped cuff firmly by applying pressure to the locking fabric fastener over the area where it is applied to the cuff.</w:t>
      </w:r>
    </w:p>
    <w:p>
      <w:pPr>
        <w:pStyle w:val="Number11"/>
        <w:rPr/>
      </w:pPr>
      <w:r>
        <w:rPr/>
      </w:r>
    </w:p>
    <w:p>
      <w:pPr>
        <w:pStyle w:val="Number11"/>
        <w:rPr/>
      </w:pPr>
      <w:r>
        <w:rPr/>
        <w:tab/>
        <w:t>5.5</w:t>
        <w:tab/>
        <w:t>Do not wrap the cuff too tightly around the arm. You should be able to insert the first joint of two fingers under the cuff. The cuff should be snug but not tight.</w:t>
      </w:r>
    </w:p>
    <w:p>
      <w:pPr>
        <w:pStyle w:val="Number11"/>
        <w:rPr/>
      </w:pPr>
      <w:r>
        <w:rPr/>
      </w:r>
    </w:p>
    <w:p>
      <w:pPr>
        <w:pStyle w:val="Number11"/>
        <w:rPr/>
      </w:pPr>
      <w:r>
        <w:rPr/>
        <w:tab/>
        <w:t>5.6</w:t>
        <w:tab/>
        <w:t>Be sure all air is squeezed out of the cuff before each inflation.</w:t>
      </w:r>
    </w:p>
    <w:p>
      <w:pPr>
        <w:pStyle w:val="Number11"/>
        <w:rPr/>
      </w:pPr>
      <w:r>
        <w:rPr/>
      </w:r>
    </w:p>
    <w:p>
      <w:pPr>
        <w:pStyle w:val="Number1"/>
        <w:rPr/>
      </w:pPr>
      <w:r>
        <w:rPr/>
        <w:tab/>
        <w:t>6.</w:t>
        <w:tab/>
      </w:r>
      <w:r>
        <w:rPr>
          <w:u w:val="single"/>
        </w:rPr>
        <w:t>Rest Period</w:t>
      </w:r>
    </w:p>
    <w:p>
      <w:pPr>
        <w:pStyle w:val="Normal"/>
        <w:rPr>
          <w:u w:val="single"/>
        </w:rPr>
      </w:pPr>
      <w:r>
        <w:rPr>
          <w:u w:val="single"/>
        </w:rPr>
      </w:r>
    </w:p>
    <w:p>
      <w:pPr>
        <w:pStyle w:val="Number11"/>
        <w:rPr/>
      </w:pPr>
      <w:r>
        <w:rPr/>
        <w:tab/>
        <w:t>6.1</w:t>
        <w:tab/>
        <w:t xml:space="preserve">The participant should rest for five minutes (timed using a watch or stop watch) prior to the heart rate and blood pressure measurement. </w:t>
      </w:r>
    </w:p>
    <w:p>
      <w:pPr>
        <w:pStyle w:val="Number11"/>
        <w:rPr/>
      </w:pPr>
      <w:r>
        <w:rPr/>
      </w:r>
    </w:p>
    <w:p>
      <w:pPr>
        <w:pStyle w:val="Number11"/>
        <w:rPr/>
      </w:pPr>
      <w:r>
        <w:rPr/>
        <w:tab/>
        <w:t>6.2</w:t>
        <w:tab/>
        <w:t xml:space="preserve">When the five-minute rest period is over, but before the first blood pressure measurement is started, </w:t>
      </w:r>
      <w:r>
        <w:rPr>
          <w:i/>
          <w:iCs/>
        </w:rPr>
        <w:t xml:space="preserve">record the time of day in </w:t>
      </w:r>
      <w:r>
        <w:rPr>
          <w:i/>
        </w:rPr>
        <w:t>Field 4 on the Seated Blood</w:t>
      </w:r>
      <w:r>
        <w:rPr/>
        <w:t xml:space="preserve"> </w:t>
      </w:r>
      <w:r>
        <w:rPr>
          <w:i/>
        </w:rPr>
        <w:t xml:space="preserve">Pressure Form </w:t>
      </w:r>
      <w:r>
        <w:rPr>
          <w:iCs/>
        </w:rPr>
        <w:t>(examples: 04:25 P [p.m.] or 11:38 A [a.m.]).</w:t>
      </w:r>
    </w:p>
    <w:p>
      <w:pPr>
        <w:pStyle w:val="Number11"/>
        <w:rPr>
          <w:iCs/>
        </w:rPr>
      </w:pPr>
      <w:r>
        <w:rPr>
          <w:iCs/>
        </w:rPr>
      </w:r>
    </w:p>
    <w:p>
      <w:pPr>
        <w:pStyle w:val="Number11"/>
        <w:rPr/>
      </w:pPr>
      <w:r>
        <w:rPr>
          <w:iCs/>
        </w:rPr>
        <w:tab/>
        <w:t>6.3</w:t>
        <w:tab/>
      </w:r>
      <w:r>
        <w:rPr>
          <w:i/>
        </w:rPr>
        <w:t>Record the room temperature in Field 7 on the Seated Blood Pressure Form.</w:t>
      </w:r>
    </w:p>
    <w:p>
      <w:pPr>
        <w:pStyle w:val="Normal"/>
        <w:rPr>
          <w:i/>
          <w:i/>
        </w:rPr>
      </w:pPr>
      <w:r>
        <w:rPr>
          <w:i/>
        </w:rPr>
      </w:r>
    </w:p>
    <w:p>
      <w:pPr>
        <w:pStyle w:val="Number1"/>
        <w:rPr>
          <w:i/>
          <w:i/>
          <w:iCs/>
        </w:rPr>
      </w:pPr>
      <w:r>
        <w:rPr/>
        <w:tab/>
        <w:t>7.</w:t>
        <w:tab/>
        <w:t xml:space="preserve"> </w:t>
      </w:r>
      <w:r>
        <w:rPr>
          <w:u w:val="single"/>
        </w:rPr>
        <w:t>Blood Pressure Measurement</w:t>
      </w:r>
    </w:p>
    <w:p>
      <w:pPr>
        <w:pStyle w:val="Number11"/>
        <w:rPr>
          <w:i/>
          <w:i/>
          <w:iCs/>
        </w:rPr>
      </w:pPr>
      <w:r>
        <w:rPr>
          <w:i/>
          <w:iCs/>
        </w:rPr>
      </w:r>
    </w:p>
    <w:p>
      <w:pPr>
        <w:pStyle w:val="Number11"/>
        <w:rPr/>
      </w:pPr>
      <w:r>
        <w:rPr/>
        <w:tab/>
        <w:t>7.1</w:t>
        <w:tab/>
        <w:t>To begin the blood pressure procedure, access the Main Menu on the Dinamap</w:t>
      </w:r>
      <w:r>
        <w:rPr>
          <w:rFonts w:eastAsia="Symbol" w:cs="Symbol" w:ascii="Symbol" w:hAnsi="Symbol"/>
          <w:vertAlign w:val="superscript"/>
        </w:rPr>
        <w:t></w:t>
      </w:r>
      <w:r>
        <w:rPr/>
        <w:t xml:space="preserve"> by pushing the “Start/Stop” button at the lower right of the monitor. (Please note that the gray knob located at the upper right of the monitor allows you to change selections in the monitor screen, in a manner similar to a computer mouse or pointing device. Rotate the knob in order to move from one item to another in the monitor screen, and push it to select the desired option.) </w:t>
      </w:r>
    </w:p>
    <w:p>
      <w:pPr>
        <w:pStyle w:val="Number11"/>
        <w:rPr/>
      </w:pPr>
      <w:r>
        <w:rPr/>
      </w:r>
    </w:p>
    <w:p>
      <w:pPr>
        <w:pStyle w:val="Number11"/>
        <w:rPr/>
      </w:pPr>
      <w:r>
        <w:rPr/>
        <w:tab/>
        <w:tab/>
        <w:t xml:space="preserve">Use the knob to select the </w:t>
      </w:r>
      <w:r>
        <w:rPr>
          <w:smallCaps/>
        </w:rPr>
        <w:t>set bp</w:t>
      </w:r>
      <w:r>
        <w:rPr/>
        <w:t xml:space="preserve"> option from the menu and then press the knob (equivalent to clicking a mouse) to implement the selection. The next menu appears automatically.</w:t>
      </w:r>
    </w:p>
    <w:p>
      <w:pPr>
        <w:pStyle w:val="Number11"/>
        <w:rPr/>
      </w:pPr>
      <w:r>
        <w:rPr/>
      </w:r>
    </w:p>
    <w:p>
      <w:pPr>
        <w:pStyle w:val="Number11"/>
        <w:rPr/>
      </w:pPr>
      <w:r>
        <w:rPr/>
        <w:tab/>
        <w:tab/>
        <w:t xml:space="preserve">Use the knob to select </w:t>
      </w:r>
      <w:r>
        <w:rPr>
          <w:smallCaps/>
        </w:rPr>
        <w:t>auto bp</w:t>
      </w:r>
      <w:r>
        <w:rPr/>
        <w:t xml:space="preserve"> and then press the knob.</w:t>
      </w:r>
    </w:p>
    <w:p>
      <w:pPr>
        <w:pStyle w:val="Number11"/>
        <w:rPr/>
      </w:pPr>
      <w:r>
        <w:rPr/>
        <w:tab/>
      </w:r>
    </w:p>
    <w:p>
      <w:pPr>
        <w:pStyle w:val="Number11"/>
        <w:rPr/>
      </w:pPr>
      <w:r>
        <w:rPr/>
        <w:tab/>
        <w:t>7.2</w:t>
        <w:tab/>
        <w:t xml:space="preserve">Immediately after you select </w:t>
      </w:r>
      <w:r>
        <w:rPr>
          <w:smallCaps/>
        </w:rPr>
        <w:t>auto bp</w:t>
      </w:r>
      <w:r>
        <w:rPr/>
        <w:t xml:space="preserve"> the monitor will start the first blood pressure measurement. However, during this first inflation, select the window that has appeared to the right of </w:t>
      </w:r>
      <w:r>
        <w:rPr>
          <w:smallCaps/>
        </w:rPr>
        <w:t>auto bp</w:t>
      </w:r>
      <w:r>
        <w:rPr/>
        <w:t xml:space="preserve"> and push the knob, so that there is a black number against a clear background in the window. Rotate the knob to select “2.” This will select two minutes as the interval between sequential blood pressure measurements. Push the knob again (colors in window will reverse) to implement the selection. (The device will retain this setting, even after it is turned off, so you will not have to repeat this step again.)</w:t>
      </w:r>
    </w:p>
    <w:p>
      <w:pPr>
        <w:pStyle w:val="Number11"/>
        <w:rPr/>
      </w:pPr>
      <w:r>
        <w:rPr/>
      </w:r>
    </w:p>
    <w:p>
      <w:pPr>
        <w:pStyle w:val="Number11"/>
        <w:rPr/>
      </w:pPr>
      <w:r>
        <w:rPr/>
        <w:tab/>
        <w:t>7.3</w:t>
        <w:tab/>
        <w:t xml:space="preserve">Palpate the radial pulse during inflation. The radial pulse should not be palpable at peak inflation pressure. If the participant's radial pressure remains palpable when the device begins to deflate, the device will complete its deflation procedure and then should automatically reset itself for a higher inflation pressure and repeat the measurement. In the unlikely event that this does not occur, manually reset the inflation pressure: </w:t>
      </w:r>
    </w:p>
    <w:p>
      <w:pPr>
        <w:pStyle w:val="Number11"/>
        <w:rPr/>
      </w:pPr>
      <w:r>
        <w:rPr/>
      </w:r>
    </w:p>
    <w:p>
      <w:pPr>
        <w:pStyle w:val="Number111"/>
        <w:rPr/>
      </w:pPr>
      <w:r>
        <w:rPr/>
        <w:tab/>
        <w:t>7.31</w:t>
        <w:tab/>
        <w:t xml:space="preserve">Rotate the knob until the window to the right of  </w:t>
      </w:r>
      <w:r>
        <w:rPr>
          <w:smallCaps/>
        </w:rPr>
        <w:t>tgt pressure</w:t>
      </w:r>
      <w:r>
        <w:rPr/>
        <w:t xml:space="preserve"> is highlighted, push the knob and rotate it again until it reaches 210, and push it again to select. Repeat the blood pressure measurement. </w:t>
      </w:r>
    </w:p>
    <w:p>
      <w:pPr>
        <w:pStyle w:val="Number111"/>
        <w:rPr/>
      </w:pPr>
      <w:r>
        <w:rPr/>
      </w:r>
    </w:p>
    <w:p>
      <w:pPr>
        <w:pStyle w:val="Number111"/>
        <w:rPr/>
      </w:pPr>
      <w:r>
        <w:rPr/>
        <w:tab/>
        <w:t>7.32</w:t>
        <w:tab/>
        <w:t xml:space="preserve">It is not necessary to repeat or prolong the five-minute rest period, if this happens, but explain the change in the procedure to the participant (e.g., “I think we need to use a higher inflation pressure—I'm just going to reset the machine”). </w:t>
      </w:r>
    </w:p>
    <w:p>
      <w:pPr>
        <w:pStyle w:val="Number111"/>
        <w:rPr/>
      </w:pPr>
      <w:r>
        <w:rPr/>
      </w:r>
    </w:p>
    <w:p>
      <w:pPr>
        <w:pStyle w:val="Number111"/>
        <w:rPr/>
      </w:pPr>
      <w:r>
        <w:rPr/>
        <w:tab/>
        <w:t>7.33</w:t>
        <w:tab/>
        <w:t>If a higher maximal inflation pressure is needed, reset this parameter at 260 mm Hg, and, if necessary, at 300 mm Hg. Check carefully to be sure that the cuff is properly positioned on the participant's arm with the arrow at the brachial artery.</w:t>
      </w:r>
    </w:p>
    <w:p>
      <w:pPr>
        <w:pStyle w:val="Number11"/>
        <w:rPr/>
      </w:pPr>
      <w:r>
        <w:rPr/>
      </w:r>
    </w:p>
    <w:p>
      <w:pPr>
        <w:pStyle w:val="Number11"/>
        <w:rPr/>
      </w:pPr>
      <w:r>
        <w:rPr/>
        <w:tab/>
        <w:t>7.4</w:t>
        <w:tab/>
        <w:t>When the radial pulse is obliterated at maximal inflation, the first blood pressure measurement will be obtained. The device will automatically obtain the 2</w:t>
      </w:r>
      <w:r>
        <w:rPr>
          <w:vertAlign w:val="superscript"/>
        </w:rPr>
        <w:t>nd</w:t>
      </w:r>
      <w:r>
        <w:rPr/>
        <w:t xml:space="preserve"> and 3</w:t>
      </w:r>
      <w:r>
        <w:rPr>
          <w:vertAlign w:val="superscript"/>
        </w:rPr>
        <w:t>rd</w:t>
      </w:r>
      <w:r>
        <w:rPr/>
        <w:t xml:space="preserve"> measurements, at two-minute intervals.</w:t>
      </w:r>
    </w:p>
    <w:p>
      <w:pPr>
        <w:pStyle w:val="Number11"/>
        <w:rPr/>
      </w:pPr>
      <w:r>
        <w:rPr/>
      </w:r>
    </w:p>
    <w:p>
      <w:pPr>
        <w:pStyle w:val="Number11"/>
        <w:rPr/>
      </w:pPr>
      <w:r>
        <w:rPr/>
        <w:tab/>
        <w:t>7.5</w:t>
        <w:tab/>
      </w:r>
      <w:r>
        <w:rPr>
          <w:i/>
        </w:rPr>
        <w:t>Record the three sequential blood pressure readings in Fields 4, 5, and 6 on the Seated Blood Pressure Form.</w:t>
      </w:r>
    </w:p>
    <w:p>
      <w:pPr>
        <w:pStyle w:val="Number11"/>
        <w:rPr/>
      </w:pPr>
      <w:r>
        <w:rPr/>
      </w:r>
    </w:p>
    <w:p>
      <w:pPr>
        <w:pStyle w:val="Number11"/>
        <w:rPr/>
      </w:pPr>
      <w:r>
        <w:rPr/>
        <w:tab/>
        <w:t>7.6</w:t>
        <w:tab/>
        <w:t>After the 3</w:t>
      </w:r>
      <w:r>
        <w:rPr>
          <w:vertAlign w:val="superscript"/>
        </w:rPr>
        <w:t>rd</w:t>
      </w:r>
      <w:r>
        <w:rPr/>
        <w:t xml:space="preserve"> measurement is obtained, return to the main menu and select </w:t>
      </w:r>
      <w:r>
        <w:rPr>
          <w:smallCaps/>
        </w:rPr>
        <w:t>trend</w:t>
      </w:r>
      <w:r>
        <w:rPr/>
        <w:t xml:space="preserve"> and then </w:t>
      </w:r>
      <w:r>
        <w:rPr>
          <w:smallCaps/>
        </w:rPr>
        <w:t>print all</w:t>
      </w:r>
      <w:r>
        <w:rPr/>
        <w:t xml:space="preserve">. When printout is obtained and verified, proceed to </w:t>
      </w:r>
      <w:r>
        <w:rPr>
          <w:smallCaps/>
        </w:rPr>
        <w:t>trend</w:t>
      </w:r>
      <w:r>
        <w:rPr/>
        <w:t xml:space="preserve"> and then </w:t>
      </w:r>
      <w:r>
        <w:rPr>
          <w:smallCaps/>
        </w:rPr>
        <w:t>clear</w:t>
      </w:r>
      <w:r>
        <w:rPr/>
        <w:t xml:space="preserve">. When the monitor requests confirmation, select </w:t>
      </w:r>
      <w:r>
        <w:rPr>
          <w:smallCaps/>
        </w:rPr>
        <w:t>yes</w:t>
      </w:r>
      <w:r>
        <w:rPr/>
        <w:t>. Paste or staple the printout in the ad-hoc page.</w:t>
      </w:r>
    </w:p>
    <w:p>
      <w:pPr>
        <w:pStyle w:val="Number11"/>
        <w:rPr/>
      </w:pPr>
      <w:r>
        <w:rPr/>
      </w:r>
    </w:p>
    <w:p>
      <w:pPr>
        <w:pStyle w:val="Number11"/>
        <w:rPr/>
      </w:pPr>
      <w:r>
        <w:rPr/>
        <w:tab/>
        <w:t>7.7</w:t>
        <w:tab/>
        <w:t xml:space="preserve">In order to keep the machine from continuing with further automatic blood pressure measurements go to the main menu, select </w:t>
      </w:r>
      <w:r>
        <w:rPr>
          <w:smallCaps/>
        </w:rPr>
        <w:t>set bp</w:t>
      </w:r>
      <w:r>
        <w:rPr/>
        <w:t xml:space="preserve"> and then </w:t>
      </w:r>
      <w:r>
        <w:rPr>
          <w:smallCaps/>
        </w:rPr>
        <w:t>manual</w:t>
      </w:r>
      <w:r>
        <w:rPr/>
        <w:t xml:space="preserve">. There is no need to turn off the machine if another participant is ready.  If for any reason the machine automatically starts an unnecessary inflation, push the “Start/Stop” button at the lower right hand corner of the monitor and then select </w:t>
      </w:r>
      <w:r>
        <w:rPr>
          <w:smallCaps/>
        </w:rPr>
        <w:t>manual</w:t>
      </w:r>
      <w:r>
        <w:rPr/>
        <w:t>, as explained above. Remove the blood pressure cuff from the participant's arm and thank the participant for his/her time.</w:t>
      </w:r>
    </w:p>
    <w:p>
      <w:pPr>
        <w:pStyle w:val="Number11"/>
        <w:rPr/>
      </w:pPr>
      <w:r>
        <w:rPr/>
      </w:r>
    </w:p>
    <w:p>
      <w:pPr>
        <w:pStyle w:val="Number1"/>
        <w:rPr/>
      </w:pPr>
      <w:r>
        <w:rPr/>
        <w:tab/>
        <w:t>8.</w:t>
        <w:tab/>
      </w:r>
      <w:r>
        <w:rPr>
          <w:u w:val="single"/>
        </w:rPr>
        <w:t>BP Measurement Instructions for Participants With Short, Thick Arms</w:t>
      </w:r>
    </w:p>
    <w:p>
      <w:pPr>
        <w:pStyle w:val="Number1"/>
        <w:rPr/>
      </w:pPr>
      <w:r>
        <w:rPr/>
      </w:r>
    </w:p>
    <w:p>
      <w:pPr>
        <w:pStyle w:val="Number11"/>
        <w:rPr/>
      </w:pPr>
      <w:r>
        <w:rPr/>
        <w:tab/>
        <w:t>8.1</w:t>
        <w:tab/>
        <w:t xml:space="preserve">Occasionally there will be a participant whose upper arm is too thick and short for the thigh cuff or on whom the thigh cuff pops open on inflation. The alternative procedure in this case is to obtain the resting blood pressure in the right </w:t>
      </w:r>
      <w:r>
        <w:rPr>
          <w:i/>
          <w:iCs/>
        </w:rPr>
        <w:t>forearm.</w:t>
      </w:r>
    </w:p>
    <w:p>
      <w:pPr>
        <w:pStyle w:val="Number11"/>
        <w:rPr/>
      </w:pPr>
      <w:r>
        <w:rPr/>
      </w:r>
    </w:p>
    <w:p>
      <w:pPr>
        <w:pStyle w:val="Number11"/>
        <w:rPr/>
      </w:pPr>
      <w:r>
        <w:rPr/>
        <w:tab/>
        <w:t>8.2</w:t>
        <w:tab/>
        <w:t>Measure the forearm circumference at the midpoint between the olecranon and the ulnar stylus (wrist bone on pinkie side). Select the proper size cuff based on the forearm measurement. The blood pressure procedure is otherwise the same.</w:t>
      </w:r>
    </w:p>
    <w:p>
      <w:pPr>
        <w:pStyle w:val="Number11"/>
        <w:rPr/>
      </w:pPr>
      <w:r>
        <w:rPr/>
      </w:r>
    </w:p>
    <w:p>
      <w:pPr>
        <w:pStyle w:val="Number11"/>
        <w:rPr/>
      </w:pPr>
      <w:r>
        <w:rPr/>
        <w:tab/>
        <w:t>8.3</w:t>
        <w:tab/>
        <w:t xml:space="preserve">You must document on the Seated Blood Pressure Form that you have measured the </w:t>
      </w:r>
      <w:r>
        <w:rPr>
          <w:i/>
          <w:iCs/>
        </w:rPr>
        <w:t>forearm blood pressure.</w:t>
      </w:r>
    </w:p>
    <w:p>
      <w:pPr>
        <w:pStyle w:val="Number11"/>
        <w:rPr/>
      </w:pPr>
      <w:r>
        <w:rPr/>
      </w:r>
    </w:p>
    <w:p>
      <w:pPr>
        <w:pStyle w:val="Number1"/>
        <w:rPr/>
      </w:pPr>
      <w:r>
        <w:rPr/>
        <w:tab/>
        <w:t>9.</w:t>
        <w:tab/>
      </w:r>
      <w:r>
        <w:rPr>
          <w:u w:val="single"/>
        </w:rPr>
        <w:t>Reporting Blood Pressure Results to Participants</w:t>
      </w:r>
    </w:p>
    <w:p>
      <w:pPr>
        <w:pStyle w:val="Number1"/>
        <w:rPr>
          <w:u w:val="single"/>
        </w:rPr>
      </w:pPr>
      <w:r>
        <w:rPr>
          <w:u w:val="single"/>
        </w:rPr>
      </w:r>
    </w:p>
    <w:p>
      <w:pPr>
        <w:pStyle w:val="Number11"/>
        <w:rPr/>
      </w:pPr>
      <w:r>
        <w:rPr/>
        <w:tab/>
        <w:t>9.1</w:t>
        <w:tab/>
        <w:t xml:space="preserve">The technician may verbally provide the participant with the blood pressure reading (the average of the last two pressures), </w:t>
      </w:r>
      <w:r>
        <w:rPr>
          <w:i/>
          <w:iCs/>
        </w:rPr>
        <w:t xml:space="preserve">if asked, </w:t>
      </w:r>
      <w:r>
        <w:rPr/>
        <w:t>after the procedure has been completed.</w:t>
      </w:r>
    </w:p>
    <w:p>
      <w:pPr>
        <w:pStyle w:val="Number11"/>
        <w:rPr/>
      </w:pPr>
      <w:r>
        <w:rPr/>
      </w:r>
    </w:p>
    <w:p>
      <w:pPr>
        <w:pStyle w:val="Number11"/>
        <w:rPr>
          <w:i/>
          <w:i/>
          <w:iCs/>
        </w:rPr>
      </w:pPr>
      <w:r>
        <w:rPr/>
        <w:tab/>
        <w:t>9.2</w:t>
        <w:tab/>
        <w:t>Alternatively, if the blood pressure is normal (&lt;140/90), the technician may say that it is normal, particularly if asked.</w:t>
      </w:r>
    </w:p>
    <w:p>
      <w:pPr>
        <w:pStyle w:val="Number11"/>
        <w:rPr>
          <w:i/>
          <w:i/>
          <w:iCs/>
        </w:rPr>
      </w:pPr>
      <w:r>
        <w:rPr>
          <w:i/>
          <w:iCs/>
        </w:rPr>
      </w:r>
    </w:p>
    <w:p>
      <w:pPr>
        <w:pStyle w:val="Number11"/>
        <w:rPr/>
      </w:pPr>
      <w:r>
        <w:rPr/>
        <w:tab/>
        <w:t>9.3</w:t>
        <w:tab/>
        <w:t>If the blood pressure is not normal (&gt;140/90) but not at an alert level (&gt;210 mm Hg), the technician should exercise the standard option of not discussing the interpretation or stating that it does appear to be high (or “somewhat elevated”) but that, again, it will be discussed later.</w:t>
      </w:r>
    </w:p>
    <w:p>
      <w:pPr>
        <w:pStyle w:val="Number11"/>
        <w:rPr/>
      </w:pPr>
      <w:r>
        <w:rPr/>
      </w:r>
    </w:p>
    <w:p>
      <w:pPr>
        <w:pStyle w:val="Number11"/>
        <w:rPr/>
      </w:pPr>
      <w:r>
        <w:rPr/>
        <w:tab/>
        <w:t>9.4</w:t>
        <w:tab/>
        <w:t>If an alert level is identified, the technician should calmly notify the clinic coordinator when the procedure has been completed. (If symptoms of severe hypertension are present, the technician should notify the clinic coordinator immediately.)</w:t>
      </w:r>
    </w:p>
    <w:p>
      <w:pPr>
        <w:pStyle w:val="Number11"/>
        <w:rPr>
          <w:b/>
          <w:b/>
          <w:caps/>
        </w:rPr>
      </w:pPr>
      <w:r>
        <w:rPr>
          <w:b/>
          <w:caps/>
        </w:rPr>
      </w:r>
    </w:p>
    <w:p>
      <w:pPr>
        <w:pStyle w:val="Romanbold"/>
        <w:rPr/>
      </w:pPr>
      <w:r>
        <w:rPr/>
        <w:tab/>
        <w:t>VI.</w:t>
        <w:tab/>
        <w:t>Quality Assurance/Quality Control Procedures for Dinamap Pro 100</w:t>
      </w:r>
      <w:r>
        <w:rPr>
          <w:rFonts w:eastAsia="Symbol" w:cs="Symbol" w:ascii="Symbol" w:hAnsi="Symbol"/>
        </w:rPr>
        <w:t></w:t>
      </w:r>
    </w:p>
    <w:p>
      <w:pPr>
        <w:pStyle w:val="Number1"/>
        <w:rPr/>
      </w:pPr>
      <w:r>
        <w:rPr/>
      </w:r>
    </w:p>
    <w:p>
      <w:pPr>
        <w:pStyle w:val="Number1"/>
        <w:rPr/>
      </w:pPr>
      <w:r>
        <w:rPr/>
        <w:tab/>
        <w:t>1.</w:t>
        <w:tab/>
        <w:t>Once a week each device should be used simultaneously with a paired device to simultaneously measure the blood pressure in each arm of a non-smoker under the age of 50, in whom there is no reason to suspect that the blood pressure in the two arms should differ. Repeat the measurement three times.</w:t>
      </w:r>
    </w:p>
    <w:p>
      <w:pPr>
        <w:pStyle w:val="Number1"/>
        <w:rPr/>
      </w:pPr>
      <w:r>
        <w:rPr/>
      </w:r>
    </w:p>
    <w:p>
      <w:pPr>
        <w:pStyle w:val="Number1"/>
        <w:rPr/>
      </w:pPr>
      <w:r>
        <w:rPr/>
        <w:tab/>
        <w:t>2.</w:t>
        <w:tab/>
        <w:t>If the paired blood pressure measurements agree within 4 mm Hg or less, for both systolic and diastolic BP, the devices are considered to be in calibration.</w:t>
      </w:r>
    </w:p>
    <w:p>
      <w:pPr>
        <w:pStyle w:val="Number1"/>
        <w:rPr/>
      </w:pPr>
      <w:r>
        <w:rPr/>
      </w:r>
    </w:p>
    <w:p>
      <w:pPr>
        <w:pStyle w:val="Number1"/>
        <w:rPr/>
      </w:pPr>
      <w:r>
        <w:rPr/>
        <w:tab/>
        <w:t>3.</w:t>
        <w:tab/>
        <w:t>Investigate any systematic divergence, even if less than 4 mm Hg (e.g., by switching arms and/or pairing the devices with a third device).</w:t>
      </w:r>
    </w:p>
    <w:p>
      <w:pPr>
        <w:pStyle w:val="Number1"/>
        <w:rPr/>
      </w:pPr>
      <w:r>
        <w:rPr/>
      </w:r>
    </w:p>
    <w:p>
      <w:pPr>
        <w:pStyle w:val="Number1"/>
        <w:rPr/>
      </w:pPr>
      <w:r>
        <w:rPr/>
        <w:tab/>
        <w:t>4.</w:t>
        <w:tab/>
        <w:t xml:space="preserve">If the two devices differ by more than 4 mm Hg, calibration must be done*. It should be recognized that, if the cuff deflation rate is 2 mm Hg/sec and the heart rate is 60 bpm, divergences of 2–4 mm Hg would be expected, even if the device is in perfect calibration. </w:t>
      </w:r>
    </w:p>
    <w:p>
      <w:pPr>
        <w:pStyle w:val="Number1"/>
        <w:rPr/>
      </w:pPr>
      <w:r>
        <w:rPr/>
      </w:r>
    </w:p>
    <w:p>
      <w:pPr>
        <w:pStyle w:val="Number11"/>
        <w:tabs>
          <w:tab w:val="right" w:pos="990" w:leader="none"/>
          <w:tab w:val="right" w:pos="1260" w:leader="none"/>
        </w:tabs>
        <w:ind w:left="1080" w:hanging="1080"/>
        <w:rPr/>
      </w:pPr>
      <w:r>
        <w:rPr/>
        <w:tab/>
      </w:r>
      <w:r>
        <w:rPr>
          <w:rFonts w:cs="Arial;Arial" w:ascii="Arial;Arial" w:hAnsi="Arial;Arial"/>
          <w:sz w:val="20"/>
        </w:rPr>
        <w:t>*</w:t>
        <w:tab/>
        <w:t>Calibration will be performed by Critikon. Contact the Critikon sales representative. A loan device will be provided while the study device in being calibrated. In addition, Critikon will perform yearly calibration on all study devices.</w:t>
        <w:tab/>
      </w:r>
    </w:p>
    <w:p>
      <w:pPr>
        <w:pStyle w:val="Romanbold"/>
        <w:rPr/>
      </w:pPr>
      <w:r>
        <w:rPr/>
        <w:tab/>
        <w:t>VII.</w:t>
        <w:tab/>
        <w:t>Certification for Resting Blood pressure Measurement in mesa</w:t>
      </w:r>
    </w:p>
    <w:p>
      <w:pPr>
        <w:pStyle w:val="Romanbold"/>
        <w:rPr/>
      </w:pPr>
      <w:r>
        <w:rPr/>
      </w:r>
    </w:p>
    <w:p>
      <w:pPr>
        <w:sectPr>
          <w:headerReference w:type="even" r:id="rId105"/>
          <w:headerReference w:type="default" r:id="rId106"/>
          <w:footerReference w:type="even" r:id="rId107"/>
          <w:footerReference w:type="default" r:id="rId108"/>
          <w:type w:val="oddPage"/>
          <w:pgSz w:w="12240" w:h="15840"/>
          <w:pgMar w:left="2880" w:right="1080" w:gutter="0" w:header="720" w:top="1440" w:footer="720" w:bottom="1440"/>
          <w:pgNumType w:fmt="decimal"/>
          <w:formProt w:val="false"/>
          <w:textDirection w:val="lrTb"/>
          <w:docGrid w:type="default" w:linePitch="360" w:charSpace="0"/>
        </w:sectPr>
        <w:pStyle w:val="Romanbold"/>
        <w:rPr/>
      </w:pPr>
      <w:r>
        <w:rPr/>
        <w:tab/>
        <w:tab/>
      </w:r>
      <w:r>
        <w:rPr>
          <w:b w:val="false"/>
          <w:caps w:val="false"/>
          <w:smallCaps w:val="false"/>
        </w:rPr>
        <w:t>Certification requires five documented, correctly performed blood pressure measurement, following the MESA certification form.</w:t>
      </w:r>
    </w:p>
    <w:p>
      <w:pPr>
        <w:pStyle w:val="Subsub"/>
        <w:rPr/>
      </w:pPr>
      <w:bookmarkStart w:id="27" w:name="__RefHeading___Toc503858983"/>
      <w:bookmarkEnd w:id="27"/>
      <w:r>
        <w:rPr/>
        <w:t>3.5.3  Ankle/Arm Blood Pressure</w:t>
      </w:r>
    </w:p>
    <w:p>
      <w:pPr>
        <w:pStyle w:val="Normal"/>
        <w:jc w:val="center"/>
        <w:rPr>
          <w:b/>
          <w:b/>
          <w:sz w:val="22"/>
        </w:rPr>
      </w:pPr>
      <w:r>
        <w:rPr>
          <w:b/>
          <w:sz w:val="22"/>
        </w:rPr>
      </w:r>
    </w:p>
    <w:p>
      <w:pPr>
        <w:pStyle w:val="Normal"/>
        <w:rPr>
          <w:b/>
          <w:b/>
          <w:sz w:val="22"/>
        </w:rPr>
      </w:pPr>
      <w:r>
        <w:rPr>
          <w:b/>
          <w:sz w:val="22"/>
        </w:rPr>
      </w:r>
    </w:p>
    <w:p>
      <w:pPr>
        <w:pStyle w:val="Romanbold"/>
        <w:rPr/>
      </w:pPr>
      <w:r>
        <w:rPr/>
        <w:tab/>
        <w:t>I.</w:t>
        <w:tab/>
        <w:t>Background and Rationale</w:t>
      </w:r>
    </w:p>
    <w:p>
      <w:pPr>
        <w:pStyle w:val="Romanbody"/>
        <w:rPr/>
      </w:pPr>
      <w:r>
        <w:rPr/>
      </w:r>
    </w:p>
    <w:p>
      <w:pPr>
        <w:pStyle w:val="Romanbody"/>
        <w:rPr/>
      </w:pPr>
      <w:r>
        <w:rPr/>
        <w:t xml:space="preserve">The presence of peripheral vascular disease will be assessed with the ankle/arm blood pressure index (ABI). A low ABI is highly correlated with lower extremity arterial disease and has been shown to predict all-cause and cardiovascular mortality in several studies. A normal ABI is 1.0 to 1.5, with progressively lower values corresponding to worsening arterial disease. This method may underestimate, however, the occurrence of the disease in patients with long-standing diabetes, due to medial arterial calcification and incompressibility of blood vessels. </w:t>
      </w:r>
    </w:p>
    <w:p>
      <w:pPr>
        <w:pStyle w:val="Romanbody"/>
        <w:rPr/>
      </w:pPr>
      <w:r>
        <w:rPr/>
      </w:r>
    </w:p>
    <w:p>
      <w:pPr>
        <w:pStyle w:val="Romanbold"/>
        <w:rPr/>
      </w:pPr>
      <w:r>
        <w:rPr/>
        <w:tab/>
        <w:t>II.</w:t>
        <w:tab/>
        <w:t>Equipment and Supplies</w:t>
      </w:r>
    </w:p>
    <w:p>
      <w:pPr>
        <w:pStyle w:val="Romanbodybullet"/>
        <w:rPr/>
      </w:pPr>
      <w:r>
        <w:rPr/>
      </w:r>
    </w:p>
    <w:p>
      <w:pPr>
        <w:pStyle w:val="Romanbodybullet"/>
        <w:rPr/>
      </w:pPr>
      <w:r>
        <w:rPr>
          <w:rFonts w:eastAsia="Symbol" w:cs="Symbol" w:ascii="Symbol" w:hAnsi="Symbol"/>
        </w:rPr>
        <w:t></w:t>
      </w:r>
      <w:r>
        <w:rPr/>
        <w:tab/>
        <w:t>Nicolet Doppler apparatus (EN50 LE 100, Nicolet vascular, Golden, CO) with an earpiece.</w:t>
      </w:r>
    </w:p>
    <w:p>
      <w:pPr>
        <w:pStyle w:val="Romanbodybullet"/>
        <w:rPr/>
      </w:pPr>
      <w:r>
        <w:rPr>
          <w:rFonts w:eastAsia="Symbol" w:cs="Symbol" w:ascii="Symbol" w:hAnsi="Symbol"/>
        </w:rPr>
        <w:t></w:t>
      </w:r>
      <w:r>
        <w:rPr/>
        <w:tab/>
        <w:t>gV batteries.</w:t>
      </w:r>
    </w:p>
    <w:p>
      <w:pPr>
        <w:pStyle w:val="Romanbodybullet"/>
        <w:rPr/>
      </w:pPr>
      <w:r>
        <w:rPr>
          <w:rFonts w:eastAsia="Symbol" w:cs="Symbol" w:ascii="Symbol" w:hAnsi="Symbol"/>
        </w:rPr>
        <w:t></w:t>
      </w:r>
      <w:r>
        <w:rPr/>
        <w:tab/>
        <w:t>Two full tubes of ultrasound transmission gel. (Gel can be purchased in bulk and tubes refilled.)</w:t>
      </w:r>
    </w:p>
    <w:p>
      <w:pPr>
        <w:pStyle w:val="Romanbodybullet"/>
        <w:rPr/>
      </w:pPr>
      <w:r>
        <w:rPr>
          <w:rFonts w:eastAsia="Symbol" w:cs="Symbol" w:ascii="Symbol" w:hAnsi="Symbol"/>
        </w:rPr>
        <w:t></w:t>
      </w:r>
      <w:r>
        <w:rPr/>
        <w:tab/>
        <w:t>A mercury sphygmomanometer with a male quick release coupler. The mercury column manometer should be mounted at “eye level.”</w:t>
      </w:r>
    </w:p>
    <w:p>
      <w:pPr>
        <w:pStyle w:val="Romanbodybullet"/>
        <w:rPr/>
      </w:pPr>
      <w:r>
        <w:rPr>
          <w:rFonts w:eastAsia="Symbol" w:cs="Symbol" w:ascii="Symbol" w:hAnsi="Symbol"/>
        </w:rPr>
        <w:t></w:t>
      </w:r>
      <w:r>
        <w:rPr/>
        <w:tab/>
        <w:t>Blood pressure cuffs: adult, large adult, and thigh</w:t>
      </w:r>
    </w:p>
    <w:p>
      <w:pPr>
        <w:pStyle w:val="Romanbodybullet"/>
        <w:rPr/>
      </w:pPr>
      <w:r>
        <w:rPr>
          <w:rFonts w:eastAsia="Symbol" w:cs="Symbol" w:ascii="Symbol" w:hAnsi="Symbol"/>
        </w:rPr>
        <w:t></w:t>
      </w:r>
      <w:r>
        <w:rPr/>
        <w:tab/>
        <w:t>Arm cuffs: Two 16 cm wide arm blood pressure cuffs (large arm), two 12 cm wide arm blood pressure cuffs (regular arm or adult), two 10 cm wide arm blood pressure cuffs (pediatric or child), and two thigh blood pressure cuffs.</w:t>
      </w:r>
    </w:p>
    <w:p>
      <w:pPr>
        <w:pStyle w:val="Romanbodybullet"/>
        <w:rPr/>
      </w:pPr>
      <w:r>
        <w:rPr>
          <w:rFonts w:eastAsia="Symbol" w:cs="Symbol" w:ascii="Symbol" w:hAnsi="Symbol"/>
        </w:rPr>
        <w:t></w:t>
      </w:r>
      <w:r>
        <w:rPr/>
        <w:tab/>
        <w:t>Tissue or wash cloth to remove the ultrasound contact gel.</w:t>
      </w:r>
    </w:p>
    <w:p>
      <w:pPr>
        <w:pStyle w:val="Romanbodybullet"/>
        <w:rPr/>
      </w:pPr>
      <w:r>
        <w:rPr>
          <w:rFonts w:eastAsia="Symbol" w:cs="Symbol" w:ascii="Symbol" w:hAnsi="Symbol"/>
        </w:rPr>
        <w:t></w:t>
      </w:r>
      <w:r>
        <w:rPr/>
        <w:tab/>
        <w:t>Black ball point pen and a marker.</w:t>
      </w:r>
    </w:p>
    <w:p>
      <w:pPr>
        <w:pStyle w:val="Romanbodybullet"/>
        <w:rPr/>
      </w:pPr>
      <w:r>
        <w:rPr>
          <w:rFonts w:eastAsia="Symbol" w:cs="Symbol" w:ascii="Symbol" w:hAnsi="Symbol"/>
        </w:rPr>
        <w:t></w:t>
      </w:r>
      <w:r>
        <w:rPr/>
        <w:tab/>
        <w:t>Ankle-Arm Blood Pressure Form.</w:t>
      </w:r>
    </w:p>
    <w:p>
      <w:pPr>
        <w:pStyle w:val="Number1"/>
        <w:rPr/>
      </w:pPr>
      <w:r>
        <w:rPr/>
      </w:r>
    </w:p>
    <w:p>
      <w:pPr>
        <w:pStyle w:val="Romanbold"/>
        <w:rPr/>
      </w:pPr>
      <w:r>
        <w:rPr/>
        <w:tab/>
        <w:t>III.</w:t>
        <w:tab/>
        <w:t>definitions</w:t>
      </w:r>
    </w:p>
    <w:p>
      <w:pPr>
        <w:pStyle w:val="Number1"/>
        <w:rPr/>
      </w:pPr>
      <w:r>
        <w:rPr/>
      </w:r>
    </w:p>
    <w:p>
      <w:pPr>
        <w:pStyle w:val="Number1"/>
        <w:rPr/>
      </w:pPr>
      <w:r>
        <w:rPr/>
        <w:tab/>
        <w:t>1.</w:t>
        <w:tab/>
        <w:t>Peripheral vascular disease, peripheral atherosclerosis, and peripheral arterial obstructive disease are synonyms. Peripheral vascular disease does not refer to venous disease, small-artery obstructive disease, vasospastic disease, cold sensitivity, or capillary disease.</w:t>
      </w:r>
    </w:p>
    <w:p>
      <w:pPr>
        <w:pStyle w:val="Number1"/>
        <w:rPr/>
      </w:pPr>
      <w:r>
        <w:rPr/>
      </w:r>
    </w:p>
    <w:p>
      <w:pPr>
        <w:pStyle w:val="Number1"/>
        <w:rPr/>
      </w:pPr>
      <w:r>
        <w:rPr/>
        <w:tab/>
        <w:t>2.</w:t>
        <w:tab/>
        <w:t>The ABI is a ratio of ankle to arm pressure and is computed separately for each leg. The numerator for the right leg is the higher of the two systolic ankle pressures (posterior tibial or dorsalis pedis) in the right leg. The numerator for the left leg is the higher of the two systolic ankle pressures in the left leg. The denominator for both legs is the average of the right and left brachial systolic blood pressures. If the two arm pressures differ by 10 mm Hg or more, take the higher arm pressure instead as the denominator.</w:t>
      </w:r>
    </w:p>
    <w:p>
      <w:pPr>
        <w:pStyle w:val="Number1"/>
        <w:rPr/>
      </w:pPr>
      <w:r>
        <w:rPr/>
      </w:r>
    </w:p>
    <w:p>
      <w:pPr>
        <w:pStyle w:val="Number1"/>
        <w:rPr/>
      </w:pPr>
      <w:r>
        <w:rPr/>
        <w:tab/>
        <w:t>3.</w:t>
        <w:tab/>
        <w:t>An ABI of 0.90 or less is considered peripheral arterial disease, although peripheral arterial disease could exist if the ABI is 0.95 or less.</w:t>
      </w:r>
    </w:p>
    <w:p>
      <w:pPr>
        <w:pStyle w:val="Number1"/>
        <w:rPr/>
      </w:pPr>
      <w:r>
        <w:rPr/>
      </w:r>
    </w:p>
    <w:p>
      <w:pPr>
        <w:pStyle w:val="Number1"/>
        <w:rPr/>
      </w:pPr>
      <w:r>
        <w:rPr/>
        <w:tab/>
        <w:t>4.</w:t>
        <w:tab/>
        <w:t>Moderate to severe lower extremity arterial obstructive disease is considered to be present if the ABI is less than 0.80.</w:t>
      </w:r>
    </w:p>
    <w:p>
      <w:pPr>
        <w:pStyle w:val="Number1"/>
        <w:rPr/>
      </w:pPr>
      <w:r>
        <w:rPr/>
      </w:r>
    </w:p>
    <w:p>
      <w:pPr>
        <w:pStyle w:val="Number1"/>
        <w:rPr/>
      </w:pPr>
      <w:r>
        <w:rPr/>
        <w:tab/>
        <w:t>5.</w:t>
        <w:tab/>
        <w:t>Medial calcification could exist in an artery, if the ankle systolic blood pressure exceeds 290 mm Hg in any participant or 240 mm Hg in a participant with brachial systolic pressure less than 160 mm Hg; or if the ABI index is &gt;1.5.</w:t>
      </w:r>
    </w:p>
    <w:p>
      <w:pPr>
        <w:pStyle w:val="Number1"/>
        <w:rPr/>
      </w:pPr>
      <w:r>
        <w:rPr/>
      </w:r>
    </w:p>
    <w:p>
      <w:pPr>
        <w:pStyle w:val="Romanbold"/>
        <w:rPr/>
      </w:pPr>
      <w:r>
        <w:rPr/>
        <w:tab/>
        <w:t>IV.</w:t>
        <w:tab/>
        <w:t>Methods</w:t>
      </w:r>
    </w:p>
    <w:p>
      <w:pPr>
        <w:pStyle w:val="Number1"/>
        <w:rPr>
          <w:sz w:val="22"/>
        </w:rPr>
      </w:pPr>
      <w:r>
        <w:rPr>
          <w:sz w:val="22"/>
        </w:rPr>
      </w:r>
    </w:p>
    <w:p>
      <w:pPr>
        <w:pStyle w:val="Number1"/>
        <w:rPr/>
      </w:pPr>
      <w:r>
        <w:rPr/>
        <w:tab/>
        <w:t>1.</w:t>
        <w:tab/>
      </w:r>
      <w:r>
        <w:rPr>
          <w:u w:val="single"/>
        </w:rPr>
        <w:t>Preparation</w:t>
      </w:r>
    </w:p>
    <w:p>
      <w:pPr>
        <w:pStyle w:val="Number1"/>
        <w:rPr>
          <w:sz w:val="22"/>
        </w:rPr>
      </w:pPr>
      <w:r>
        <w:rPr>
          <w:sz w:val="22"/>
        </w:rPr>
      </w:r>
    </w:p>
    <w:p>
      <w:pPr>
        <w:pStyle w:val="Number11"/>
        <w:rPr/>
      </w:pPr>
      <w:r>
        <w:rPr/>
        <w:tab/>
        <w:t>1.1</w:t>
        <w:tab/>
        <w:t>Thoroughly explain the procedure to the participant and allow him/her to ask questions.</w:t>
        <w:tab/>
      </w:r>
    </w:p>
    <w:p>
      <w:pPr>
        <w:pStyle w:val="Number11"/>
        <w:rPr/>
      </w:pPr>
      <w:r>
        <w:rPr/>
      </w:r>
    </w:p>
    <w:p>
      <w:pPr>
        <w:pStyle w:val="Number11"/>
        <w:rPr/>
      </w:pPr>
      <w:r>
        <w:rPr/>
        <w:tab/>
        <w:t>1.2</w:t>
        <w:tab/>
        <w:t xml:space="preserve">Conduct the examination in a quiet, warm, and comfortable room. If the room is cool, a blanket may be used to cover the participant (including arms, hands, and feet), except while the actual measurement is being made. Have the participant lie supine, with arms and legs (to mid-calf) bared, on a comfortable horizontal examination table. </w:t>
      </w:r>
    </w:p>
    <w:p>
      <w:pPr>
        <w:pStyle w:val="Number11"/>
        <w:rPr/>
      </w:pPr>
      <w:r>
        <w:rPr/>
      </w:r>
    </w:p>
    <w:p>
      <w:pPr>
        <w:pStyle w:val="Number11"/>
        <w:rPr/>
      </w:pPr>
      <w:r>
        <w:rPr/>
        <w:tab/>
        <w:t>1.3</w:t>
        <w:tab/>
        <w:t>Do not place blood pressure cuffs over any open lesion that could be a potential source of contamination.</w:t>
      </w:r>
    </w:p>
    <w:p>
      <w:pPr>
        <w:pStyle w:val="Number11"/>
        <w:rPr/>
      </w:pPr>
      <w:r>
        <w:rPr/>
      </w:r>
    </w:p>
    <w:p>
      <w:pPr>
        <w:pStyle w:val="Number11"/>
        <w:rPr/>
      </w:pPr>
      <w:r>
        <w:rPr/>
        <w:tab/>
        <w:t>1.4</w:t>
        <w:tab/>
        <w:t xml:space="preserve">Have the participant rest quietly for at least 5 minutes before beginning the measurement procedure. </w:t>
      </w:r>
      <w:r>
        <w:rPr>
          <w:i/>
          <w:iCs/>
        </w:rPr>
        <w:t>Record the date of the examination on the Ankle-Arm Blood Pressure Form.</w:t>
      </w:r>
      <w:r>
        <w:rPr/>
        <w:t xml:space="preserve"> Before you begin the procedure, instruct the participant to remain relaxed and to refrain from helping you (e.g., lifting the arm to facilitate placement of the cuff). Once you begin the procedure, explain the steps to the participant as you proceed.</w:t>
      </w:r>
    </w:p>
    <w:p>
      <w:pPr>
        <w:pStyle w:val="Number11"/>
        <w:rPr/>
      </w:pPr>
      <w:r>
        <w:rPr/>
        <w:tab/>
      </w:r>
    </w:p>
    <w:p>
      <w:pPr>
        <w:pStyle w:val="Number11"/>
        <w:rPr/>
      </w:pPr>
      <w:r>
        <w:rPr/>
        <w:tab/>
        <w:t>1.5</w:t>
        <w:tab/>
        <w:t>Place an appropriate blood pressure cuff around the arm, based on arm circumference at midpoint:</w:t>
      </w:r>
    </w:p>
    <w:p>
      <w:pPr>
        <w:pStyle w:val="Number11"/>
        <w:rPr/>
      </w:pPr>
      <w:r>
        <w:rPr/>
      </w:r>
    </w:p>
    <w:p>
      <w:pPr>
        <w:pStyle w:val="Number11bodybullet"/>
        <w:rPr/>
      </w:pPr>
      <w:r>
        <w:rPr/>
        <w:tab/>
      </w:r>
      <w:r>
        <w:rPr>
          <w:rFonts w:eastAsia="Symbol" w:cs="Symbol" w:ascii="Symbol" w:hAnsi="Symbol"/>
        </w:rPr>
        <w:t></w:t>
      </w:r>
      <w:r>
        <w:rPr/>
        <w:tab/>
        <w:t>Adult (12 cm width) for arm circumference of &gt;32 cm</w:t>
      </w:r>
    </w:p>
    <w:p>
      <w:pPr>
        <w:pStyle w:val="Number11bodybullet"/>
        <w:rPr/>
      </w:pPr>
      <w:r>
        <w:rPr/>
        <w:tab/>
      </w:r>
      <w:r>
        <w:rPr>
          <w:rFonts w:eastAsia="Symbol" w:cs="Symbol" w:ascii="Symbol" w:hAnsi="Symbol"/>
        </w:rPr>
        <w:t></w:t>
      </w:r>
      <w:r>
        <w:rPr/>
        <w:tab/>
        <w:t>Large adult (17 cm width) for arm circumference of 32–42 cm</w:t>
      </w:r>
    </w:p>
    <w:p>
      <w:pPr>
        <w:pStyle w:val="Number11bodybullet"/>
        <w:rPr/>
      </w:pPr>
      <w:r>
        <w:rPr/>
        <w:tab/>
      </w:r>
      <w:r>
        <w:rPr>
          <w:rFonts w:eastAsia="Symbol" w:cs="Symbol" w:ascii="Symbol" w:hAnsi="Symbol"/>
        </w:rPr>
        <w:t></w:t>
      </w:r>
      <w:r>
        <w:rPr/>
        <w:tab/>
        <w:t xml:space="preserve">Thigh (20 cm width) for are circumference of </w:t>
      </w:r>
      <w:r>
        <w:rPr>
          <w:rFonts w:eastAsia="Symbol" w:cs="Symbol" w:ascii="Symbol" w:hAnsi="Symbol"/>
        </w:rPr>
        <w:t></w:t>
      </w:r>
      <w:r>
        <w:rPr/>
        <w:t>43 cm</w:t>
      </w:r>
    </w:p>
    <w:p>
      <w:pPr>
        <w:pStyle w:val="Number11bodybullet"/>
        <w:rPr/>
      </w:pPr>
      <w:r>
        <w:rPr/>
      </w:r>
    </w:p>
    <w:p>
      <w:pPr>
        <w:pStyle w:val="Number11"/>
        <w:rPr/>
      </w:pPr>
      <w:r>
        <w:rPr/>
        <w:tab/>
        <w:tab/>
        <w:t>For the ankle, use the adult (12 cm) cuff size. Place the cuff so that the lower portion rests 3 cm above the medial malleolus (ankle bone).</w:t>
      </w:r>
    </w:p>
    <w:p>
      <w:pPr>
        <w:pStyle w:val="Number1"/>
        <w:rPr/>
      </w:pPr>
      <w:r>
        <w:rPr/>
      </w:r>
    </w:p>
    <w:p>
      <w:pPr>
        <w:pStyle w:val="Number1"/>
        <w:rPr/>
      </w:pPr>
      <w:r>
        <w:rPr/>
        <w:tab/>
        <w:t>2.</w:t>
        <w:tab/>
      </w:r>
      <w:r>
        <w:rPr>
          <w:u w:val="single"/>
        </w:rPr>
        <w:t>Arterial Blood Pressure Measurement</w:t>
      </w:r>
    </w:p>
    <w:p>
      <w:pPr>
        <w:pStyle w:val="Number11"/>
        <w:ind w:left="0" w:hanging="0"/>
        <w:rPr/>
      </w:pPr>
      <w:r>
        <w:rPr/>
      </w:r>
    </w:p>
    <w:p>
      <w:pPr>
        <w:pStyle w:val="Number11"/>
        <w:rPr/>
      </w:pPr>
      <w:r>
        <w:rPr/>
        <w:tab/>
        <w:t>2.1</w:t>
        <w:tab/>
      </w:r>
      <w:r>
        <w:rPr>
          <w:i/>
          <w:iCs/>
        </w:rPr>
        <w:t xml:space="preserve">These first two steps are optional: </w:t>
      </w:r>
      <w:r>
        <w:rPr/>
        <w:t>Locate the brachial artery on both arms by palpation in the antecubital fossa.  Similarly, locate the dorsalis pedis (dorsum of the foot) and posterior tibial (medial ankle) arteries on both legs. Mark the location of each artery with a black marker. Sometimes the arterial location in the feet will not be palpable but can be determined with the Doppler.</w:t>
      </w:r>
    </w:p>
    <w:p>
      <w:pPr>
        <w:pStyle w:val="Number11"/>
        <w:rPr/>
      </w:pPr>
      <w:r>
        <w:rPr/>
      </w:r>
    </w:p>
    <w:p>
      <w:pPr>
        <w:pStyle w:val="Number11"/>
        <w:rPr/>
      </w:pPr>
      <w:r>
        <w:rPr/>
        <w:tab/>
        <w:t>2.2</w:t>
        <w:tab/>
        <w:t xml:space="preserve">Using the procedure below, measure systolic arterial pressures in the following order: </w:t>
      </w:r>
    </w:p>
    <w:p>
      <w:pPr>
        <w:pStyle w:val="Number11"/>
        <w:rPr/>
      </w:pPr>
      <w:r>
        <w:rPr/>
      </w:r>
    </w:p>
    <w:p>
      <w:pPr>
        <w:pStyle w:val="Number11bodybullet"/>
        <w:rPr/>
      </w:pPr>
      <w:r>
        <w:rPr/>
        <w:tab/>
      </w:r>
      <w:r>
        <w:rPr>
          <w:rFonts w:eastAsia="Symbol" w:cs="Symbol" w:ascii="Symbol" w:hAnsi="Symbol"/>
        </w:rPr>
        <w:t></w:t>
      </w:r>
      <w:r>
        <w:rPr/>
        <w:tab/>
        <w:t>right brachial artery</w:t>
      </w:r>
    </w:p>
    <w:p>
      <w:pPr>
        <w:pStyle w:val="Number11bodybullet"/>
        <w:rPr/>
      </w:pPr>
      <w:r>
        <w:rPr/>
        <w:tab/>
      </w:r>
      <w:r>
        <w:rPr>
          <w:rFonts w:eastAsia="Symbol" w:cs="Symbol" w:ascii="Symbol" w:hAnsi="Symbol"/>
        </w:rPr>
        <w:t></w:t>
      </w:r>
      <w:r>
        <w:rPr/>
        <w:tab/>
        <w:t>right dorsalis pedis</w:t>
      </w:r>
    </w:p>
    <w:p>
      <w:pPr>
        <w:pStyle w:val="Number11bodybullet"/>
        <w:rPr/>
      </w:pPr>
      <w:r>
        <w:rPr/>
        <w:tab/>
      </w:r>
      <w:r>
        <w:rPr>
          <w:rFonts w:eastAsia="Symbol" w:cs="Symbol" w:ascii="Symbol" w:hAnsi="Symbol"/>
        </w:rPr>
        <w:t></w:t>
      </w:r>
      <w:r>
        <w:rPr/>
        <w:tab/>
        <w:t>right posterior tibial</w:t>
      </w:r>
    </w:p>
    <w:p>
      <w:pPr>
        <w:pStyle w:val="Number11bodybullet"/>
        <w:rPr/>
      </w:pPr>
      <w:r>
        <w:rPr/>
        <w:tab/>
      </w:r>
      <w:r>
        <w:rPr>
          <w:rFonts w:eastAsia="Symbol" w:cs="Symbol" w:ascii="Symbol" w:hAnsi="Symbol"/>
        </w:rPr>
        <w:t></w:t>
      </w:r>
      <w:r>
        <w:rPr/>
        <w:tab/>
        <w:t>left dorsalis pedis</w:t>
      </w:r>
    </w:p>
    <w:p>
      <w:pPr>
        <w:pStyle w:val="Number11bodybullet"/>
        <w:rPr/>
      </w:pPr>
      <w:r>
        <w:rPr/>
        <w:tab/>
      </w:r>
      <w:r>
        <w:rPr>
          <w:rFonts w:eastAsia="Symbol" w:cs="Symbol" w:ascii="Symbol" w:hAnsi="Symbol"/>
        </w:rPr>
        <w:t></w:t>
      </w:r>
      <w:r>
        <w:rPr/>
        <w:tab/>
        <w:t>left posterior tibial</w:t>
      </w:r>
    </w:p>
    <w:p>
      <w:pPr>
        <w:pStyle w:val="Number11bodybullet"/>
        <w:rPr/>
      </w:pPr>
      <w:r>
        <w:rPr/>
        <w:tab/>
      </w:r>
      <w:r>
        <w:rPr>
          <w:rFonts w:eastAsia="Symbol" w:cs="Symbol" w:ascii="Symbol" w:hAnsi="Symbol"/>
        </w:rPr>
        <w:t></w:t>
      </w:r>
      <w:r>
        <w:rPr/>
        <w:tab/>
        <w:t>left brachial</w:t>
      </w:r>
    </w:p>
    <w:p>
      <w:pPr>
        <w:pStyle w:val="Number111"/>
        <w:tabs>
          <w:tab w:val="right" w:pos="1440" w:leader="none"/>
          <w:tab w:val="right" w:pos="1800" w:leader="none"/>
        </w:tabs>
        <w:ind w:left="1530" w:hanging="1530"/>
        <w:rPr/>
      </w:pPr>
      <w:r>
        <w:rPr/>
      </w:r>
    </w:p>
    <w:p>
      <w:pPr>
        <w:pStyle w:val="Number111"/>
        <w:rPr/>
      </w:pPr>
      <w:r>
        <w:rPr/>
        <w:tab/>
        <w:t>2.21</w:t>
        <w:tab/>
        <w:t xml:space="preserve">Place a </w:t>
      </w:r>
      <w:r>
        <w:rPr>
          <w:i/>
          <w:iCs/>
        </w:rPr>
        <w:t>liberal</w:t>
      </w:r>
      <w:r>
        <w:rPr/>
        <w:t xml:space="preserve"> amount of ultrasound conducting gel over pulse location.  </w:t>
      </w:r>
    </w:p>
    <w:p>
      <w:pPr>
        <w:pStyle w:val="Number111"/>
        <w:rPr/>
      </w:pPr>
      <w:r>
        <w:rPr/>
      </w:r>
    </w:p>
    <w:p>
      <w:pPr>
        <w:pStyle w:val="Number111"/>
        <w:rPr/>
      </w:pPr>
      <w:r>
        <w:rPr/>
        <w:tab/>
        <w:t>2.22</w:t>
        <w:tab/>
        <w:t>Place the Doppler probe over the artery and then turn on the Doppler. Angle the probe in line with the artery and move it from side to side until the strongest pulse is heard. Don’t press too hard on the artery with the probe. Rest your hand comfortably so that the probe is secured in place once a strong pulse is heard.</w:t>
      </w:r>
    </w:p>
    <w:p>
      <w:pPr>
        <w:pStyle w:val="Number111"/>
        <w:rPr/>
      </w:pPr>
      <w:r>
        <w:rPr/>
      </w:r>
    </w:p>
    <w:p>
      <w:pPr>
        <w:pStyle w:val="Number111bodybullet"/>
        <w:rPr/>
      </w:pPr>
      <w:r>
        <w:rPr/>
        <w:tab/>
        <w:t xml:space="preserve">  </w:t>
      </w:r>
      <w:r>
        <w:rPr>
          <w:rFonts w:eastAsia="Symbol" w:cs="Symbol" w:ascii="Symbol" w:hAnsi="Symbol"/>
        </w:rPr>
        <w:t></w:t>
      </w:r>
      <w:r>
        <w:rPr/>
        <w:tab/>
        <w:t xml:space="preserve">In a small percentage (&lt; 10%) of participants, you will not be able to find the dorsalis pedis pulse. If you are having trouble, be patient and continue to search for at least </w:t>
      </w:r>
      <w:r>
        <w:rPr>
          <w:i/>
          <w:iCs/>
        </w:rPr>
        <w:t xml:space="preserve">three minutes. </w:t>
      </w:r>
      <w:r>
        <w:rPr/>
        <w:t xml:space="preserve">If you are still unable to locate a pulse here, </w:t>
      </w:r>
      <w:r>
        <w:rPr>
          <w:i/>
          <w:iCs/>
        </w:rPr>
        <w:t>enter “999” in Field 1 on the Ankle-Arm Blood Pressure Form.</w:t>
      </w:r>
    </w:p>
    <w:p>
      <w:pPr>
        <w:pStyle w:val="Number111"/>
        <w:tabs>
          <w:tab w:val="clear" w:pos="1800"/>
          <w:tab w:val="right" w:pos="2430" w:leader="none"/>
        </w:tabs>
        <w:ind w:left="2610" w:hanging="2610"/>
        <w:rPr/>
      </w:pPr>
      <w:r>
        <w:rPr/>
      </w:r>
    </w:p>
    <w:p>
      <w:pPr>
        <w:pStyle w:val="Number111"/>
        <w:rPr/>
      </w:pPr>
      <w:r>
        <w:rPr/>
        <w:tab/>
        <w:t>2.23</w:t>
        <w:tab/>
        <w:t xml:space="preserve">Inflate the cuff slowly until the pulse is no longer audible. Inflate to 20 mm Hg  above the level at which pulse sound disappeared. (If the pulse cannot be obliterated, you may raise pressure to a maximum 300 MMHg. If not obliterated at that point, record “unable to occlude.”)  Deflate the cuff slowly allowing the pressure to drop at a rate of 2 mm Hg per second. Record the pressure at which the first sustained (more than one beat) pulse reappears. This is the systolic pressure at this location. Deflate the cuff completely. </w:t>
      </w:r>
      <w:r>
        <w:rPr>
          <w:i/>
          <w:iCs/>
        </w:rPr>
        <w:t xml:space="preserve">Record the measurement in Field 1 on the Ankle-Arm Blood Pressure Form. </w:t>
      </w:r>
      <w:r>
        <w:rPr/>
        <w:t xml:space="preserve">Wait for 20 seconds and then repeat the process to obtain a pressure measurement at each of the remaining sites. </w:t>
      </w:r>
    </w:p>
    <w:p>
      <w:pPr>
        <w:pStyle w:val="Number111"/>
        <w:rPr/>
      </w:pPr>
      <w:r>
        <w:rPr/>
      </w:r>
    </w:p>
    <w:p>
      <w:pPr>
        <w:pStyle w:val="Number111"/>
        <w:rPr/>
      </w:pPr>
      <w:r>
        <w:rPr/>
        <w:tab/>
        <w:t>2.24</w:t>
        <w:tab/>
        <w:t>If the signal remains faint as more pressure is released or if the probe moves off the artery, deflate the cuff completely, wait for 20 seconds, and then repeat the measurement.</w:t>
      </w:r>
    </w:p>
    <w:p>
      <w:pPr>
        <w:pStyle w:val="Number111"/>
        <w:rPr/>
      </w:pPr>
      <w:r>
        <w:rPr/>
      </w:r>
    </w:p>
    <w:p>
      <w:pPr>
        <w:pStyle w:val="Number11"/>
        <w:rPr/>
      </w:pPr>
      <w:r>
        <w:rPr/>
        <w:tab/>
        <w:t>2.3</w:t>
        <w:tab/>
      </w:r>
      <w:r>
        <w:rPr>
          <w:i/>
          <w:iCs/>
        </w:rPr>
        <w:t xml:space="preserve">Record the outcome (completed/not complete) in Item 2. </w:t>
      </w:r>
      <w:r>
        <w:rPr/>
        <w:t>If  not completed, continue to Item 3 and record the reason(s) that the procedure was not completed.</w:t>
      </w:r>
    </w:p>
    <w:p>
      <w:pPr>
        <w:pStyle w:val="Number11"/>
        <w:rPr/>
      </w:pPr>
      <w:r>
        <w:rPr/>
      </w:r>
    </w:p>
    <w:p>
      <w:pPr>
        <w:sectPr>
          <w:headerReference w:type="even" r:id="rId109"/>
          <w:headerReference w:type="default" r:id="rId110"/>
          <w:footerReference w:type="even" r:id="rId111"/>
          <w:footerReference w:type="default" r:id="rId112"/>
          <w:type w:val="oddPage"/>
          <w:pgSz w:w="12240" w:h="15840"/>
          <w:pgMar w:left="2880" w:right="1080" w:gutter="0" w:header="720" w:top="1440" w:footer="720" w:bottom="1440"/>
          <w:pgNumType w:fmt="decimal"/>
          <w:formProt w:val="false"/>
          <w:textDirection w:val="lrTb"/>
          <w:docGrid w:type="default" w:linePitch="360" w:charSpace="0"/>
        </w:sectPr>
        <w:pStyle w:val="Number111"/>
        <w:rPr/>
      </w:pPr>
      <w:r>
        <w:rPr/>
        <w:tab/>
        <w:tab/>
      </w:r>
    </w:p>
    <w:p>
      <w:pPr>
        <w:pStyle w:val="Subsectionheading"/>
        <w:rPr/>
      </w:pPr>
      <w:bookmarkStart w:id="28" w:name="__RefHeading___Toc503858984"/>
      <w:bookmarkEnd w:id="28"/>
      <w:r>
        <w:rPr/>
        <w:t>3.6  Electrocardiogram</w:t>
      </w:r>
    </w:p>
    <w:p>
      <w:pPr>
        <w:pStyle w:val="Normal"/>
        <w:jc w:val="center"/>
        <w:rPr>
          <w:b/>
          <w:b/>
        </w:rPr>
      </w:pPr>
      <w:r>
        <w:rPr>
          <w:b/>
        </w:rPr>
      </w:r>
    </w:p>
    <w:p>
      <w:pPr>
        <w:pStyle w:val="Normal"/>
        <w:jc w:val="center"/>
        <w:rPr>
          <w:b/>
          <w:b/>
        </w:rPr>
      </w:pPr>
      <w:r>
        <w:rPr>
          <w:b/>
        </w:rPr>
      </w:r>
    </w:p>
    <w:p>
      <w:pPr>
        <w:pStyle w:val="Normal"/>
        <w:jc w:val="center"/>
        <w:rPr>
          <w:b/>
          <w:b/>
          <w:bCs/>
          <w:sz w:val="32"/>
        </w:rPr>
      </w:pPr>
      <w:r>
        <w:rPr>
          <w:b/>
          <w:bCs/>
          <w:sz w:val="32"/>
        </w:rPr>
        <w:t>Table of Contents</w:t>
      </w:r>
    </w:p>
    <w:p>
      <w:pPr>
        <w:pStyle w:val="Normal"/>
        <w:rPr>
          <w:b/>
          <w:b/>
          <w:bCs/>
          <w:sz w:val="32"/>
        </w:rPr>
      </w:pPr>
      <w:r>
        <w:rPr>
          <w:b/>
          <w:bCs/>
          <w:sz w:val="32"/>
        </w:rPr>
      </w:r>
    </w:p>
    <w:p>
      <w:pPr>
        <w:pStyle w:val="Normal"/>
        <w:rPr/>
      </w:pPr>
      <w:r>
        <w:rPr/>
      </w:r>
    </w:p>
    <w:p>
      <w:pPr>
        <w:pStyle w:val="Normal"/>
        <w:tabs>
          <w:tab w:val="clear" w:pos="720"/>
          <w:tab w:val="right" w:pos="540" w:leader="none"/>
          <w:tab w:val="left" w:pos="810" w:leader="none"/>
          <w:tab w:val="left" w:pos="8280" w:leader="none"/>
        </w:tabs>
        <w:ind w:right="-360" w:hanging="0"/>
        <w:rPr/>
      </w:pPr>
      <w:r>
        <w:rPr/>
        <w:tab/>
      </w:r>
      <w:r>
        <w:rPr>
          <w:b/>
          <w:bCs/>
          <w:sz w:val="22"/>
        </w:rPr>
        <w:t>I.</w:t>
        <w:tab/>
        <w:t>Introduction</w:t>
        <w:tab/>
        <w:tab/>
      </w:r>
    </w:p>
    <w:p>
      <w:pPr>
        <w:pStyle w:val="Normal"/>
        <w:tabs>
          <w:tab w:val="clear" w:pos="720"/>
          <w:tab w:val="right" w:pos="540" w:leader="none"/>
          <w:tab w:val="left" w:pos="810" w:leader="none"/>
          <w:tab w:val="left" w:pos="8280" w:leader="none"/>
        </w:tabs>
        <w:ind w:right="-360" w:hanging="0"/>
        <w:rPr>
          <w:sz w:val="20"/>
        </w:rPr>
      </w:pPr>
      <w:r>
        <w:rPr>
          <w:b/>
          <w:bCs/>
          <w:sz w:val="22"/>
        </w:rPr>
        <w:tab/>
        <w:t>II.</w:t>
        <w:tab/>
        <w:t>Background and Purpose</w:t>
        <w:tab/>
        <w:tab/>
        <w:t>III.</w:t>
        <w:tab/>
        <w:t>ECG Recording Schedule</w:t>
      </w:r>
      <w:r>
        <w:rPr>
          <w:sz w:val="22"/>
        </w:rPr>
        <w:tab/>
      </w:r>
    </w:p>
    <w:p>
      <w:pPr>
        <w:pStyle w:val="Normal"/>
        <w:tabs>
          <w:tab w:val="clear" w:pos="720"/>
          <w:tab w:val="right" w:pos="990" w:leader="none"/>
          <w:tab w:val="left" w:pos="1260" w:leader="none"/>
          <w:tab w:val="left" w:pos="8280" w:leader="none"/>
        </w:tabs>
        <w:ind w:right="-360" w:hanging="0"/>
        <w:rPr>
          <w:sz w:val="20"/>
        </w:rPr>
      </w:pPr>
      <w:r>
        <w:rPr>
          <w:sz w:val="20"/>
        </w:rPr>
        <w:tab/>
        <w:t>1.</w:t>
        <w:tab/>
        <w:t>Digital ECGs</w:t>
        <w:tab/>
      </w:r>
    </w:p>
    <w:p>
      <w:pPr>
        <w:pStyle w:val="Normal"/>
        <w:tabs>
          <w:tab w:val="clear" w:pos="720"/>
          <w:tab w:val="right" w:pos="990" w:leader="none"/>
          <w:tab w:val="left" w:pos="1260" w:leader="none"/>
          <w:tab w:val="left" w:pos="8280" w:leader="none"/>
        </w:tabs>
        <w:ind w:right="-360" w:hanging="0"/>
        <w:rPr/>
      </w:pPr>
      <w:r>
        <w:rPr>
          <w:sz w:val="20"/>
        </w:rPr>
        <w:tab/>
        <w:t>2.</w:t>
        <w:tab/>
        <w:t>Locally Read ECGs</w:t>
      </w:r>
      <w:r>
        <w:rPr>
          <w:sz w:val="22"/>
        </w:rPr>
        <w:tab/>
      </w:r>
    </w:p>
    <w:p>
      <w:pPr>
        <w:pStyle w:val="Normal"/>
        <w:tabs>
          <w:tab w:val="clear" w:pos="720"/>
          <w:tab w:val="right" w:pos="1530" w:leader="none"/>
          <w:tab w:val="left" w:pos="1800" w:leader="none"/>
          <w:tab w:val="left" w:pos="8280" w:leader="none"/>
        </w:tabs>
        <w:ind w:right="-360" w:hanging="0"/>
        <w:rPr/>
      </w:pPr>
      <w:r>
        <w:rPr>
          <w:sz w:val="20"/>
        </w:rPr>
        <w:tab/>
      </w:r>
      <w:r>
        <w:rPr>
          <w:sz w:val="18"/>
        </w:rPr>
        <w:t>2.1</w:t>
        <w:tab/>
        <w:t>Baseline Exclusions</w:t>
        <w:tab/>
      </w:r>
    </w:p>
    <w:p>
      <w:pPr>
        <w:pStyle w:val="Normal"/>
        <w:tabs>
          <w:tab w:val="clear" w:pos="720"/>
          <w:tab w:val="right" w:pos="1530" w:leader="none"/>
          <w:tab w:val="left" w:pos="1800" w:leader="none"/>
          <w:tab w:val="left" w:pos="8280" w:leader="none"/>
        </w:tabs>
        <w:ind w:right="-360" w:hanging="0"/>
        <w:rPr/>
      </w:pPr>
      <w:r>
        <w:rPr>
          <w:sz w:val="18"/>
        </w:rPr>
        <w:tab/>
        <w:t>2.2</w:t>
        <w:tab/>
        <w:t>“Alert” ECGs</w:t>
      </w:r>
      <w:r>
        <w:rPr>
          <w:sz w:val="20"/>
        </w:rPr>
        <w:tab/>
        <w:t xml:space="preserve">   </w:t>
      </w:r>
    </w:p>
    <w:p>
      <w:pPr>
        <w:pStyle w:val="Normal"/>
        <w:tabs>
          <w:tab w:val="clear" w:pos="720"/>
          <w:tab w:val="right" w:pos="990" w:leader="none"/>
          <w:tab w:val="left" w:pos="1260" w:leader="none"/>
          <w:tab w:val="left" w:pos="8280" w:leader="none"/>
        </w:tabs>
        <w:ind w:right="-360" w:hanging="0"/>
        <w:rPr>
          <w:sz w:val="20"/>
        </w:rPr>
      </w:pPr>
      <w:r>
        <w:rPr>
          <w:sz w:val="20"/>
        </w:rPr>
        <w:tab/>
        <w:t>3.</w:t>
        <w:tab/>
        <w:t>Hospital ECGs</w:t>
        <w:tab/>
      </w:r>
    </w:p>
    <w:p>
      <w:pPr>
        <w:pStyle w:val="BodyText2"/>
        <w:tabs>
          <w:tab w:val="clear" w:pos="360"/>
          <w:tab w:val="right" w:pos="540" w:leader="none"/>
          <w:tab w:val="left" w:pos="810" w:leader="none"/>
          <w:tab w:val="left" w:pos="8280" w:leader="none"/>
        </w:tabs>
        <w:rPr/>
      </w:pPr>
      <w:r>
        <w:rPr>
          <w:sz w:val="22"/>
        </w:rPr>
        <w:tab/>
      </w:r>
      <w:r>
        <w:rPr>
          <w:b/>
          <w:bCs/>
          <w:sz w:val="22"/>
        </w:rPr>
        <w:t>IV.</w:t>
        <w:tab/>
        <w:t xml:space="preserve">ECG Acquisition Procedures </w:t>
        <w:tab/>
        <w:t xml:space="preserve">  </w:t>
      </w:r>
    </w:p>
    <w:p>
      <w:pPr>
        <w:pStyle w:val="Normal"/>
        <w:tabs>
          <w:tab w:val="clear" w:pos="720"/>
          <w:tab w:val="right" w:pos="990" w:leader="none"/>
          <w:tab w:val="left" w:pos="1260" w:leader="none"/>
          <w:tab w:val="left" w:pos="8280" w:leader="none"/>
        </w:tabs>
        <w:rPr/>
      </w:pPr>
      <w:r>
        <w:rPr>
          <w:sz w:val="22"/>
        </w:rPr>
        <w:tab/>
      </w:r>
      <w:r>
        <w:rPr>
          <w:sz w:val="20"/>
        </w:rPr>
        <w:t>1.</w:t>
        <w:tab/>
        <w:t>Electrocardiograph</w:t>
        <w:tab/>
      </w:r>
    </w:p>
    <w:p>
      <w:pPr>
        <w:pStyle w:val="Normal"/>
        <w:tabs>
          <w:tab w:val="clear" w:pos="720"/>
          <w:tab w:val="right" w:pos="990" w:leader="none"/>
          <w:tab w:val="left" w:pos="1260" w:leader="none"/>
          <w:tab w:val="left" w:pos="8280" w:leader="none"/>
        </w:tabs>
        <w:rPr>
          <w:sz w:val="20"/>
        </w:rPr>
      </w:pPr>
      <w:r>
        <w:rPr>
          <w:sz w:val="20"/>
        </w:rPr>
        <w:tab/>
        <w:t>2.</w:t>
        <w:tab/>
        <w:t>System Setup</w:t>
        <w:tab/>
      </w:r>
    </w:p>
    <w:p>
      <w:pPr>
        <w:pStyle w:val="Header"/>
        <w:tabs>
          <w:tab w:val="clear" w:pos="4320"/>
          <w:tab w:val="clear" w:pos="8640"/>
          <w:tab w:val="right" w:pos="990" w:leader="none"/>
          <w:tab w:val="left" w:pos="1260" w:leader="none"/>
          <w:tab w:val="left" w:pos="8280" w:leader="none"/>
        </w:tabs>
        <w:rPr>
          <w:sz w:val="20"/>
        </w:rPr>
      </w:pPr>
      <w:r>
        <w:rPr>
          <w:sz w:val="20"/>
        </w:rPr>
        <w:tab/>
        <w:t>3.</w:t>
        <w:tab/>
        <w:t>Participant Setup</w:t>
        <w:tab/>
      </w:r>
    </w:p>
    <w:p>
      <w:pPr>
        <w:pStyle w:val="Normal"/>
        <w:tabs>
          <w:tab w:val="clear" w:pos="720"/>
          <w:tab w:val="right" w:pos="990" w:leader="none"/>
          <w:tab w:val="left" w:pos="1260" w:leader="none"/>
          <w:tab w:val="left" w:pos="8280" w:leader="none"/>
        </w:tabs>
        <w:rPr>
          <w:sz w:val="20"/>
        </w:rPr>
      </w:pPr>
      <w:r>
        <w:rPr>
          <w:sz w:val="20"/>
        </w:rPr>
        <w:tab/>
        <w:t>4.</w:t>
        <w:tab/>
        <w:t>Communication Setup</w:t>
        <w:tab/>
      </w:r>
    </w:p>
    <w:p>
      <w:pPr>
        <w:pStyle w:val="Normal"/>
        <w:tabs>
          <w:tab w:val="clear" w:pos="720"/>
          <w:tab w:val="right" w:pos="990" w:leader="none"/>
          <w:tab w:val="left" w:pos="1260" w:leader="none"/>
          <w:tab w:val="left" w:pos="8280" w:leader="none"/>
        </w:tabs>
        <w:rPr>
          <w:sz w:val="20"/>
        </w:rPr>
      </w:pPr>
      <w:r>
        <w:rPr>
          <w:sz w:val="20"/>
        </w:rPr>
        <w:tab/>
        <w:t>5.</w:t>
        <w:tab/>
        <w:t>12-Lead Setup</w:t>
        <w:tab/>
      </w:r>
    </w:p>
    <w:p>
      <w:pPr>
        <w:pStyle w:val="Normal"/>
        <w:tabs>
          <w:tab w:val="clear" w:pos="720"/>
          <w:tab w:val="right" w:pos="990" w:leader="none"/>
          <w:tab w:val="left" w:pos="1260" w:leader="none"/>
          <w:tab w:val="left" w:pos="8280" w:leader="none"/>
        </w:tabs>
        <w:rPr>
          <w:sz w:val="20"/>
        </w:rPr>
      </w:pPr>
      <w:r>
        <w:rPr>
          <w:sz w:val="20"/>
        </w:rPr>
        <w:tab/>
        <w:t>6.</w:t>
        <w:tab/>
        <w:t>Report Sequence</w:t>
        <w:tab/>
      </w:r>
    </w:p>
    <w:p>
      <w:pPr>
        <w:pStyle w:val="Normal"/>
        <w:tabs>
          <w:tab w:val="clear" w:pos="720"/>
          <w:tab w:val="right" w:pos="990" w:leader="none"/>
          <w:tab w:val="left" w:pos="1260" w:leader="none"/>
          <w:tab w:val="left" w:pos="8280" w:leader="none"/>
        </w:tabs>
        <w:rPr>
          <w:sz w:val="20"/>
        </w:rPr>
      </w:pPr>
      <w:r>
        <w:rPr>
          <w:sz w:val="20"/>
        </w:rPr>
        <w:tab/>
        <w:t>7.</w:t>
        <w:tab/>
        <w:t>Option Code</w:t>
        <w:tab/>
      </w:r>
    </w:p>
    <w:p>
      <w:pPr>
        <w:pStyle w:val="Normal"/>
        <w:tabs>
          <w:tab w:val="clear" w:pos="720"/>
          <w:tab w:val="right" w:pos="990" w:leader="none"/>
          <w:tab w:val="left" w:pos="1260" w:leader="none"/>
          <w:tab w:val="left" w:pos="8280" w:leader="none"/>
        </w:tabs>
        <w:rPr>
          <w:sz w:val="20"/>
        </w:rPr>
      </w:pPr>
      <w:r>
        <w:rPr>
          <w:sz w:val="20"/>
        </w:rPr>
        <w:tab/>
        <w:t>8.</w:t>
        <w:tab/>
        <w:t>Supplies</w:t>
      </w:r>
      <w:r>
        <w:rPr>
          <w:sz w:val="22"/>
        </w:rPr>
        <w:tab/>
      </w:r>
    </w:p>
    <w:p>
      <w:pPr>
        <w:pStyle w:val="Normal"/>
        <w:tabs>
          <w:tab w:val="clear" w:pos="720"/>
          <w:tab w:val="right" w:pos="540" w:leader="none"/>
          <w:tab w:val="left" w:pos="810" w:leader="none"/>
          <w:tab w:val="left" w:pos="8280" w:leader="none"/>
        </w:tabs>
        <w:rPr/>
      </w:pPr>
      <w:r>
        <w:rPr>
          <w:sz w:val="20"/>
        </w:rPr>
        <w:tab/>
      </w:r>
      <w:r>
        <w:rPr>
          <w:b/>
          <w:bCs/>
          <w:sz w:val="22"/>
        </w:rPr>
        <w:t>V.</w:t>
        <w:tab/>
        <w:t>Recording ECGs</w:t>
      </w:r>
      <w:r>
        <w:rPr>
          <w:sz w:val="20"/>
        </w:rPr>
        <w:tab/>
      </w:r>
    </w:p>
    <w:p>
      <w:pPr>
        <w:pStyle w:val="Normal"/>
        <w:tabs>
          <w:tab w:val="clear" w:pos="720"/>
          <w:tab w:val="right" w:pos="990" w:leader="none"/>
          <w:tab w:val="left" w:pos="1260" w:leader="none"/>
          <w:tab w:val="left" w:pos="8280" w:leader="none"/>
        </w:tabs>
        <w:rPr>
          <w:sz w:val="20"/>
        </w:rPr>
      </w:pPr>
      <w:r>
        <w:rPr>
          <w:sz w:val="20"/>
        </w:rPr>
        <w:tab/>
        <w:t>1.</w:t>
        <w:tab/>
        <w:t>Preparation of Participant for ECG Reading</w:t>
        <w:tab/>
      </w:r>
    </w:p>
    <w:p>
      <w:pPr>
        <w:pStyle w:val="Header"/>
        <w:tabs>
          <w:tab w:val="clear" w:pos="4320"/>
          <w:tab w:val="clear" w:pos="8640"/>
          <w:tab w:val="right" w:pos="990" w:leader="none"/>
          <w:tab w:val="left" w:pos="1260" w:leader="none"/>
          <w:tab w:val="right" w:pos="8280" w:leader="dot"/>
        </w:tabs>
        <w:rPr>
          <w:sz w:val="20"/>
        </w:rPr>
      </w:pPr>
      <w:r>
        <w:rPr>
          <w:sz w:val="20"/>
        </w:rPr>
        <w:tab/>
        <w:t>2.</w:t>
        <w:tab/>
        <w:t>Participant Data Entry to the MAC1200</w:t>
      </w:r>
    </w:p>
    <w:p>
      <w:pPr>
        <w:pStyle w:val="Normal"/>
        <w:tabs>
          <w:tab w:val="clear" w:pos="720"/>
          <w:tab w:val="right" w:pos="990" w:leader="none"/>
          <w:tab w:val="left" w:pos="1260" w:leader="none"/>
          <w:tab w:val="right" w:pos="8280" w:leader="dot"/>
        </w:tabs>
        <w:rPr>
          <w:sz w:val="20"/>
        </w:rPr>
      </w:pPr>
      <w:r>
        <w:rPr>
          <w:sz w:val="20"/>
        </w:rPr>
        <w:tab/>
        <w:t>3.</w:t>
        <w:tab/>
        <w:t>Electrode Lead Placement</w:t>
      </w:r>
    </w:p>
    <w:p>
      <w:pPr>
        <w:pStyle w:val="Normal"/>
        <w:tabs>
          <w:tab w:val="clear" w:pos="720"/>
          <w:tab w:val="right" w:pos="990" w:leader="none"/>
          <w:tab w:val="left" w:pos="1260" w:leader="none"/>
          <w:tab w:val="right" w:pos="8280" w:leader="dot"/>
        </w:tabs>
        <w:rPr>
          <w:sz w:val="20"/>
        </w:rPr>
      </w:pPr>
      <w:r>
        <w:rPr>
          <w:sz w:val="20"/>
        </w:rPr>
        <w:tab/>
        <w:t>4.</w:t>
        <w:tab/>
        <w:t>Chest Lead Electrode Placement and HeartSquare Instructions</w:t>
      </w:r>
    </w:p>
    <w:p>
      <w:pPr>
        <w:pStyle w:val="Normal"/>
        <w:tabs>
          <w:tab w:val="clear" w:pos="720"/>
          <w:tab w:val="right" w:pos="990" w:leader="none"/>
          <w:tab w:val="left" w:pos="1260" w:leader="none"/>
          <w:tab w:val="right" w:pos="8280" w:leader="dot"/>
        </w:tabs>
        <w:rPr>
          <w:sz w:val="20"/>
        </w:rPr>
      </w:pPr>
      <w:r>
        <w:rPr>
          <w:sz w:val="20"/>
        </w:rPr>
        <w:tab/>
        <w:t>5.</w:t>
        <w:tab/>
        <w:t>Reference Point E for Locating V4, V5 and V6</w:t>
      </w:r>
    </w:p>
    <w:p>
      <w:pPr>
        <w:pStyle w:val="Header"/>
        <w:tabs>
          <w:tab w:val="clear" w:pos="4320"/>
          <w:tab w:val="clear" w:pos="8640"/>
          <w:tab w:val="right" w:pos="990" w:leader="none"/>
          <w:tab w:val="left" w:pos="1260" w:leader="none"/>
          <w:tab w:val="right" w:pos="8280" w:leader="dot"/>
        </w:tabs>
        <w:rPr>
          <w:sz w:val="20"/>
        </w:rPr>
      </w:pPr>
      <w:r>
        <w:rPr>
          <w:sz w:val="20"/>
        </w:rPr>
        <w:tab/>
        <w:t>6.</w:t>
        <w:tab/>
        <w:t>Left Midaxillary Line</w:t>
      </w:r>
    </w:p>
    <w:p>
      <w:pPr>
        <w:pStyle w:val="Normal"/>
        <w:tabs>
          <w:tab w:val="clear" w:pos="720"/>
          <w:tab w:val="right" w:pos="990" w:leader="none"/>
          <w:tab w:val="left" w:pos="1260" w:leader="none"/>
          <w:tab w:val="right" w:pos="8280" w:leader="dot"/>
        </w:tabs>
        <w:rPr>
          <w:sz w:val="20"/>
        </w:rPr>
      </w:pPr>
      <w:r>
        <w:rPr>
          <w:sz w:val="20"/>
        </w:rPr>
        <w:tab/>
        <w:t>7.</w:t>
        <w:tab/>
        <w:t>Recording Three ECGs</w:t>
      </w:r>
    </w:p>
    <w:p>
      <w:pPr>
        <w:pStyle w:val="Header"/>
        <w:tabs>
          <w:tab w:val="clear" w:pos="4320"/>
          <w:tab w:val="clear" w:pos="8640"/>
          <w:tab w:val="right" w:pos="990" w:leader="none"/>
          <w:tab w:val="left" w:pos="1260" w:leader="none"/>
          <w:tab w:val="right" w:pos="8280" w:leader="dot"/>
        </w:tabs>
        <w:rPr>
          <w:sz w:val="20"/>
        </w:rPr>
      </w:pPr>
      <w:r>
        <w:rPr>
          <w:sz w:val="20"/>
        </w:rPr>
        <w:tab/>
        <w:t>8.</w:t>
        <w:tab/>
        <w:t>Examples of Technical Problems</w:t>
      </w:r>
    </w:p>
    <w:p>
      <w:pPr>
        <w:pStyle w:val="Normal"/>
        <w:tabs>
          <w:tab w:val="clear" w:pos="720"/>
          <w:tab w:val="right" w:pos="990" w:leader="none"/>
          <w:tab w:val="left" w:pos="1260" w:leader="none"/>
          <w:tab w:val="right" w:pos="8280" w:leader="dot"/>
        </w:tabs>
        <w:rPr>
          <w:sz w:val="20"/>
        </w:rPr>
      </w:pPr>
      <w:r>
        <w:rPr>
          <w:sz w:val="20"/>
        </w:rPr>
      </w:r>
    </w:p>
    <w:p>
      <w:pPr>
        <w:pStyle w:val="Heading1"/>
        <w:keepNext w:val="false"/>
        <w:tabs>
          <w:tab w:val="clear" w:pos="576"/>
          <w:tab w:val="right" w:pos="540" w:leader="none"/>
          <w:tab w:val="left" w:pos="810" w:leader="none"/>
        </w:tabs>
        <w:autoSpaceDE w:val="false"/>
        <w:rPr>
          <w:sz w:val="20"/>
        </w:rPr>
      </w:pPr>
      <w:r>
        <w:rPr>
          <w:sz w:val="20"/>
        </w:rPr>
        <w:tab/>
        <w:t>VI.</w:t>
        <w:tab/>
        <w:t>Transmitting ECGs from MESA Clinics to the CERC</w:t>
      </w:r>
    </w:p>
    <w:p>
      <w:pPr>
        <w:pStyle w:val="Heading1"/>
        <w:keepNext w:val="false"/>
        <w:tabs>
          <w:tab w:val="clear" w:pos="576"/>
          <w:tab w:val="right" w:pos="540" w:leader="none"/>
          <w:tab w:val="left" w:pos="810" w:leader="none"/>
        </w:tabs>
        <w:autoSpaceDE w:val="false"/>
        <w:rPr>
          <w:rFonts w:ascii="Times New Roman;Times New Roman" w:hAnsi="Times New Roman;Times New Roman" w:cs="Times New Roman;Times New Roman"/>
          <w:bCs/>
          <w:sz w:val="20"/>
          <w:szCs w:val="24"/>
        </w:rPr>
      </w:pPr>
      <w:r>
        <w:rPr>
          <w:rFonts w:cs="Times New Roman;Times New Roman" w:ascii="Times New Roman;Times New Roman" w:hAnsi="Times New Roman;Times New Roman"/>
          <w:bCs/>
          <w:sz w:val="20"/>
          <w:szCs w:val="24"/>
        </w:rPr>
        <w:tab/>
        <w:t>VII.</w:t>
        <w:tab/>
        <w:t>Certification/Recertification Procedures</w:t>
      </w:r>
    </w:p>
    <w:p>
      <w:pPr>
        <w:pStyle w:val="Header"/>
        <w:tabs>
          <w:tab w:val="clear" w:pos="4320"/>
          <w:tab w:val="clear" w:pos="8640"/>
          <w:tab w:val="right" w:pos="990" w:leader="none"/>
          <w:tab w:val="left" w:pos="1260" w:leader="none"/>
        </w:tabs>
        <w:rPr>
          <w:sz w:val="20"/>
        </w:rPr>
      </w:pPr>
      <w:r>
        <w:rPr>
          <w:sz w:val="20"/>
        </w:rPr>
        <w:tab/>
        <w:t>1.</w:t>
        <w:tab/>
        <w:t>Certification Procedures from CERC</w:t>
      </w:r>
    </w:p>
    <w:p>
      <w:pPr>
        <w:pStyle w:val="Normal"/>
        <w:tabs>
          <w:tab w:val="clear" w:pos="720"/>
          <w:tab w:val="right" w:pos="990" w:leader="none"/>
          <w:tab w:val="left" w:pos="1260" w:leader="none"/>
        </w:tabs>
        <w:rPr>
          <w:sz w:val="20"/>
        </w:rPr>
      </w:pPr>
      <w:r>
        <w:rPr>
          <w:sz w:val="20"/>
        </w:rPr>
        <w:tab/>
        <w:t>2.</w:t>
        <w:tab/>
        <w:t xml:space="preserve">Certification/Recertification Requirements to be Completed by MESA </w:t>
        <w:tab/>
        <w:tab/>
        <w:t>Clinics</w:t>
      </w:r>
    </w:p>
    <w:p>
      <w:pPr>
        <w:pStyle w:val="Header"/>
        <w:tabs>
          <w:tab w:val="clear" w:pos="4320"/>
          <w:tab w:val="clear" w:pos="8640"/>
          <w:tab w:val="right" w:pos="990" w:leader="none"/>
          <w:tab w:val="left" w:pos="1260" w:leader="none"/>
        </w:tabs>
        <w:rPr>
          <w:sz w:val="20"/>
        </w:rPr>
      </w:pPr>
      <w:r>
        <w:rPr>
          <w:sz w:val="20"/>
        </w:rPr>
        <w:tab/>
        <w:t>3.</w:t>
        <w:tab/>
        <w:t>Recertification Procedures</w:t>
      </w:r>
    </w:p>
    <w:p>
      <w:pPr>
        <w:pStyle w:val="Normal"/>
        <w:tabs>
          <w:tab w:val="clear" w:pos="720"/>
          <w:tab w:val="right" w:pos="540" w:leader="none"/>
          <w:tab w:val="left" w:pos="810" w:leader="none"/>
        </w:tabs>
        <w:rPr>
          <w:sz w:val="20"/>
        </w:rPr>
      </w:pPr>
      <w:r>
        <w:rPr>
          <w:b/>
          <w:bCs/>
          <w:sz w:val="22"/>
        </w:rPr>
        <w:tab/>
        <w:t>VIII.</w:t>
        <w:tab/>
        <w:t>ECG Processing</w:t>
      </w:r>
    </w:p>
    <w:p>
      <w:pPr>
        <w:pStyle w:val="Header"/>
        <w:tabs>
          <w:tab w:val="clear" w:pos="4320"/>
          <w:tab w:val="clear" w:pos="8640"/>
          <w:tab w:val="right" w:pos="990" w:leader="none"/>
          <w:tab w:val="left" w:pos="1260" w:leader="none"/>
        </w:tabs>
        <w:rPr>
          <w:sz w:val="20"/>
        </w:rPr>
      </w:pPr>
      <w:r>
        <w:rPr>
          <w:sz w:val="20"/>
        </w:rPr>
        <w:tab/>
        <w:t>1.</w:t>
        <w:tab/>
        <w:t>Digital ECGs</w:t>
      </w:r>
    </w:p>
    <w:p>
      <w:pPr>
        <w:pStyle w:val="Header"/>
        <w:tabs>
          <w:tab w:val="clear" w:pos="4320"/>
          <w:tab w:val="clear" w:pos="8640"/>
          <w:tab w:val="right" w:pos="1530" w:leader="none"/>
          <w:tab w:val="left" w:pos="1800" w:leader="none"/>
        </w:tabs>
        <w:rPr/>
      </w:pPr>
      <w:r>
        <w:rPr>
          <w:sz w:val="20"/>
        </w:rPr>
        <w:tab/>
      </w:r>
      <w:r>
        <w:rPr>
          <w:sz w:val="18"/>
        </w:rPr>
        <w:t>1.1</w:t>
        <w:tab/>
        <w:t>Heart Rate Variability</w:t>
      </w:r>
    </w:p>
    <w:p>
      <w:pPr>
        <w:pStyle w:val="Normal"/>
        <w:tabs>
          <w:tab w:val="clear" w:pos="720"/>
          <w:tab w:val="right" w:pos="1530" w:leader="none"/>
          <w:tab w:val="left" w:pos="1800" w:leader="none"/>
        </w:tabs>
        <w:rPr>
          <w:sz w:val="20"/>
        </w:rPr>
      </w:pPr>
      <w:r>
        <w:rPr>
          <w:sz w:val="18"/>
        </w:rPr>
        <w:tab/>
        <w:t>1.2</w:t>
        <w:tab/>
        <w:t>Quality Control ECGs</w:t>
      </w:r>
    </w:p>
    <w:p>
      <w:pPr>
        <w:pStyle w:val="BodyTextIndent3"/>
        <w:tabs>
          <w:tab w:val="clear" w:pos="720"/>
          <w:tab w:val="right" w:pos="990" w:leader="none"/>
          <w:tab w:val="left" w:pos="1260" w:leader="none"/>
        </w:tabs>
        <w:ind w:left="0" w:hanging="0"/>
        <w:rPr>
          <w:sz w:val="20"/>
        </w:rPr>
      </w:pPr>
      <w:r>
        <w:rPr>
          <w:sz w:val="20"/>
        </w:rPr>
        <w:tab/>
        <w:t>2.</w:t>
        <w:tab/>
        <w:t>Hospital ECGs</w:t>
      </w:r>
    </w:p>
    <w:p>
      <w:pPr>
        <w:pStyle w:val="Normal"/>
        <w:tabs>
          <w:tab w:val="clear" w:pos="720"/>
          <w:tab w:val="right" w:pos="540" w:leader="none"/>
          <w:tab w:val="left" w:pos="810" w:leader="none"/>
        </w:tabs>
        <w:rPr/>
      </w:pPr>
      <w:r>
        <w:rPr>
          <w:sz w:val="20"/>
        </w:rPr>
        <w:tab/>
      </w:r>
      <w:r>
        <w:rPr>
          <w:b/>
          <w:bCs/>
          <w:sz w:val="20"/>
        </w:rPr>
        <w:t>IX.</w:t>
        <w:tab/>
        <w:t>Quality Control</w:t>
      </w:r>
    </w:p>
    <w:p>
      <w:pPr>
        <w:pStyle w:val="Heading1"/>
        <w:keepNext w:val="false"/>
        <w:tabs>
          <w:tab w:val="clear" w:pos="576"/>
          <w:tab w:val="right" w:pos="540" w:leader="none"/>
          <w:tab w:val="left" w:pos="810" w:leader="none"/>
        </w:tabs>
        <w:autoSpaceDE w:val="false"/>
        <w:rPr>
          <w:rFonts w:ascii="Times New Roman;Times New Roman" w:hAnsi="Times New Roman;Times New Roman" w:cs="Times New Roman;Times New Roman"/>
          <w:bCs/>
          <w:sz w:val="20"/>
          <w:szCs w:val="24"/>
        </w:rPr>
      </w:pPr>
      <w:r>
        <w:rPr>
          <w:rFonts w:cs="Times New Roman;Times New Roman" w:ascii="Times New Roman;Times New Roman" w:hAnsi="Times New Roman;Times New Roman"/>
          <w:bCs/>
          <w:sz w:val="20"/>
          <w:szCs w:val="24"/>
        </w:rPr>
        <w:tab/>
        <w:t>X.</w:t>
        <w:tab/>
        <w:t>Data Reporting</w:t>
      </w:r>
      <w:r>
        <w:br w:type="page"/>
      </w:r>
    </w:p>
    <w:p>
      <w:pPr>
        <w:pStyle w:val="Heading3"/>
        <w:jc w:val="center"/>
        <w:rPr>
          <w:b/>
          <w:b/>
          <w:bCs/>
          <w:sz w:val="28"/>
          <w:u w:val="none"/>
        </w:rPr>
      </w:pPr>
      <w:r>
        <w:rPr>
          <w:b/>
          <w:bCs/>
          <w:sz w:val="28"/>
          <w:u w:val="none"/>
        </w:rPr>
        <w:t>CERC Personnel</w:t>
      </w:r>
    </w:p>
    <w:p>
      <w:pPr>
        <w:pStyle w:val="Normal"/>
        <w:rPr>
          <w:b/>
          <w:b/>
          <w:bCs/>
          <w:sz w:val="28"/>
          <w:u w:val="none"/>
        </w:rPr>
      </w:pPr>
      <w:r>
        <w:rPr>
          <w:b/>
          <w:bCs/>
          <w:sz w:val="28"/>
          <w:u w:val="none"/>
        </w:rPr>
      </w:r>
    </w:p>
    <w:p>
      <w:pPr>
        <w:pStyle w:val="Normal"/>
        <w:rPr/>
      </w:pPr>
      <w:r>
        <w:rPr/>
      </w:r>
    </w:p>
    <w:p>
      <w:pPr>
        <w:pStyle w:val="Normal"/>
        <w:rPr/>
      </w:pPr>
      <w:r>
        <w:rPr/>
      </w:r>
    </w:p>
    <w:p>
      <w:pPr>
        <w:pStyle w:val="Contents1"/>
        <w:rPr/>
      </w:pPr>
      <w:r>
        <w:rPr/>
        <w:t>Ronald J. Prineas, MD, PhD, Principal Investigator</w:t>
      </w:r>
    </w:p>
    <w:p>
      <w:pPr>
        <w:pStyle w:val="Normal"/>
        <w:rPr/>
      </w:pPr>
      <w:r>
        <w:rPr/>
      </w:r>
    </w:p>
    <w:p>
      <w:pPr>
        <w:pStyle w:val="Normal"/>
        <w:rPr/>
      </w:pPr>
      <w:r>
        <w:rPr/>
        <w:t>Pentti M. Rautaharju, MD, PhD, Co-Principal Investigator</w:t>
      </w:r>
    </w:p>
    <w:p>
      <w:pPr>
        <w:pStyle w:val="Normal"/>
        <w:rPr/>
      </w:pPr>
      <w:r>
        <w:rPr/>
      </w:r>
    </w:p>
    <w:p>
      <w:pPr>
        <w:pStyle w:val="Normal"/>
        <w:rPr/>
      </w:pPr>
      <w:r>
        <w:rPr/>
        <w:t>Farida Rautaharju, PhD, Center Coordinator</w:t>
      </w:r>
    </w:p>
    <w:p>
      <w:pPr>
        <w:pStyle w:val="Normal"/>
        <w:rPr/>
      </w:pPr>
      <w:r>
        <w:rPr/>
      </w:r>
    </w:p>
    <w:p>
      <w:pPr>
        <w:pStyle w:val="Normal"/>
        <w:rPr/>
      </w:pPr>
      <w:r>
        <w:rPr/>
        <w:t>Margaret Mills, Administrative Assistant</w:t>
      </w:r>
    </w:p>
    <w:p>
      <w:pPr>
        <w:pStyle w:val="Normal"/>
        <w:rPr/>
      </w:pPr>
      <w:r>
        <w:rPr/>
      </w:r>
    </w:p>
    <w:p>
      <w:pPr>
        <w:pStyle w:val="Normal"/>
        <w:rPr/>
      </w:pPr>
      <w:r>
        <w:rPr/>
        <w:t>Nancy (DeDe) Pemberton, .S, Systems Analyst/Data Manager</w:t>
      </w:r>
    </w:p>
    <w:p>
      <w:pPr>
        <w:pStyle w:val="Normal"/>
        <w:rPr/>
      </w:pPr>
      <w:r>
        <w:rPr/>
      </w:r>
    </w:p>
    <w:p>
      <w:pPr>
        <w:pStyle w:val="Normal"/>
        <w:rPr/>
      </w:pPr>
      <w:r>
        <w:rPr/>
        <w:t>Teresa Alexander, ACS, Programmer</w:t>
      </w:r>
    </w:p>
    <w:p>
      <w:pPr>
        <w:pStyle w:val="Normal"/>
        <w:rPr/>
      </w:pPr>
      <w:r>
        <w:rPr/>
      </w:r>
    </w:p>
    <w:p>
      <w:pPr>
        <w:pStyle w:val="Normal"/>
        <w:rPr/>
      </w:pPr>
      <w:r>
        <w:rPr/>
        <w:t>Jennifer Villiger, MS, BS, Statistician</w:t>
      </w:r>
    </w:p>
    <w:p>
      <w:pPr>
        <w:pStyle w:val="Normal"/>
        <w:rPr/>
      </w:pPr>
      <w:r>
        <w:rPr/>
      </w:r>
    </w:p>
    <w:p>
      <w:pPr>
        <w:pStyle w:val="Normal"/>
        <w:rPr/>
      </w:pPr>
      <w:r>
        <w:rPr/>
        <w:t>Zhu-Ming Zhang, MD, Research Associate/Coding Supervisor</w:t>
      </w:r>
    </w:p>
    <w:p>
      <w:pPr>
        <w:pStyle w:val="Normal"/>
        <w:rPr/>
      </w:pPr>
      <w:r>
        <w:rPr/>
      </w:r>
    </w:p>
    <w:p>
      <w:pPr>
        <w:pStyle w:val="Normal"/>
        <w:rPr/>
      </w:pPr>
      <w:r>
        <w:rPr/>
        <w:t>Ge Li, MD, Visual Coder</w:t>
      </w:r>
    </w:p>
    <w:p>
      <w:pPr>
        <w:pStyle w:val="Normal"/>
        <w:rPr/>
      </w:pPr>
      <w:r>
        <w:rPr/>
      </w:r>
    </w:p>
    <w:p>
      <w:pPr>
        <w:pStyle w:val="Normal"/>
        <w:rPr/>
      </w:pPr>
      <w:r>
        <w:rPr/>
        <w:t>Yabing Li, MD,  Visual Coder</w:t>
      </w:r>
    </w:p>
    <w:p>
      <w:pPr>
        <w:pStyle w:val="Normal"/>
        <w:rPr/>
      </w:pPr>
      <w:r>
        <w:rPr/>
      </w:r>
    </w:p>
    <w:p>
      <w:pPr>
        <w:pStyle w:val="Normal"/>
        <w:rPr/>
      </w:pPr>
      <w:r>
        <w:rPr/>
        <w:t>Sharon Hall, Computer ECG Technician</w:t>
      </w:r>
    </w:p>
    <w:p>
      <w:pPr>
        <w:pStyle w:val="Normal"/>
        <w:rPr/>
      </w:pPr>
      <w:r>
        <w:rPr/>
      </w:r>
    </w:p>
    <w:p>
      <w:pPr>
        <w:pStyle w:val="Normal"/>
        <w:rPr/>
      </w:pPr>
      <w:r>
        <w:rPr/>
        <w:t>Amy Whitman</w:t>
        <w:tab/>
        <w:t>, Computer ECG Technician</w:t>
      </w:r>
    </w:p>
    <w:p>
      <w:pPr>
        <w:pStyle w:val="Normal"/>
        <w:rPr/>
      </w:pPr>
      <w:r>
        <w:rPr/>
      </w:r>
    </w:p>
    <w:p>
      <w:pPr>
        <w:pStyle w:val="Normal"/>
        <w:rPr/>
      </w:pPr>
      <w:r>
        <w:rPr/>
        <w:t>Angela Bowles, Data Entry Technician II</w:t>
      </w:r>
    </w:p>
    <w:p>
      <w:pPr>
        <w:pStyle w:val="Normal"/>
        <w:rPr/>
      </w:pPr>
      <w:r>
        <w:rPr/>
      </w:r>
    </w:p>
    <w:p>
      <w:pPr>
        <w:pStyle w:val="Normal"/>
        <w:rPr/>
      </w:pPr>
      <w:r>
        <w:rPr/>
        <w:t>Lisa Selph-Billings, Data Entry Technician II</w:t>
      </w:r>
    </w:p>
    <w:p>
      <w:pPr>
        <w:pStyle w:val="Normal"/>
        <w:rPr/>
      </w:pPr>
      <w:r>
        <w:rPr/>
      </w:r>
    </w:p>
    <w:p>
      <w:pPr>
        <w:pStyle w:val="Normal"/>
        <w:rPr/>
      </w:pPr>
      <w:r>
        <w:rPr/>
        <w:t>Beverly Benton, Data Entry Technician II</w:t>
      </w:r>
    </w:p>
    <w:p>
      <w:pPr>
        <w:pStyle w:val="Normal"/>
        <w:rPr/>
      </w:pPr>
      <w:r>
        <w:rPr/>
      </w:r>
    </w:p>
    <w:p>
      <w:pPr>
        <w:pStyle w:val="Normal"/>
        <w:rPr/>
      </w:pPr>
      <w:r>
        <w:rPr/>
      </w:r>
      <w:r>
        <w:br w:type="page"/>
      </w:r>
    </w:p>
    <w:p>
      <w:pPr>
        <w:pStyle w:val="Normal"/>
        <w:rPr>
          <w:rFonts w:ascii="Arial;Arial" w:hAnsi="Arial;Arial" w:eastAsia="Arial;Arial" w:cs="Arial;Arial"/>
          <w:b/>
          <w:b/>
        </w:rPr>
      </w:pPr>
      <w:r>
        <w:rPr>
          <w:rFonts w:eastAsia="Arial;Arial" w:cs="Arial;Arial" w:ascii="Arial;Arial" w:hAnsi="Arial;Arial"/>
          <w:b/>
        </w:rPr>
        <w:t xml:space="preserve"> </w:t>
      </w:r>
    </w:p>
    <w:p>
      <w:pPr>
        <w:pStyle w:val="Romanbold"/>
        <w:rPr/>
      </w:pPr>
      <w:r>
        <w:rPr/>
        <w:tab/>
        <w:t>I.</w:t>
        <w:tab/>
        <w:t>Introduction</w:t>
      </w:r>
    </w:p>
    <w:p>
      <w:pPr>
        <w:pStyle w:val="Romanbody"/>
        <w:rPr/>
      </w:pPr>
      <w:r>
        <w:rPr/>
      </w:r>
    </w:p>
    <w:p>
      <w:pPr>
        <w:pStyle w:val="Romanbody"/>
        <w:rPr/>
      </w:pPr>
      <w:r>
        <w:rPr/>
        <w:t xml:space="preserve">The MESA Central ECG Reading Center (CERC) is located at Wake Forest University School of Medicine, Department of Public Health Sciences, EPICARE Section. The CERC personnel are listed on the previous page. The main CERC contact numbers are:       </w:t>
      </w:r>
    </w:p>
    <w:p>
      <w:pPr>
        <w:pStyle w:val="Romanbody"/>
        <w:rPr/>
      </w:pPr>
      <w:r>
        <w:rPr/>
      </w:r>
    </w:p>
    <w:p>
      <w:pPr>
        <w:pStyle w:val="Romanbody"/>
        <w:rPr/>
      </w:pPr>
      <w:r>
        <w:rPr/>
        <w:t xml:space="preserve">Ron Prineas, MD., PhD, Principal Investigator </w:t>
        <w:tab/>
        <w:tab/>
        <w:t xml:space="preserve">    </w:t>
      </w:r>
    </w:p>
    <w:p>
      <w:pPr>
        <w:pStyle w:val="Romanbody"/>
        <w:rPr/>
      </w:pPr>
      <w:r>
        <w:rPr/>
        <w:t>Phone: (336) 716-7441</w:t>
      </w:r>
    </w:p>
    <w:p>
      <w:pPr>
        <w:pStyle w:val="Romanbody"/>
        <w:rPr/>
      </w:pPr>
      <w:r>
        <w:rPr/>
        <w:t>Fax: (336) 716-0834</w:t>
      </w:r>
    </w:p>
    <w:p>
      <w:pPr>
        <w:pStyle w:val="Romanbody"/>
        <w:rPr/>
      </w:pPr>
      <w:hyperlink r:id="rId113">
        <w:r>
          <w:rPr>
            <w:rStyle w:val="InternetLink"/>
          </w:rPr>
          <w:t>rprineas@wfubmc.edu</w:t>
        </w:r>
      </w:hyperlink>
    </w:p>
    <w:p>
      <w:pPr>
        <w:pStyle w:val="Romanbody"/>
        <w:rPr/>
      </w:pPr>
      <w:r>
        <w:rPr/>
      </w:r>
    </w:p>
    <w:p>
      <w:pPr>
        <w:pStyle w:val="Romanbody"/>
        <w:rPr/>
      </w:pPr>
      <w:r>
        <w:rPr/>
        <w:t>Pentti Rautaharju, MD., PhD, Co-Principal Investigator</w:t>
        <w:tab/>
        <w:t xml:space="preserve">     </w:t>
      </w:r>
    </w:p>
    <w:p>
      <w:pPr>
        <w:pStyle w:val="Romanbody"/>
        <w:rPr/>
      </w:pPr>
      <w:r>
        <w:rPr/>
        <w:t>Phone: (336) 716-0831</w:t>
      </w:r>
    </w:p>
    <w:p>
      <w:pPr>
        <w:pStyle w:val="Romanbody"/>
        <w:rPr/>
      </w:pPr>
      <w:r>
        <w:rPr/>
        <w:t>Fax: (336) 716-0834</w:t>
      </w:r>
    </w:p>
    <w:p>
      <w:pPr>
        <w:pStyle w:val="Romanbody"/>
        <w:rPr/>
      </w:pPr>
      <w:hyperlink r:id="rId114">
        <w:r>
          <w:rPr>
            <w:rStyle w:val="InternetLink"/>
          </w:rPr>
          <w:t>prautaha@wfubmc.edu</w:t>
        </w:r>
      </w:hyperlink>
    </w:p>
    <w:p>
      <w:pPr>
        <w:pStyle w:val="Romanbody"/>
        <w:rPr/>
      </w:pPr>
      <w:r>
        <w:rPr/>
      </w:r>
    </w:p>
    <w:p>
      <w:pPr>
        <w:pStyle w:val="Romanbody"/>
        <w:rPr/>
      </w:pPr>
      <w:r>
        <w:rPr/>
        <w:t>Farida Rautaharju, PhD, Center Coordinator</w:t>
      </w:r>
    </w:p>
    <w:p>
      <w:pPr>
        <w:pStyle w:val="Romanbody"/>
        <w:rPr/>
      </w:pPr>
      <w:r>
        <w:rPr/>
        <w:t>Phone: (336) 716-0833</w:t>
      </w:r>
    </w:p>
    <w:p>
      <w:pPr>
        <w:pStyle w:val="Romanbody"/>
        <w:rPr/>
      </w:pPr>
      <w:r>
        <w:rPr/>
        <w:t>Fax: (336) 716-0834</w:t>
      </w:r>
    </w:p>
    <w:p>
      <w:pPr>
        <w:pStyle w:val="Romanbody"/>
        <w:rPr/>
      </w:pPr>
      <w:hyperlink r:id="rId115">
        <w:r>
          <w:rPr>
            <w:rStyle w:val="InternetLink"/>
          </w:rPr>
          <w:t>frautaha@wfubmc.edu</w:t>
        </w:r>
      </w:hyperlink>
    </w:p>
    <w:p>
      <w:pPr>
        <w:pStyle w:val="Romanbody"/>
        <w:rPr/>
      </w:pPr>
      <w:r>
        <w:rPr/>
      </w:r>
    </w:p>
    <w:p>
      <w:pPr>
        <w:pStyle w:val="Romanbody"/>
        <w:rPr/>
      </w:pPr>
      <w:r>
        <w:rPr/>
        <w:t>Sharon Hall, ECG Technician</w:t>
      </w:r>
    </w:p>
    <w:p>
      <w:pPr>
        <w:pStyle w:val="Romanbody"/>
        <w:rPr/>
      </w:pPr>
      <w:r>
        <w:rPr/>
        <w:t>Phone: (336) 716-0841</w:t>
      </w:r>
    </w:p>
    <w:p>
      <w:pPr>
        <w:pStyle w:val="Romanbody"/>
        <w:rPr/>
      </w:pPr>
      <w:r>
        <w:rPr/>
        <w:t>Fax: (336) 716-0834</w:t>
      </w:r>
    </w:p>
    <w:p>
      <w:pPr>
        <w:pStyle w:val="Romanbody"/>
        <w:rPr/>
      </w:pPr>
      <w:hyperlink r:id="rId116">
        <w:r>
          <w:rPr>
            <w:rStyle w:val="InternetLink"/>
          </w:rPr>
          <w:t>shhall@wfubmc.edu</w:t>
        </w:r>
      </w:hyperlink>
    </w:p>
    <w:p>
      <w:pPr>
        <w:pStyle w:val="Romanbody"/>
        <w:rPr/>
      </w:pPr>
      <w:r>
        <w:rPr/>
      </w:r>
    </w:p>
    <w:p>
      <w:pPr>
        <w:pStyle w:val="Romanbody"/>
        <w:rPr/>
      </w:pPr>
      <w:r>
        <w:rPr/>
        <w:t xml:space="preserve">Contact Dr. Farida Rautaharju and Ms. Sharon Hall for all matters pertaining to </w:t>
      </w:r>
    </w:p>
    <w:p>
      <w:pPr>
        <w:pStyle w:val="Romanbody"/>
        <w:rPr/>
      </w:pPr>
      <w:r>
        <w:rPr/>
        <w:t xml:space="preserve">recording and transmission of ECGs and for ECG technician certification and recertification.  </w:t>
      </w:r>
    </w:p>
    <w:p>
      <w:pPr>
        <w:pStyle w:val="Romanbody"/>
        <w:rPr/>
      </w:pPr>
      <w:r>
        <w:rPr/>
      </w:r>
    </w:p>
    <w:p>
      <w:pPr>
        <w:pStyle w:val="Romanbold"/>
        <w:rPr/>
      </w:pPr>
      <w:r>
        <w:rPr/>
        <w:tab/>
        <w:t>II.</w:t>
        <w:tab/>
        <w:t>Background and Purpose</w:t>
      </w:r>
    </w:p>
    <w:p>
      <w:pPr>
        <w:pStyle w:val="Romanbold"/>
        <w:rPr>
          <w:rFonts w:ascii="Arial;Arial" w:hAnsi="Arial;Arial" w:cs="Arial;Arial"/>
        </w:rPr>
      </w:pPr>
      <w:r>
        <w:rPr>
          <w:rFonts w:cs="Arial;Arial" w:ascii="Arial;Arial" w:hAnsi="Arial;Arial"/>
        </w:rPr>
      </w:r>
    </w:p>
    <w:p>
      <w:pPr>
        <w:pStyle w:val="Romanbody"/>
        <w:rPr/>
      </w:pPr>
      <w:r>
        <w:rPr/>
        <w:t xml:space="preserve">The ECG recordings in MESA will serve to establish the distribution of subclinical disease findings at baseline and the development of new disease (including silent myocardial infarction, left ventricular hypertrophy, ischemia, prolonged QT interval, reduced heart rate variability (HRV), and arrhythmias) as well as the development of subclinical ECG findings that are determined to be associated with a poor prognosis. Like the other non-invasive cardiovascular function measures to be employed in MESA, the ECG recordings will be used both to detect new (incident) cardiac disease and to develop predictive equations for future morbidity and mortality based on newly tested ECG findings.  </w:t>
      </w:r>
    </w:p>
    <w:p>
      <w:pPr>
        <w:pStyle w:val="Normal"/>
        <w:rPr>
          <w:rFonts w:ascii="Arial;Arial" w:hAnsi="Arial;Arial" w:cs="Arial;Arial"/>
        </w:rPr>
      </w:pPr>
      <w:r>
        <w:rPr>
          <w:rFonts w:cs="Arial;Arial" w:ascii="Arial;Arial" w:hAnsi="Arial;Arial"/>
        </w:rPr>
      </w:r>
    </w:p>
    <w:p>
      <w:pPr>
        <w:pStyle w:val="Romanbody"/>
        <w:rPr/>
      </w:pPr>
      <w:r>
        <w:rPr/>
        <w:t>This opportunity to include ECG measurements as part of MESA should take full advantage of current technology to define subclinical ECG disease indices as well as overt ECG abnormal outcomes in the progression of disease. Just as subclinical definitions of CVD are developed for cardiac MRI, carotid ultrasound, and coronary calcium scores, different levels of subclinical disease presence will progress at variable rates in demographic subgroups, and different risk profile subgroups, and will also be associated with variable levels of subclinical CVD, as measured by alternate technologies. And, so, there are ECG findings and measurements to be incorporated into subclinical disease definitions as well as ECG risk factors to be identified. For example, MRI of the heart, with estimates of left ventricular mass (and hence degrees of left ventricular hypertrophy (LVH), may produce very different prognostic information related to obesity and elevated blood pressure than do new algorithms for ECG LVH. Therefore, the CERC will apply continuous measures of ECG LVH that predict future disease more precisely than do current dichotomous ECG LVH criteria.</w:t>
      </w:r>
    </w:p>
    <w:p>
      <w:pPr>
        <w:pStyle w:val="Romanbody"/>
        <w:rPr/>
      </w:pPr>
      <w:r>
        <w:rPr/>
      </w:r>
    </w:p>
    <w:p>
      <w:pPr>
        <w:pStyle w:val="Romanbody"/>
        <w:rPr/>
      </w:pPr>
      <w:r>
        <w:rPr/>
        <w:t xml:space="preserve">Potential participants with certain manifest cardiac disease will be excluded by clinical history and examination, including ECG evidence of atrial fibrillation and the presence of a cardiac pacemaker. </w:t>
      </w:r>
    </w:p>
    <w:p>
      <w:pPr>
        <w:pStyle w:val="Romanbody"/>
        <w:rPr/>
      </w:pPr>
      <w:r>
        <w:rPr/>
      </w:r>
    </w:p>
    <w:p>
      <w:pPr>
        <w:pStyle w:val="Romanbold"/>
        <w:rPr/>
      </w:pPr>
      <w:r>
        <w:rPr/>
        <w:tab/>
        <w:t>III.</w:t>
        <w:tab/>
        <w:t>ECG Recording Schedule</w:t>
      </w:r>
    </w:p>
    <w:p>
      <w:pPr>
        <w:pStyle w:val="Normal"/>
        <w:rPr>
          <w:rFonts w:ascii="Arial;Arial" w:hAnsi="Arial;Arial" w:cs="Arial;Arial"/>
          <w:b/>
          <w:b/>
        </w:rPr>
      </w:pPr>
      <w:r>
        <w:rPr>
          <w:rFonts w:cs="Arial;Arial" w:ascii="Arial;Arial" w:hAnsi="Arial;Arial"/>
          <w:b/>
        </w:rPr>
      </w:r>
    </w:p>
    <w:p>
      <w:pPr>
        <w:pStyle w:val="Number1"/>
        <w:rPr/>
      </w:pPr>
      <w:r>
        <w:rPr/>
        <w:tab/>
        <w:t>1.</w:t>
        <w:tab/>
      </w:r>
      <w:r>
        <w:rPr>
          <w:u w:val="single"/>
        </w:rPr>
        <w:t>Digital ECGs</w:t>
      </w:r>
    </w:p>
    <w:p>
      <w:pPr>
        <w:pStyle w:val="Number11"/>
        <w:rPr/>
      </w:pPr>
      <w:r>
        <w:rPr/>
      </w:r>
    </w:p>
    <w:p>
      <w:pPr>
        <w:pStyle w:val="Number11"/>
        <w:rPr/>
      </w:pPr>
      <w:r>
        <w:rPr/>
        <w:tab/>
        <w:t>1.1</w:t>
        <w:tab/>
        <w:t>MESA clinics will deal with three different ECG formats: (a) digitally recorded ECGs; (b) locally read baseline ECGs and “alerts,” and (c) hospital ECGs.</w:t>
      </w:r>
    </w:p>
    <w:p>
      <w:pPr>
        <w:pStyle w:val="Number11"/>
        <w:rPr/>
      </w:pPr>
      <w:r>
        <w:rPr/>
      </w:r>
    </w:p>
    <w:p>
      <w:pPr>
        <w:pStyle w:val="Number11"/>
        <w:rPr/>
      </w:pPr>
      <w:r>
        <w:rPr/>
        <w:tab/>
        <w:t>1.2</w:t>
        <w:tab/>
        <w:t>At each examination digital ECGs will be recorded electronically with a GE/Marquette MAC 1200 electrocardiograph. Each MESA site has two electrocardiographs, the software of which has been configured for correct transmission of signals by modem and phone line to the CERC.</w:t>
      </w:r>
    </w:p>
    <w:p>
      <w:pPr>
        <w:pStyle w:val="Number11"/>
        <w:rPr/>
      </w:pPr>
      <w:r>
        <w:rPr/>
      </w:r>
    </w:p>
    <w:p>
      <w:pPr>
        <w:pStyle w:val="Number11"/>
        <w:rPr/>
      </w:pPr>
      <w:r>
        <w:rPr/>
        <w:tab/>
        <w:t>1.3</w:t>
        <w:tab/>
        <w:t>The CERC will process all baseline ECGs and ECGs recorded at three scheduled follow-up examinations in MESA.</w:t>
      </w:r>
    </w:p>
    <w:p>
      <w:pPr>
        <w:pStyle w:val="Number11"/>
        <w:rPr/>
      </w:pPr>
      <w:r>
        <w:rPr/>
      </w:r>
    </w:p>
    <w:p>
      <w:pPr>
        <w:pStyle w:val="Number11"/>
        <w:rPr/>
      </w:pPr>
      <w:r>
        <w:rPr/>
        <w:tab/>
        <w:t>1.4</w:t>
        <w:tab/>
        <w:t xml:space="preserve">At each visit the clinic ECG technicians will record the scheduled ECGs with the participant </w:t>
      </w:r>
      <w:r>
        <w:rPr>
          <w:bCs/>
          <w:i/>
          <w:iCs/>
        </w:rPr>
        <w:t>fasting.</w:t>
      </w:r>
      <w:r>
        <w:rPr/>
        <w:t xml:space="preserve"> That is, the ECG must be recorded after an overnight fast (and after this history is checked in the clinic) </w:t>
      </w:r>
      <w:r>
        <w:rPr>
          <w:bCs/>
          <w:i/>
          <w:iCs/>
        </w:rPr>
        <w:t>and before any snack</w:t>
      </w:r>
      <w:r>
        <w:rPr/>
        <w:t xml:space="preserve"> (or at a later date the possibility of an oral glucose tolerance test) is given.  </w:t>
      </w:r>
    </w:p>
    <w:p>
      <w:pPr>
        <w:pStyle w:val="Number11"/>
        <w:rPr/>
      </w:pPr>
      <w:r>
        <w:rPr/>
      </w:r>
    </w:p>
    <w:p>
      <w:pPr>
        <w:pStyle w:val="Number11"/>
        <w:rPr/>
      </w:pPr>
      <w:r>
        <w:rPr/>
        <w:tab/>
        <w:t>1.5</w:t>
        <w:tab/>
        <w:t xml:space="preserve">Each participant will have </w:t>
      </w:r>
      <w:r>
        <w:rPr>
          <w:bCs/>
          <w:i/>
          <w:iCs/>
        </w:rPr>
        <w:t>three immediately sequential ECGs</w:t>
      </w:r>
      <w:r>
        <w:rPr/>
        <w:t xml:space="preserve"> recorded at each visit.</w:t>
      </w:r>
    </w:p>
    <w:p>
      <w:pPr>
        <w:pStyle w:val="Number11"/>
        <w:rPr/>
      </w:pPr>
      <w:r>
        <w:rPr/>
      </w:r>
    </w:p>
    <w:p>
      <w:pPr>
        <w:pStyle w:val="Number11"/>
        <w:rPr/>
      </w:pPr>
      <w:r>
        <w:rPr/>
        <w:tab/>
        <w:t>1.6</w:t>
        <w:tab/>
        <w:t>The ECGs stored in the MAC1200 will be transmitted to the CERC twice weekly (see transmission schedule below).</w:t>
      </w:r>
    </w:p>
    <w:p>
      <w:pPr>
        <w:pStyle w:val="Number11"/>
        <w:rPr/>
      </w:pPr>
      <w:r>
        <w:rPr/>
      </w:r>
    </w:p>
    <w:p>
      <w:pPr>
        <w:pStyle w:val="Number11"/>
        <w:rPr/>
      </w:pPr>
      <w:r>
        <w:rPr/>
        <w:tab/>
        <w:t>1.7</w:t>
        <w:tab/>
        <w:t>ECGs will be processed (see below) and monthly transmissions made to the MESA Coordinating Center.</w:t>
      </w:r>
    </w:p>
    <w:p>
      <w:pPr>
        <w:pStyle w:val="Number11"/>
        <w:rPr/>
      </w:pPr>
      <w:r>
        <w:rPr/>
      </w:r>
    </w:p>
    <w:p>
      <w:pPr>
        <w:pStyle w:val="Number1"/>
        <w:rPr/>
      </w:pPr>
      <w:r>
        <w:rPr/>
        <w:tab/>
        <w:t>2.</w:t>
        <w:tab/>
      </w:r>
      <w:r>
        <w:rPr>
          <w:u w:val="single"/>
        </w:rPr>
        <w:t>Locally Read ECGs</w:t>
      </w:r>
    </w:p>
    <w:p>
      <w:pPr>
        <w:pStyle w:val="Number1"/>
        <w:rPr/>
      </w:pPr>
      <w:r>
        <w:rPr/>
      </w:r>
    </w:p>
    <w:p>
      <w:pPr>
        <w:pStyle w:val="Number11"/>
        <w:rPr/>
      </w:pPr>
      <w:r>
        <w:rPr/>
        <w:tab/>
        <w:t>2.1</w:t>
        <w:tab/>
        <w:t>Baseline Exclusions</w:t>
      </w:r>
    </w:p>
    <w:p>
      <w:pPr>
        <w:pStyle w:val="Number11"/>
        <w:rPr/>
      </w:pPr>
      <w:r>
        <w:rPr/>
      </w:r>
    </w:p>
    <w:p>
      <w:pPr>
        <w:pStyle w:val="Number11"/>
        <w:rPr/>
      </w:pPr>
      <w:r>
        <w:rPr/>
        <w:tab/>
        <w:tab/>
        <w:t>Local reading of ECGs will be done to confirm atrial fibrillation</w:t>
      </w:r>
      <w:r>
        <w:rPr>
          <w:bCs/>
        </w:rPr>
        <w:t xml:space="preserve"> (AF), atrial flutter, </w:t>
      </w:r>
      <w:r>
        <w:rPr/>
        <w:t xml:space="preserve">and the presence of a </w:t>
      </w:r>
      <w:r>
        <w:rPr>
          <w:i/>
          <w:iCs/>
        </w:rPr>
        <w:t>pacemaker.</w:t>
      </w:r>
      <w:r>
        <w:rPr/>
        <w:t xml:space="preserve">  The presence of either of these abnormalities will be confirmed by a local clinic physician, and such potential participants will be excluded from the study and will not proceed with a carotid ultrasound, coronary calcium score, or cardiac MRI.</w:t>
      </w:r>
    </w:p>
    <w:p>
      <w:pPr>
        <w:pStyle w:val="Number11"/>
        <w:rPr/>
      </w:pPr>
      <w:r>
        <w:rPr/>
      </w:r>
    </w:p>
    <w:p>
      <w:pPr>
        <w:pStyle w:val="Number11"/>
        <w:rPr/>
      </w:pPr>
      <w:r>
        <w:rPr/>
        <w:tab/>
        <w:t>2.2</w:t>
        <w:tab/>
        <w:t>“Alert” ECGs</w:t>
      </w:r>
    </w:p>
    <w:p>
      <w:pPr>
        <w:pStyle w:val="Number11"/>
        <w:rPr/>
      </w:pPr>
      <w:r>
        <w:rPr/>
      </w:r>
    </w:p>
    <w:p>
      <w:pPr>
        <w:pStyle w:val="Number111"/>
        <w:rPr/>
      </w:pPr>
      <w:r>
        <w:rPr/>
        <w:tab/>
        <w:t>2.2.1</w:t>
        <w:tab/>
        <w:t xml:space="preserve">Below is a list of alerts that </w:t>
      </w:r>
      <w:r>
        <w:rPr>
          <w:i/>
          <w:iCs/>
        </w:rPr>
        <w:t>do not require</w:t>
      </w:r>
      <w:r>
        <w:rPr/>
        <w:t xml:space="preserve"> immediate physician review. There are many other possible alerts that will also not require physician review, but these are the most common. It is expected that the field centers will add to this list as they gain experience with the types of alerts typically seen at their sites.</w:t>
      </w:r>
    </w:p>
    <w:p>
      <w:pPr>
        <w:pStyle w:val="Number111"/>
        <w:rPr/>
      </w:pPr>
      <w:r>
        <w:rPr/>
      </w:r>
    </w:p>
    <w:p>
      <w:pPr>
        <w:pStyle w:val="Number111bodybullet"/>
        <w:rPr/>
      </w:pPr>
      <w:r>
        <w:rPr/>
        <w:tab/>
      </w:r>
      <w:r>
        <w:rPr>
          <w:rFonts w:eastAsia="Symbol" w:cs="Symbol" w:ascii="Symbol" w:hAnsi="Symbol"/>
        </w:rPr>
        <w:t></w:t>
      </w:r>
      <w:r>
        <w:rPr/>
        <w:tab/>
        <w:t>1</w:t>
      </w:r>
      <w:r>
        <w:rPr>
          <w:vertAlign w:val="superscript"/>
        </w:rPr>
        <w:t>st</w:t>
      </w:r>
      <w:r>
        <w:rPr/>
        <w:t xml:space="preserve"> degree AV block</w:t>
      </w:r>
    </w:p>
    <w:p>
      <w:pPr>
        <w:pStyle w:val="Number111bodybullet"/>
        <w:rPr/>
      </w:pPr>
      <w:r>
        <w:rPr/>
        <w:tab/>
      </w:r>
      <w:r>
        <w:rPr>
          <w:rFonts w:eastAsia="Symbol" w:cs="Symbol" w:ascii="Symbol" w:hAnsi="Symbol"/>
        </w:rPr>
        <w:t></w:t>
      </w:r>
      <w:r>
        <w:rPr/>
        <w:tab/>
        <w:t>Axis deviation</w:t>
      </w:r>
    </w:p>
    <w:p>
      <w:pPr>
        <w:pStyle w:val="Number111bodybullet"/>
        <w:rPr/>
      </w:pPr>
      <w:r>
        <w:rPr/>
        <w:tab/>
      </w:r>
      <w:r>
        <w:rPr>
          <w:rFonts w:eastAsia="Symbol" w:cs="Symbol" w:ascii="Symbol" w:hAnsi="Symbol"/>
        </w:rPr>
        <w:t></w:t>
      </w:r>
      <w:r>
        <w:rPr/>
        <w:tab/>
        <w:t>Early repolarization</w:t>
      </w:r>
    </w:p>
    <w:p>
      <w:pPr>
        <w:pStyle w:val="Number111bodybullet"/>
        <w:rPr/>
      </w:pPr>
      <w:r>
        <w:rPr/>
        <w:tab/>
      </w:r>
      <w:r>
        <w:rPr>
          <w:rFonts w:eastAsia="Symbol" w:cs="Symbol" w:ascii="Symbol" w:hAnsi="Symbol"/>
        </w:rPr>
        <w:t></w:t>
      </w:r>
      <w:r>
        <w:rPr/>
        <w:tab/>
        <w:t>Intraventricular conduction defect</w:t>
      </w:r>
    </w:p>
    <w:p>
      <w:pPr>
        <w:pStyle w:val="Number111bodybullet"/>
        <w:rPr/>
      </w:pPr>
      <w:r>
        <w:rPr/>
        <w:tab/>
      </w:r>
      <w:r>
        <w:rPr>
          <w:rFonts w:eastAsia="Symbol" w:cs="Symbol" w:ascii="Symbol" w:hAnsi="Symbol"/>
        </w:rPr>
        <w:t></w:t>
      </w:r>
      <w:r>
        <w:rPr/>
        <w:tab/>
        <w:t>Low voltage</w:t>
      </w:r>
    </w:p>
    <w:p>
      <w:pPr>
        <w:pStyle w:val="Number111bodybullet"/>
        <w:rPr/>
      </w:pPr>
      <w:r>
        <w:rPr/>
        <w:tab/>
      </w:r>
      <w:r>
        <w:rPr>
          <w:rFonts w:eastAsia="Symbol" w:cs="Symbol" w:ascii="Symbol" w:hAnsi="Symbol"/>
        </w:rPr>
        <w:t></w:t>
      </w:r>
      <w:r>
        <w:rPr/>
        <w:tab/>
        <w:t>Occasional PAC</w:t>
      </w:r>
    </w:p>
    <w:p>
      <w:pPr>
        <w:pStyle w:val="Number111bodybullet"/>
        <w:rPr/>
      </w:pPr>
      <w:r>
        <w:rPr/>
        <w:tab/>
      </w:r>
      <w:r>
        <w:rPr>
          <w:rFonts w:eastAsia="Symbol" w:cs="Symbol" w:ascii="Symbol" w:hAnsi="Symbol"/>
        </w:rPr>
        <w:t></w:t>
      </w:r>
      <w:r>
        <w:rPr/>
        <w:tab/>
        <w:t>Occasional PVC</w:t>
      </w:r>
    </w:p>
    <w:p>
      <w:pPr>
        <w:pStyle w:val="Number111bodybullet"/>
        <w:rPr/>
      </w:pPr>
      <w:r>
        <w:rPr/>
        <w:tab/>
      </w:r>
      <w:r>
        <w:rPr>
          <w:rFonts w:eastAsia="Symbol" w:cs="Symbol" w:ascii="Symbol" w:hAnsi="Symbol"/>
        </w:rPr>
        <w:t></w:t>
      </w:r>
      <w:r>
        <w:rPr/>
        <w:tab/>
        <w:t>Sinus bradycardia</w:t>
      </w:r>
    </w:p>
    <w:p>
      <w:pPr>
        <w:pStyle w:val="Number111bodybullet"/>
        <w:rPr/>
      </w:pPr>
      <w:r>
        <w:rPr/>
        <w:tab/>
      </w:r>
      <w:r>
        <w:rPr>
          <w:rFonts w:eastAsia="Symbol" w:cs="Symbol" w:ascii="Symbol" w:hAnsi="Symbol"/>
        </w:rPr>
        <w:t></w:t>
      </w:r>
      <w:r>
        <w:rPr/>
        <w:tab/>
        <w:t>Sinus arrhythmia</w:t>
      </w:r>
    </w:p>
    <w:p>
      <w:pPr>
        <w:pStyle w:val="Number111bodybullet"/>
        <w:rPr/>
      </w:pPr>
      <w:r>
        <w:rPr/>
      </w:r>
    </w:p>
    <w:p>
      <w:pPr>
        <w:pStyle w:val="Number111"/>
        <w:rPr/>
      </w:pPr>
      <w:r>
        <w:rPr/>
        <w:tab/>
        <w:t>2.2.2</w:t>
        <w:tab/>
        <w:t xml:space="preserve">Below is a list of alerts that </w:t>
      </w:r>
      <w:r>
        <w:rPr>
          <w:i/>
          <w:iCs/>
        </w:rPr>
        <w:t>require immediate</w:t>
      </w:r>
      <w:r>
        <w:rPr/>
        <w:t xml:space="preserve"> physician review. Follow the specific directions given for each alert. Do not unnecessarily alarm the participant or venture a diagnosis. There are other alerts that will require immediate physician review. </w:t>
      </w:r>
    </w:p>
    <w:p>
      <w:pPr>
        <w:pStyle w:val="Number111"/>
        <w:rPr/>
      </w:pPr>
      <w:r>
        <w:rPr/>
      </w:r>
    </w:p>
    <w:p>
      <w:pPr>
        <w:pStyle w:val="Number111bodybullet"/>
        <w:rPr/>
      </w:pPr>
      <w:r>
        <w:rPr/>
        <w:tab/>
        <w:t xml:space="preserve"> </w:t>
      </w:r>
      <w:r>
        <w:rPr>
          <w:rFonts w:eastAsia="Symbol" w:cs="Symbol" w:ascii="Symbol" w:hAnsi="Symbol"/>
        </w:rPr>
        <w:t></w:t>
      </w:r>
      <w:r>
        <w:rPr/>
        <w:tab/>
        <w:t xml:space="preserve">Atrial fibrillation. </w:t>
      </w:r>
    </w:p>
    <w:p>
      <w:pPr>
        <w:pStyle w:val="Number111bodybullet"/>
        <w:rPr/>
      </w:pPr>
      <w:r>
        <w:rPr/>
        <w:tab/>
      </w:r>
      <w:r>
        <w:rPr>
          <w:rFonts w:eastAsia="Symbol" w:cs="Symbol" w:ascii="Symbol" w:hAnsi="Symbol"/>
        </w:rPr>
        <w:t></w:t>
      </w:r>
      <w:r>
        <w:rPr/>
        <w:tab/>
        <w:t xml:space="preserve">Atrial flutter. </w:t>
      </w:r>
    </w:p>
    <w:p>
      <w:pPr>
        <w:pStyle w:val="Number111bodybullet"/>
        <w:rPr/>
      </w:pPr>
      <w:r>
        <w:rPr/>
        <w:tab/>
        <w:tab/>
        <w:t>These are not an emergency in a person without symptoms; but these ECGs should be reviewed by a physician in the clinic, and, if the ECG diagnosis is confirmed, the participant and his/her physician must be notified. The clinic physician should also determine the urgency of advising the participant’s physician and if the participant  requires urgent care. Participants with atrial fibrillation are not eligible for MESA.</w:t>
      </w:r>
    </w:p>
    <w:p>
      <w:pPr>
        <w:pStyle w:val="Number111bodybullet"/>
        <w:rPr/>
      </w:pPr>
      <w:r>
        <w:rPr/>
      </w:r>
    </w:p>
    <w:p>
      <w:pPr>
        <w:pStyle w:val="Number111bodybullet"/>
        <w:rPr/>
      </w:pPr>
      <w:r>
        <w:rPr/>
        <w:tab/>
      </w:r>
      <w:r>
        <w:rPr>
          <w:rFonts w:eastAsia="Symbol" w:cs="Symbol" w:ascii="Symbol" w:hAnsi="Symbol"/>
        </w:rPr>
        <w:t></w:t>
      </w:r>
      <w:r>
        <w:rPr/>
        <w:tab/>
        <w:t>Pacemaker.</w:t>
      </w:r>
    </w:p>
    <w:p>
      <w:pPr>
        <w:pStyle w:val="Number111bodybullet"/>
        <w:rPr/>
      </w:pPr>
      <w:r>
        <w:rPr/>
        <w:tab/>
        <w:tab/>
        <w:t>No urgent or semi-urgent notification is required. This finding can simply be included in the results letter mailed to the participant and his/her physician. However, participants with pacemakers are not eligible for MESA.</w:t>
      </w:r>
    </w:p>
    <w:p>
      <w:pPr>
        <w:pStyle w:val="Number111bodybullet"/>
        <w:rPr/>
      </w:pPr>
      <w:r>
        <w:rPr/>
      </w:r>
    </w:p>
    <w:p>
      <w:pPr>
        <w:pStyle w:val="Number111bodybullet"/>
        <w:rPr/>
      </w:pPr>
      <w:r>
        <w:rPr/>
      </w:r>
    </w:p>
    <w:p>
      <w:pPr>
        <w:pStyle w:val="Number111bodybullet"/>
        <w:rPr/>
      </w:pPr>
      <w:r>
        <w:rPr/>
        <w:tab/>
      </w:r>
      <w:r>
        <w:rPr>
          <w:rFonts w:eastAsia="Symbol" w:cs="Symbol" w:ascii="Symbol" w:hAnsi="Symbol"/>
        </w:rPr>
        <w:t></w:t>
      </w:r>
      <w:r>
        <w:rPr/>
        <w:tab/>
        <w:t>WPW</w:t>
      </w:r>
    </w:p>
    <w:p>
      <w:pPr>
        <w:pStyle w:val="Number111bodybullet"/>
        <w:rPr/>
      </w:pPr>
      <w:r>
        <w:rPr/>
        <w:tab/>
      </w:r>
      <w:r>
        <w:rPr>
          <w:rFonts w:eastAsia="Symbol" w:cs="Symbol" w:ascii="Symbol" w:hAnsi="Symbol"/>
        </w:rPr>
        <w:t></w:t>
      </w:r>
      <w:r>
        <w:rPr/>
        <w:tab/>
        <w:t>Idioventricular rhythm</w:t>
      </w:r>
    </w:p>
    <w:p>
      <w:pPr>
        <w:pStyle w:val="Number111bodybullet"/>
        <w:rPr/>
      </w:pPr>
      <w:r>
        <w:rPr/>
        <w:tab/>
      </w:r>
      <w:r>
        <w:rPr>
          <w:rFonts w:eastAsia="Symbol" w:cs="Symbol" w:ascii="Symbol" w:hAnsi="Symbol"/>
        </w:rPr>
        <w:t></w:t>
      </w:r>
      <w:r>
        <w:rPr/>
        <w:tab/>
        <w:t>Ventricular tachycardia</w:t>
      </w:r>
    </w:p>
    <w:p>
      <w:pPr>
        <w:pStyle w:val="Number111bodybullet"/>
        <w:rPr/>
      </w:pPr>
      <w:r>
        <w:rPr/>
        <w:tab/>
        <w:tab/>
        <w:t>These are not an emergency in a person without symptoms; but these ECGs should be reviewed by a physician in the clinic, and, if the ECG diagnosis is confirmed, the participant and his/her physician must be notified. The clinic physician should also determine the urgency of advising the participant’s physician and if the participant  requires urgent care.</w:t>
      </w:r>
    </w:p>
    <w:p>
      <w:pPr>
        <w:pStyle w:val="Number111bodybullet"/>
        <w:rPr/>
      </w:pPr>
      <w:r>
        <w:rPr/>
      </w:r>
    </w:p>
    <w:p>
      <w:pPr>
        <w:pStyle w:val="Number111bodybullet"/>
        <w:rPr/>
      </w:pPr>
      <w:r>
        <w:rPr/>
        <w:tab/>
      </w:r>
      <w:r>
        <w:rPr>
          <w:rFonts w:eastAsia="Symbol" w:cs="Symbol" w:ascii="Symbol" w:hAnsi="Symbol"/>
        </w:rPr>
        <w:t></w:t>
      </w:r>
      <w:r>
        <w:rPr/>
        <w:tab/>
        <w:t>Complete heart block</w:t>
      </w:r>
    </w:p>
    <w:p>
      <w:pPr>
        <w:pStyle w:val="Number111bodybullet"/>
        <w:rPr/>
      </w:pPr>
      <w:r>
        <w:rPr/>
        <w:tab/>
      </w:r>
      <w:r>
        <w:rPr>
          <w:rFonts w:eastAsia="Symbol" w:cs="Symbol" w:ascii="Symbol" w:hAnsi="Symbol"/>
        </w:rPr>
        <w:t></w:t>
      </w:r>
      <w:r>
        <w:rPr/>
        <w:tab/>
        <w:t>Left bundle branch block</w:t>
      </w:r>
    </w:p>
    <w:p>
      <w:pPr>
        <w:pStyle w:val="Number111bodybullet"/>
        <w:rPr/>
      </w:pPr>
      <w:r>
        <w:rPr/>
        <w:tab/>
      </w:r>
      <w:r>
        <w:rPr>
          <w:rFonts w:eastAsia="Symbol" w:cs="Symbol" w:ascii="Symbol" w:hAnsi="Symbol"/>
        </w:rPr>
        <w:t></w:t>
      </w:r>
      <w:r>
        <w:rPr/>
        <w:tab/>
        <w:t>Acute pericarditis.</w:t>
      </w:r>
    </w:p>
    <w:p>
      <w:pPr>
        <w:pStyle w:val="Number111bodybullet"/>
        <w:rPr/>
      </w:pPr>
      <w:r>
        <w:rPr/>
        <w:tab/>
      </w:r>
      <w:r>
        <w:rPr>
          <w:rFonts w:eastAsia="Symbol" w:cs="Symbol" w:ascii="Symbol" w:hAnsi="Symbol"/>
        </w:rPr>
        <w:t></w:t>
      </w:r>
      <w:r>
        <w:rPr/>
        <w:tab/>
        <w:t>Injury, infarct, or ischemia characterized as acute or marked.</w:t>
      </w:r>
    </w:p>
    <w:p>
      <w:pPr>
        <w:pStyle w:val="Number111bodybullet"/>
        <w:rPr/>
      </w:pPr>
      <w:r>
        <w:rPr/>
        <w:tab/>
        <w:tab/>
        <w:t>All of these are potential emergencies. The ECG should be reviewed by a physician in the clinic. If the findings are confirmed, the physician should make a judgment about whether urgent transportation for further care is required. The participant and his/her physician must be notified immediately.</w:t>
      </w:r>
    </w:p>
    <w:p>
      <w:pPr>
        <w:pStyle w:val="Number111bodybullet"/>
        <w:rPr/>
      </w:pPr>
      <w:r>
        <w:rPr/>
      </w:r>
    </w:p>
    <w:p>
      <w:pPr>
        <w:pStyle w:val="Number111bodybullet"/>
        <w:rPr/>
      </w:pPr>
      <w:r>
        <w:rPr/>
        <w:tab/>
        <w:t>2.2.3</w:t>
        <w:tab/>
        <w:t>If an alert is not detected by the MAC 1200, fill in the “no” bubble. If an alert is detected, and if it is reviewed and confirmed by physician review, fill in the “YES confirmed” bubble; if the alert is reviewed but not confirmed, fill in the “YES not confirmed” bubble.</w:t>
      </w:r>
    </w:p>
    <w:p>
      <w:pPr>
        <w:pStyle w:val="Number11body"/>
        <w:rPr/>
      </w:pPr>
      <w:r>
        <w:rPr/>
        <w:tab/>
      </w:r>
    </w:p>
    <w:p>
      <w:pPr>
        <w:pStyle w:val="Number11"/>
        <w:rPr/>
      </w:pPr>
      <w:r>
        <w:rPr/>
        <w:tab/>
        <w:t>2.3</w:t>
        <w:tab/>
        <w:t>Hospital ECGs</w:t>
      </w:r>
      <w:r>
        <w:rPr>
          <w:b/>
          <w:bCs/>
        </w:rPr>
        <w:t xml:space="preserve"> [this still needs comment from the SC]</w:t>
      </w:r>
    </w:p>
    <w:p>
      <w:pPr>
        <w:pStyle w:val="Number11"/>
        <w:rPr/>
      </w:pPr>
      <w:r>
        <w:rPr/>
      </w:r>
    </w:p>
    <w:p>
      <w:pPr>
        <w:pStyle w:val="Number11body"/>
        <w:rPr/>
      </w:pPr>
      <w:r>
        <w:rPr/>
        <w:t xml:space="preserve">All MESA participant hospital admissions for suspected cardiovascular disease will be abstracted by clinic personnel, and </w:t>
      </w:r>
      <w:r>
        <w:rPr>
          <w:bCs/>
          <w:i/>
          <w:iCs/>
        </w:rPr>
        <w:t>all hospital-recorded ECGs</w:t>
      </w:r>
      <w:r>
        <w:rPr/>
        <w:t xml:space="preserve"> for each admission should be mailed directly to the CERC with the appropriate form. A copy of </w:t>
      </w:r>
      <w:r>
        <w:rPr>
          <w:i/>
          <w:iCs/>
        </w:rPr>
        <w:t>all</w:t>
      </w:r>
      <w:r>
        <w:rPr/>
        <w:t xml:space="preserve"> ECGs recorded for each hospital event should be sent to the CERC. These ECGs will be coded by the CERC as described below in “ECG Processing.”</w:t>
      </w:r>
    </w:p>
    <w:p>
      <w:pPr>
        <w:pStyle w:val="Number11body"/>
        <w:rPr/>
      </w:pPr>
      <w:r>
        <w:rPr/>
      </w:r>
    </w:p>
    <w:p>
      <w:pPr>
        <w:pStyle w:val="Romanbold"/>
        <w:rPr/>
      </w:pPr>
      <w:r>
        <w:rPr/>
        <w:tab/>
        <w:t>IV.</w:t>
        <w:tab/>
        <w:t>ECG Acquisition Procedures</w:t>
      </w:r>
    </w:p>
    <w:p>
      <w:pPr>
        <w:pStyle w:val="Romanbold"/>
        <w:rPr/>
      </w:pPr>
      <w:r>
        <w:rPr/>
      </w:r>
    </w:p>
    <w:p>
      <w:pPr>
        <w:pStyle w:val="Number1"/>
        <w:rPr/>
      </w:pPr>
      <w:r>
        <w:rPr/>
        <w:tab/>
        <w:t>1.</w:t>
        <w:tab/>
      </w:r>
      <w:r>
        <w:rPr>
          <w:u w:val="single"/>
        </w:rPr>
        <w:t>Electrocardiograph</w:t>
      </w:r>
    </w:p>
    <w:p>
      <w:pPr>
        <w:pStyle w:val="Number1"/>
        <w:rPr/>
      </w:pPr>
      <w:r>
        <w:rPr/>
      </w:r>
    </w:p>
    <w:p>
      <w:pPr>
        <w:pStyle w:val="Number1body"/>
        <w:rPr/>
      </w:pPr>
      <w:r>
        <w:rPr/>
        <w:t xml:space="preserve">The electrocardiograph to be used for ECG recording and transmission for MESA is the GE/Marquette MAC 1200 portable electrocardiograph. Each clinic is provided two of these machines, all of which were formatted with the MESA SETUP at the initial training session.  </w:t>
      </w:r>
    </w:p>
    <w:p>
      <w:pPr>
        <w:pStyle w:val="Number1bodybullet"/>
        <w:rPr/>
      </w:pPr>
      <w:r>
        <w:rPr/>
        <w:t xml:space="preserve">  </w:t>
      </w:r>
    </w:p>
    <w:p>
      <w:pPr>
        <w:pStyle w:val="Number1bodybullet"/>
        <w:rPr/>
      </w:pPr>
      <w:r>
        <w:rPr>
          <w:rFonts w:eastAsia="Symbol" w:cs="Symbol" w:ascii="Symbol" w:hAnsi="Symbol"/>
        </w:rPr>
        <w:t></w:t>
      </w:r>
      <w:r>
        <w:rPr/>
        <w:tab/>
        <w:t>The MAC1200 is to be used for resting ECG recording and realtime ECG  recording, with or without arrhythmia detection.</w:t>
      </w:r>
    </w:p>
    <w:p>
      <w:pPr>
        <w:pStyle w:val="Number1bodybullet"/>
        <w:rPr/>
      </w:pPr>
      <w:r>
        <w:rPr>
          <w:rFonts w:eastAsia="Symbol" w:cs="Symbol" w:ascii="Symbol" w:hAnsi="Symbol"/>
        </w:rPr>
        <w:t></w:t>
      </w:r>
      <w:r>
        <w:rPr/>
        <w:tab/>
        <w:t>It is not intended for use as a vital signs physiological monitor.</w:t>
      </w:r>
    </w:p>
    <w:p>
      <w:pPr>
        <w:pStyle w:val="Number1bodybullet"/>
        <w:rPr/>
      </w:pPr>
      <w:r>
        <w:rPr>
          <w:rFonts w:eastAsia="Symbol" w:cs="Symbol" w:ascii="Symbol" w:hAnsi="Symbol"/>
        </w:rPr>
        <w:t></w:t>
      </w:r>
      <w:r>
        <w:rPr/>
        <w:tab/>
        <w:t>The MAC 1200 offers no diagnostic opinion to the user. Instead, it provides analytical statements when configured, with the appropriate options.</w:t>
      </w:r>
    </w:p>
    <w:p>
      <w:pPr>
        <w:pStyle w:val="Number1bodybullet"/>
        <w:rPr/>
      </w:pPr>
      <w:r>
        <w:rPr>
          <w:rFonts w:eastAsia="Symbol" w:cs="Symbol" w:ascii="Symbol" w:hAnsi="Symbol"/>
        </w:rPr>
        <w:t></w:t>
      </w:r>
      <w:r>
        <w:rPr/>
        <w:tab/>
        <w:t>It is intended to be used by trained operators under direct physician supervision, when ECG records are required.</w:t>
      </w:r>
    </w:p>
    <w:p>
      <w:pPr>
        <w:pStyle w:val="Number1bodybullet"/>
        <w:rPr/>
      </w:pPr>
      <w:r>
        <w:rPr>
          <w:rFonts w:eastAsia="Symbol" w:cs="Symbol" w:ascii="Symbol" w:hAnsi="Symbol"/>
        </w:rPr>
        <w:t></w:t>
      </w:r>
      <w:r>
        <w:rPr/>
        <w:tab/>
        <w:t>It is designed for continuous operation.</w:t>
      </w:r>
    </w:p>
    <w:p>
      <w:pPr>
        <w:pStyle w:val="Number1bodybullet"/>
        <w:rPr/>
      </w:pPr>
      <w:r>
        <w:rPr>
          <w:rFonts w:eastAsia="Symbol" w:cs="Symbol" w:ascii="Symbol" w:hAnsi="Symbol"/>
        </w:rPr>
        <w:t></w:t>
      </w:r>
      <w:r>
        <w:rPr/>
        <w:tab/>
        <w:t>The MAC1200 is a portable device and can easily be moved from one location to another. However, it must be transported and handled with extreme care.</w:t>
      </w:r>
    </w:p>
    <w:p>
      <w:pPr>
        <w:pStyle w:val="Number1bodybullet"/>
        <w:rPr/>
      </w:pPr>
      <w:r>
        <w:rPr>
          <w:rFonts w:eastAsia="Symbol" w:cs="Symbol" w:ascii="Symbol" w:hAnsi="Symbol"/>
        </w:rPr>
        <w:t></w:t>
      </w:r>
      <w:r>
        <w:rPr/>
        <w:tab/>
        <w:t>Equipped with the standard software, the MAC 1200 supports the following operating modes:</w:t>
      </w:r>
    </w:p>
    <w:p>
      <w:pPr>
        <w:pStyle w:val="Number1bodybullet"/>
        <w:ind w:left="1440" w:hanging="270"/>
        <w:rPr/>
      </w:pPr>
      <w:r>
        <w:rPr/>
      </w:r>
    </w:p>
    <w:p>
      <w:pPr>
        <w:pStyle w:val="Normal"/>
        <w:ind w:left="1440" w:hanging="270"/>
        <w:rPr/>
      </w:pPr>
      <w:r>
        <w:rPr/>
        <w:t>-</w:t>
        <w:tab/>
        <w:t xml:space="preserve">2 Lead Mode (acquisition of 12 leads of ECG for a period of 10 seconds) </w:t>
      </w:r>
    </w:p>
    <w:p>
      <w:pPr>
        <w:pStyle w:val="Normal"/>
        <w:ind w:left="1440" w:hanging="270"/>
        <w:rPr/>
      </w:pPr>
      <w:r>
        <w:rPr/>
        <w:t>-</w:t>
        <w:tab/>
        <w:t xml:space="preserve">6 Lead Mode (real time recording of 6 ECG leads) </w:t>
      </w:r>
    </w:p>
    <w:p>
      <w:pPr>
        <w:pStyle w:val="Normal"/>
        <w:ind w:left="1440" w:hanging="270"/>
        <w:rPr/>
      </w:pPr>
      <w:r>
        <w:rPr/>
      </w:r>
    </w:p>
    <w:p>
      <w:pPr>
        <w:pStyle w:val="Number1body"/>
        <w:rPr/>
      </w:pPr>
      <w:r>
        <w:rPr/>
        <w:t>The MAC1200 has a liquid crystal display (LCD) that shows three leads at a time. The MAC1200s used in MESA have a customized menu specific to the MESA study. The following charts are designed to outline the SETUP for MESA,</w:t>
      </w:r>
      <w:r>
        <w:rPr>
          <w:bCs/>
          <w:i/>
          <w:iCs/>
        </w:rPr>
        <w:t xml:space="preserve"> but do not replace the MAC1200 Operations Manual provided by GE/Marquette. </w:t>
      </w:r>
      <w:r>
        <w:rPr/>
        <w:t xml:space="preserve">A complete guide and operations manual for the MAC1200 is provided with each machine. All ECG technicians for MESA must become familiar with this manual and are urged to read the manual periodically. The manual outlines all steps for operation, loading chart paper, cleaning and disinfecting the recorder, and maintenance of the equipment. Troubleshooting and technical specifications are described in detail. </w:t>
      </w:r>
    </w:p>
    <w:p>
      <w:pPr>
        <w:pStyle w:val="Number1body"/>
        <w:rPr/>
      </w:pPr>
      <w:r>
        <w:rPr/>
      </w:r>
    </w:p>
    <w:p>
      <w:pPr>
        <w:pStyle w:val="Number1body"/>
        <w:rPr/>
      </w:pPr>
      <w:r>
        <w:rPr/>
        <w:t>The MAC1200 has five (5) components in Setup:</w:t>
      </w:r>
    </w:p>
    <w:p>
      <w:pPr>
        <w:pStyle w:val="Number1body"/>
        <w:rPr/>
      </w:pPr>
      <w:r>
        <w:rPr/>
      </w:r>
    </w:p>
    <w:p>
      <w:pPr>
        <w:pStyle w:val="Number1bodybullet"/>
        <w:rPr/>
      </w:pPr>
      <w:r>
        <w:rPr>
          <w:rFonts w:eastAsia="Symbol" w:cs="Symbol" w:ascii="Symbol" w:hAnsi="Symbol"/>
          <w:smallCaps/>
          <w:sz w:val="20"/>
        </w:rPr>
        <w:t></w:t>
      </w:r>
      <w:r>
        <w:rPr>
          <w:rFonts w:cs="Arial;Arial" w:ascii="Arial;Arial" w:hAnsi="Arial;Arial"/>
          <w:smallCaps/>
          <w:sz w:val="20"/>
        </w:rPr>
        <w:tab/>
        <w:t>system setup</w:t>
      </w:r>
    </w:p>
    <w:p>
      <w:pPr>
        <w:pStyle w:val="Number1bodybullet"/>
        <w:rPr/>
      </w:pPr>
      <w:r>
        <w:rPr>
          <w:rFonts w:eastAsia="Symbol" w:cs="Symbol" w:ascii="Symbol" w:hAnsi="Symbol"/>
          <w:smallCaps/>
          <w:sz w:val="20"/>
        </w:rPr>
        <w:t></w:t>
      </w:r>
      <w:r>
        <w:rPr>
          <w:rFonts w:cs="Arial;Arial" w:ascii="Arial;Arial" w:hAnsi="Arial;Arial"/>
          <w:smallCaps/>
          <w:sz w:val="20"/>
        </w:rPr>
        <w:tab/>
        <w:t>patient data setup</w:t>
      </w:r>
    </w:p>
    <w:p>
      <w:pPr>
        <w:pStyle w:val="Number1bodybullet"/>
        <w:rPr/>
      </w:pPr>
      <w:r>
        <w:rPr>
          <w:rFonts w:eastAsia="Symbol" w:cs="Symbol" w:ascii="Symbol" w:hAnsi="Symbol"/>
          <w:smallCaps/>
          <w:sz w:val="20"/>
        </w:rPr>
        <w:t></w:t>
      </w:r>
      <w:r>
        <w:rPr>
          <w:rFonts w:cs="Arial;Arial" w:ascii="Arial;Arial" w:hAnsi="Arial;Arial"/>
          <w:smallCaps/>
          <w:sz w:val="20"/>
        </w:rPr>
        <w:tab/>
        <w:t>communication setup</w:t>
      </w:r>
    </w:p>
    <w:p>
      <w:pPr>
        <w:pStyle w:val="Number1bodybullet"/>
        <w:rPr/>
      </w:pPr>
      <w:r>
        <w:rPr>
          <w:rFonts w:eastAsia="Symbol" w:cs="Symbol" w:ascii="Symbol" w:hAnsi="Symbol"/>
          <w:smallCaps/>
          <w:sz w:val="20"/>
        </w:rPr>
        <w:t></w:t>
      </w:r>
      <w:r>
        <w:rPr>
          <w:rFonts w:cs="Arial;Arial" w:ascii="Arial;Arial" w:hAnsi="Arial;Arial"/>
          <w:smallCaps/>
          <w:sz w:val="20"/>
        </w:rPr>
        <w:tab/>
        <w:t>12-lead setup</w:t>
      </w:r>
    </w:p>
    <w:p>
      <w:pPr>
        <w:pStyle w:val="Number1bodybullet"/>
        <w:rPr/>
      </w:pPr>
      <w:r>
        <w:rPr>
          <w:rFonts w:eastAsia="Symbol" w:cs="Symbol" w:ascii="Symbol" w:hAnsi="Symbol"/>
          <w:smallCaps/>
          <w:sz w:val="20"/>
        </w:rPr>
        <w:t></w:t>
      </w:r>
      <w:r>
        <w:rPr>
          <w:rFonts w:cs="Arial;Arial" w:ascii="Arial;Arial" w:hAnsi="Arial;Arial"/>
          <w:smallCaps/>
          <w:sz w:val="20"/>
        </w:rPr>
        <w:tab/>
        <w:t>option code setup</w:t>
      </w:r>
    </w:p>
    <w:p>
      <w:pPr>
        <w:pStyle w:val="Normal"/>
        <w:rPr>
          <w:rFonts w:ascii="Arial;Arial" w:hAnsi="Arial;Arial" w:cs="Arial;Arial"/>
        </w:rPr>
      </w:pPr>
      <w:r>
        <w:rPr>
          <w:rFonts w:cs="Arial;Arial" w:ascii="Arial;Arial" w:hAnsi="Arial;Arial"/>
        </w:rPr>
      </w:r>
    </w:p>
    <w:p>
      <w:pPr>
        <w:pStyle w:val="Number1"/>
        <w:rPr/>
      </w:pPr>
      <w:r>
        <w:rPr/>
        <w:tab/>
        <w:t>2.</w:t>
        <w:tab/>
      </w:r>
      <w:r>
        <w:rPr>
          <w:u w:val="single"/>
        </w:rPr>
        <w:t>System Setup</w:t>
      </w:r>
    </w:p>
    <w:p>
      <w:pPr>
        <w:pStyle w:val="Normal"/>
        <w:rPr>
          <w:rFonts w:ascii="Arial;Arial" w:hAnsi="Arial;Arial" w:cs="Arial;Arial"/>
          <w:b/>
          <w:b/>
        </w:rPr>
      </w:pPr>
      <w:r>
        <w:rPr>
          <w:rFonts w:cs="Arial;Arial" w:ascii="Arial;Arial" w:hAnsi="Arial;Arial"/>
          <w:b/>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ORDERING PHYSICIAN</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REFERRING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YES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INSTITUTION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Type in your institution name (e.g., WAKE FOREST UNIVERSITY #3)</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LOCATION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sz w:val="20"/>
              </w:rPr>
              <w:t>Type in your clinic/cart number (e.g., WAKE FOREST UNIVERSITY</w:t>
            </w:r>
            <w:r>
              <w:rPr>
                <w:rFonts w:cs="Arial;Arial" w:ascii="Arial;Arial" w:hAnsi="Arial;Arial"/>
                <w:b/>
                <w:sz w:val="20"/>
              </w:rPr>
              <w:t>:  31</w:t>
            </w:r>
            <w:r>
              <w:rPr>
                <w:rFonts w:cs="Arial;Arial" w:ascii="Arial;Arial" w:hAnsi="Arial;Arial"/>
                <w:sz w:val="20"/>
              </w:rPr>
              <w: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CART # (= local MESA clinic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sz w:val="20"/>
              </w:rPr>
              <w:t>Type in your clinic/cart number (e.g., WAKE FOREST UNIVERSITY</w:t>
            </w:r>
            <w:r>
              <w:rPr>
                <w:rFonts w:cs="Arial;Arial" w:ascii="Arial;Arial" w:hAnsi="Arial;Arial"/>
                <w:b/>
                <w:sz w:val="20"/>
              </w:rPr>
              <w:t>:  31</w:t>
            </w:r>
            <w:r>
              <w:rPr>
                <w:rFonts w:cs="Arial;Arial" w:ascii="Arial;Arial" w:hAnsi="Arial;Arial"/>
                <w:sz w:val="20"/>
              </w:rPr>
              <w: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SITE # (= MESA study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80 (This means MESA to Epicare)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LEAD FAIL BEEP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HIGH HR BEEP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LEAD LABELS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AAMI</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DATE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MM/DD/YYYY</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TIME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24 HOUR CLOCK (e.g., 3:15 p.m. = 1515)</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UNITS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cm, kg</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MAINS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60 HZ</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LCD LIGHT OFF AFTER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5 MINS  (Time out mechanism)</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DEFAULT MODE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12 LEAD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LANGUAGE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ENGLISH</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ENABLE PASSWORD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TEST DATA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3.</w:t>
        <w:tab/>
      </w:r>
      <w:r>
        <w:rPr>
          <w:u w:val="single"/>
        </w:rPr>
        <w:t>Participant Data Setup</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NEW PATIENT</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PACEMAKER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(will use spikes with pacemaker)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GENDER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(M/F) Do not choose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(HeartSquare E measurement)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WEIGHT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(HeartSquare V6 measurement)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RACE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Use race codes specified in MAC 1200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SYSTOLIC BP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DIASTOLIC BP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REFERRING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PHONE NO.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MEDICATION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COMMENTS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SECONDARY 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ID REQUIRED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(will not record without an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SECONDARY ID REQUIRED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LAST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FIRST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LOCATION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YES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ROOM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 NUMBER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EXTRA QUESTIONS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4.</w:t>
        <w:tab/>
      </w:r>
      <w:r>
        <w:rPr>
          <w:u w:val="single"/>
        </w:rPr>
        <w:t>Communication Setup</w:t>
      </w:r>
    </w:p>
    <w:p>
      <w:pPr>
        <w:pStyle w:val="Header"/>
        <w:tabs>
          <w:tab w:val="clear" w:pos="4320"/>
          <w:tab w:val="clear" w:pos="8640"/>
        </w:tabs>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PROTOCOL</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CSI</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BAUD RATE (PC)</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19200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MODEM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OTHER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DIAL MODE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TONE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PHONE NO.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(336) 716-1248</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INITIAL MODEM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AT&amp;FM1X3SO=1V  (already entered)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OUTSIDE LINE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9-1- (or whatever number you need to get an outside line)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HANGUP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+++ATH   (already entered)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DIAL STRING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ATDT   (already entered)</w:t>
            </w:r>
          </w:p>
        </w:tc>
      </w:tr>
    </w:tbl>
    <w:p>
      <w:pPr>
        <w:pStyle w:val="Normal"/>
        <w:rPr>
          <w:rFonts w:ascii="Arial;Arial" w:hAnsi="Arial;Arial" w:cs="Arial;Arial"/>
        </w:rPr>
      </w:pPr>
      <w:r>
        <w:rPr>
          <w:rFonts w:cs="Arial;Arial" w:ascii="Arial;Arial" w:hAnsi="Arial;Arial"/>
        </w:rPr>
      </w:r>
    </w:p>
    <w:p>
      <w:pPr>
        <w:pStyle w:val="Number1"/>
        <w:rPr/>
      </w:pPr>
      <w:r>
        <w:rPr/>
        <w:tab/>
        <w:t>5.</w:t>
        <w:tab/>
      </w:r>
      <w:r>
        <w:rPr>
          <w:u w:val="single"/>
        </w:rPr>
        <w:t>12-Lead Setup</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REPORT SEQUENCE</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STANDARD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RHYTHM LEADS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II    V1    V5</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GAIN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10mm/mV</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REPORT FORMAT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4X2.5R1</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CONT. RHYTHM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MUSCLE FILTER FREQUENCY</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40 Hz</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MUSCLE FILTER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AC FILTER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MANUAL COPY TO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EKG</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 OF COPIES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  (or choose 2, if needed)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DELETE ECG AFTER TRANSMISSION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AUTOSAVE ECG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DETAILED RESULTS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OVERRIDE FUNCTION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INTERPRETATION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PRINT INTERPRETATION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USE SCREENING CRITERIA</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SUPPRESS NORMAL STATEMENTS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SUPPRESS ABNORMAL STATEMENTS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6.</w:t>
        <w:tab/>
      </w:r>
      <w:r>
        <w:rPr>
          <w:u w:val="single"/>
        </w:rPr>
        <w:t>Report Sequence:  Standard</w:t>
      </w:r>
    </w:p>
    <w:p>
      <w:pPr>
        <w:pStyle w:val="Normal"/>
        <w:rPr>
          <w:rFonts w:ascii="Arial;Arial" w:hAnsi="Arial;Arial" w:cs="Arial;Arial"/>
        </w:rPr>
      </w:pPr>
      <w:r>
        <w:rPr>
          <w:rFonts w:cs="Arial;Arial" w:ascii="Arial;Arial" w:hAnsi="Arial;Arial"/>
        </w:rPr>
      </w:r>
    </w:p>
    <w:tbl>
      <w:tblPr>
        <w:tblW w:w="4680" w:type="dxa"/>
        <w:jc w:val="left"/>
        <w:tblInd w:w="885" w:type="dxa"/>
        <w:tblLayout w:type="fixed"/>
        <w:tblCellMar>
          <w:top w:w="0" w:type="dxa"/>
          <w:left w:w="108" w:type="dxa"/>
          <w:bottom w:w="0" w:type="dxa"/>
          <w:right w:w="108" w:type="dxa"/>
        </w:tblCellMar>
      </w:tblPr>
      <w:tblGrid>
        <w:gridCol w:w="1710"/>
        <w:gridCol w:w="1350"/>
        <w:gridCol w:w="1620"/>
      </w:tblGrid>
      <w:tr>
        <w:trPr>
          <w:trHeight w:val="40" w:hRule="atLeast"/>
        </w:trPr>
        <w:tc>
          <w:tcPr>
            <w:tcW w:w="171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Channel</w:t>
            </w:r>
          </w:p>
        </w:tc>
        <w:tc>
          <w:tcPr>
            <w:tcW w:w="135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Lead</w:t>
            </w:r>
          </w:p>
        </w:tc>
        <w:tc>
          <w:tcPr>
            <w:tcW w:w="16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Label</w:t>
            </w:r>
          </w:p>
        </w:tc>
      </w:tr>
      <w:tr>
        <w:trPr>
          <w:trHeight w:val="40" w:hRule="atLeast"/>
        </w:trPr>
        <w:tc>
          <w:tcPr>
            <w:tcW w:w="171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w:t>
            </w:r>
          </w:p>
        </w:tc>
        <w:tc>
          <w:tcPr>
            <w:tcW w:w="135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w:t>
            </w:r>
          </w:p>
        </w:tc>
        <w:tc>
          <w:tcPr>
            <w:tcW w:w="162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3</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III</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AVR</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AVR</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AVL</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AVL</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6</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AVF</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AVF</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7</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V1</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V1</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8</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V2</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V2</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9</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V3</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V3</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V4</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V4</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11</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V5</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V5</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12</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V6</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V6</w:t>
            </w:r>
          </w:p>
        </w:tc>
      </w:tr>
    </w:tbl>
    <w:p>
      <w:pPr>
        <w:pStyle w:val="Header"/>
        <w:tabs>
          <w:tab w:val="clear" w:pos="4320"/>
          <w:tab w:val="clear" w:pos="8640"/>
        </w:tabs>
        <w:rPr>
          <w:rFonts w:ascii="Arial;Arial" w:hAnsi="Arial;Arial" w:cs="Arial;Arial"/>
        </w:rPr>
      </w:pPr>
      <w:r>
        <w:rPr>
          <w:rFonts w:cs="Arial;Arial" w:ascii="Arial;Arial" w:hAnsi="Arial;Arial"/>
        </w:rPr>
        <w:tab/>
        <w:tab/>
      </w:r>
    </w:p>
    <w:p>
      <w:pPr>
        <w:pStyle w:val="Number1"/>
        <w:rPr/>
      </w:pPr>
      <w:r>
        <w:rPr/>
        <w:tab/>
        <w:t>7.</w:t>
        <w:tab/>
      </w:r>
      <w:r>
        <w:rPr>
          <w:u w:val="single"/>
        </w:rPr>
        <w:t>Option Code</w:t>
      </w:r>
    </w:p>
    <w:p>
      <w:pPr>
        <w:pStyle w:val="Normal"/>
        <w:rPr>
          <w:rFonts w:ascii="Arial;Arial" w:hAnsi="Arial;Arial" w:cs="Arial;Arial"/>
        </w:rPr>
      </w:pPr>
      <w:r>
        <w:rPr>
          <w:rFonts w:cs="Arial;Arial" w:ascii="Arial;Arial" w:hAnsi="Arial;Arial"/>
        </w:rPr>
      </w:r>
    </w:p>
    <w:p>
      <w:pPr>
        <w:pStyle w:val="Number1body"/>
        <w:rPr/>
      </w:pPr>
      <w:r>
        <w:rPr/>
        <w:t xml:space="preserve">These are </w:t>
      </w:r>
      <w:r>
        <w:rPr>
          <w:i/>
          <w:iCs/>
        </w:rPr>
        <w:t>preset</w:t>
      </w:r>
      <w:r>
        <w:rPr/>
        <w:t xml:space="preserve"> by GE/Marquette.  Do </w:t>
      </w:r>
      <w:r>
        <w:rPr>
          <w:i/>
          <w:iCs/>
        </w:rPr>
        <w:t>not</w:t>
      </w:r>
      <w:r>
        <w:rPr/>
        <w:t xml:space="preserve"> attempt to reset these codes.</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bCs/>
                <w:iCs/>
              </w:rPr>
            </w:pPr>
            <w:r>
              <w:rPr>
                <w:rFonts w:cs="Arial;Arial" w:ascii="Arial;Arial" w:hAnsi="Arial;Arial"/>
                <w:b/>
                <w:bCs/>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bCs/>
                <w:iCs/>
              </w:rPr>
            </w:pPr>
            <w:r>
              <w:rPr>
                <w:rFonts w:cs="Arial;Arial" w:ascii="Arial;Arial" w:hAnsi="Arial;Arial"/>
                <w:b/>
                <w:bCs/>
                <w:iCs/>
              </w:rPr>
              <w:t>Code</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Heading2"/>
              <w:rPr>
                <w:sz w:val="20"/>
              </w:rPr>
            </w:pPr>
            <w:r>
              <w:rPr>
                <w:sz w:val="20"/>
              </w:rPr>
              <w:t>MEAS</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[335741414257]</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[761171265736]</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MEMO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[SPECIFIC TO THE SERIAL NUMBER]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C100</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   ,   0  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C500</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   ,   0   ,   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EVAL</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    ]    ,    0 ,  0  </w:t>
            </w:r>
          </w:p>
        </w:tc>
      </w:tr>
    </w:tbl>
    <w:p>
      <w:pPr>
        <w:pStyle w:val="Normal"/>
        <w:rPr>
          <w:rFonts w:ascii="Arial;Arial" w:hAnsi="Arial;Arial" w:cs="Arial;Arial"/>
        </w:rPr>
      </w:pPr>
      <w:r>
        <w:rPr>
          <w:rFonts w:cs="Arial;Arial" w:ascii="Arial;Arial" w:hAnsi="Arial;Arial"/>
        </w:rPr>
      </w:r>
    </w:p>
    <w:p>
      <w:pPr>
        <w:pStyle w:val="Number1"/>
        <w:rPr/>
      </w:pPr>
      <w:r>
        <w:rPr/>
        <w:tab/>
        <w:t>8.</w:t>
        <w:tab/>
      </w:r>
      <w:r>
        <w:rPr>
          <w:u w:val="single"/>
        </w:rPr>
        <w:t>Supplies</w:t>
      </w:r>
    </w:p>
    <w:p>
      <w:pPr>
        <w:pStyle w:val="Number1bodybullet"/>
        <w:rPr/>
      </w:pPr>
      <w:r>
        <w:rPr/>
      </w:r>
    </w:p>
    <w:p>
      <w:pPr>
        <w:pStyle w:val="Number1bodybullet"/>
        <w:rPr/>
      </w:pPr>
      <w:r>
        <w:rPr>
          <w:rFonts w:eastAsia="Symbol" w:cs="Symbol" w:ascii="Symbol" w:hAnsi="Symbol"/>
        </w:rPr>
        <w:t></w:t>
      </w:r>
      <w:r>
        <w:rPr/>
        <w:tab/>
        <w:t>GE/Marquette MAC1200 Electrocardiograph, 10 lead Acquisition Module</w:t>
      </w:r>
    </w:p>
    <w:p>
      <w:pPr>
        <w:pStyle w:val="Number1bodybullet"/>
        <w:rPr/>
      </w:pPr>
      <w:r>
        <w:rPr>
          <w:rFonts w:eastAsia="Symbol" w:cs="Symbol" w:ascii="Symbol" w:hAnsi="Symbol"/>
        </w:rPr>
        <w:t></w:t>
      </w:r>
      <w:r>
        <w:rPr/>
        <w:tab/>
        <w:t>External Modem, telephone jack cable (all part numbers for supplies are provided in the MAC1200 Operations Manual)</w:t>
      </w:r>
    </w:p>
    <w:p>
      <w:pPr>
        <w:pStyle w:val="Number1bodybullet"/>
        <w:rPr/>
      </w:pPr>
      <w:r>
        <w:rPr>
          <w:rFonts w:eastAsia="Symbol" w:cs="Symbol" w:ascii="Symbol" w:hAnsi="Symbol"/>
        </w:rPr>
        <w:t></w:t>
      </w:r>
      <w:r>
        <w:rPr/>
        <w:tab/>
        <w:t>MAC1200 ECG paper, GE/Marquette disposable silver chloride electrodes</w:t>
      </w:r>
    </w:p>
    <w:p>
      <w:pPr>
        <w:pStyle w:val="Number1bodybullet"/>
        <w:rPr/>
      </w:pPr>
      <w:r>
        <w:rPr>
          <w:rFonts w:eastAsia="Symbol" w:cs="Symbol" w:ascii="Symbol" w:hAnsi="Symbol"/>
        </w:rPr>
        <w:t></w:t>
      </w:r>
      <w:r>
        <w:rPr/>
        <w:tab/>
        <w:t>Isopropyl alcohol gauze pads and swabs</w:t>
      </w:r>
    </w:p>
    <w:p>
      <w:pPr>
        <w:pStyle w:val="Number1bodybullet"/>
        <w:rPr/>
      </w:pPr>
      <w:r>
        <w:rPr>
          <w:rFonts w:eastAsia="Symbol" w:cs="Symbol" w:ascii="Symbol" w:hAnsi="Symbol"/>
        </w:rPr>
        <w:t></w:t>
      </w:r>
      <w:r>
        <w:rPr/>
        <w:tab/>
        <w:t>Scissors</w:t>
      </w:r>
    </w:p>
    <w:p>
      <w:pPr>
        <w:pStyle w:val="Number1bodybullet"/>
        <w:rPr/>
      </w:pPr>
      <w:r>
        <w:rPr>
          <w:rFonts w:eastAsia="Symbol" w:cs="Symbol" w:ascii="Symbol" w:hAnsi="Symbol"/>
        </w:rPr>
        <w:t></w:t>
      </w:r>
      <w:r>
        <w:rPr/>
        <w:tab/>
        <w:t>Cotton surgical tape</w:t>
      </w:r>
    </w:p>
    <w:p>
      <w:pPr>
        <w:pStyle w:val="Number1bodybullet"/>
        <w:rPr/>
      </w:pPr>
      <w:r>
        <w:rPr>
          <w:rFonts w:eastAsia="Symbol" w:cs="Symbol" w:ascii="Symbol" w:hAnsi="Symbol"/>
        </w:rPr>
        <w:t></w:t>
      </w:r>
      <w:r>
        <w:rPr/>
        <w:tab/>
        <w:t xml:space="preserve">Felt tip non-toxic washable markers </w:t>
      </w:r>
    </w:p>
    <w:p>
      <w:pPr>
        <w:pStyle w:val="Number1bodybullet"/>
        <w:rPr/>
      </w:pPr>
      <w:r>
        <w:rPr>
          <w:rFonts w:eastAsia="Symbol" w:cs="Symbol" w:ascii="Symbol" w:hAnsi="Symbol"/>
        </w:rPr>
        <w:t></w:t>
      </w:r>
      <w:r>
        <w:rPr/>
        <w:tab/>
        <w:t>1 HEARTSQUARE (directions for use in Figure 5)</w:t>
      </w:r>
    </w:p>
    <w:p>
      <w:pPr>
        <w:pStyle w:val="Number1bodybullet"/>
        <w:rPr/>
      </w:pPr>
      <w:r>
        <w:rPr>
          <w:rFonts w:eastAsia="Symbol" w:cs="Symbol" w:ascii="Symbol" w:hAnsi="Symbol"/>
        </w:rPr>
        <w:t></w:t>
      </w:r>
      <w:r>
        <w:rPr/>
        <w:tab/>
        <w:t>4 strips of narrow Velcro (helpful in stabilizing the limb lead wires during recording)</w:t>
      </w:r>
    </w:p>
    <w:p>
      <w:pPr>
        <w:pStyle w:val="Number1bodybullet"/>
        <w:rPr/>
      </w:pPr>
      <w:r>
        <w:rPr>
          <w:rFonts w:eastAsia="Symbol" w:cs="Symbol" w:ascii="Symbol" w:hAnsi="Symbol"/>
        </w:rPr>
        <w:t></w:t>
      </w:r>
      <w:r>
        <w:rPr/>
        <w:tab/>
        <w:t>Examining table disposable paper</w:t>
      </w:r>
    </w:p>
    <w:p>
      <w:pPr>
        <w:pStyle w:val="Number1bodybullet"/>
        <w:rPr/>
      </w:pPr>
      <w:r>
        <w:rPr>
          <w:rFonts w:eastAsia="Symbol" w:cs="Symbol" w:ascii="Symbol" w:hAnsi="Symbol"/>
        </w:rPr>
        <w:t></w:t>
      </w:r>
      <w:r>
        <w:rPr/>
        <w:tab/>
        <w:t>2 manuals kept within easy reach: EPIC</w:t>
      </w:r>
      <w:r>
        <w:rPr>
          <w:caps/>
        </w:rPr>
        <w:t>ARE ECG A</w:t>
      </w:r>
      <w:r>
        <w:rPr/>
        <w:t>cquisition Procedures Manual and GE/Marquette MAC1200 Operations Manual</w:t>
      </w:r>
    </w:p>
    <w:p>
      <w:pPr>
        <w:pStyle w:val="Number1bodybullet"/>
        <w:rPr/>
      </w:pPr>
      <w:r>
        <w:rPr>
          <w:rFonts w:eastAsia="Symbol" w:cs="Symbol" w:ascii="Symbol" w:hAnsi="Symbol"/>
        </w:rPr>
        <w:t></w:t>
      </w:r>
      <w:r>
        <w:rPr/>
        <w:tab/>
        <w:t>Baby oil (use after ECG recording if the participant’s skin appears irritated or red)</w:t>
      </w:r>
    </w:p>
    <w:p>
      <w:pPr>
        <w:pStyle w:val="Header"/>
        <w:tabs>
          <w:tab w:val="clear" w:pos="4320"/>
          <w:tab w:val="clear" w:pos="8640"/>
        </w:tabs>
        <w:rPr>
          <w:rFonts w:ascii="Arial;Arial" w:hAnsi="Arial;Arial" w:cs="Arial;Arial"/>
        </w:rPr>
      </w:pPr>
      <w:r>
        <w:rPr>
          <w:rFonts w:cs="Arial;Arial" w:ascii="Arial;Arial" w:hAnsi="Arial;Arial"/>
        </w:rPr>
      </w:r>
    </w:p>
    <w:p>
      <w:pPr>
        <w:pStyle w:val="Romanbold"/>
        <w:rPr/>
      </w:pPr>
      <w:r>
        <w:rPr/>
        <w:tab/>
        <w:t>V.</w:t>
        <w:tab/>
        <w:t>Recording ECGs</w:t>
      </w:r>
    </w:p>
    <w:p>
      <w:pPr>
        <w:pStyle w:val="Normal"/>
        <w:rPr>
          <w:rFonts w:ascii="Arial;Arial" w:hAnsi="Arial;Arial" w:cs="Arial;Arial"/>
          <w:b/>
          <w:b/>
          <w:u w:val="single"/>
        </w:rPr>
      </w:pPr>
      <w:r>
        <w:rPr>
          <w:rFonts w:cs="Arial;Arial" w:ascii="Arial;Arial" w:hAnsi="Arial;Arial"/>
          <w:b/>
          <w:u w:val="single"/>
        </w:rPr>
      </w:r>
    </w:p>
    <w:p>
      <w:pPr>
        <w:pStyle w:val="Romanbody"/>
        <w:rPr/>
      </w:pPr>
      <w:r>
        <w:rPr/>
        <w:t xml:space="preserve">Standard 12-Lead ECGs are acquired from all study participants. ECGs are recorded after 12 hours of overnight fasting and </w:t>
      </w:r>
      <w:r>
        <w:rPr>
          <w:bCs/>
          <w:i/>
        </w:rPr>
        <w:t>before</w:t>
      </w:r>
      <w:r>
        <w:rPr/>
        <w:t xml:space="preserve"> any snack or juice is given to the participant at the clinic. </w:t>
      </w:r>
      <w:r>
        <w:rPr>
          <w:i/>
        </w:rPr>
        <w:t>Three</w:t>
      </w:r>
      <w:r>
        <w:rPr/>
        <w:t xml:space="preserve"> routine ECGs will be recorded from each fasting participant at each exam. ECGs are recorded in a supine or semi-recumbent position. ECGs will be recorded at the following visits:</w:t>
      </w:r>
    </w:p>
    <w:p>
      <w:pPr>
        <w:pStyle w:val="Number1bodybullet"/>
        <w:rPr/>
      </w:pPr>
      <w:r>
        <w:rPr/>
      </w:r>
    </w:p>
    <w:p>
      <w:pPr>
        <w:pStyle w:val="Romanbodybullet"/>
        <w:rPr/>
      </w:pPr>
      <w:r>
        <w:rPr>
          <w:rFonts w:eastAsia="Symbol" w:cs="Symbol" w:ascii="Symbol" w:hAnsi="Symbol"/>
        </w:rPr>
        <w:t></w:t>
      </w:r>
      <w:r>
        <w:rPr/>
        <w:tab/>
        <w:t>Baseline</w:t>
      </w:r>
    </w:p>
    <w:p>
      <w:pPr>
        <w:pStyle w:val="Romanbodybullet"/>
        <w:rPr/>
      </w:pPr>
      <w:r>
        <w:rPr>
          <w:rFonts w:eastAsia="Symbol" w:cs="Symbol" w:ascii="Symbol" w:hAnsi="Symbol"/>
        </w:rPr>
        <w:t></w:t>
      </w:r>
      <w:r>
        <w:rPr/>
        <w:tab/>
        <w:t>Exam 2</w:t>
      </w:r>
    </w:p>
    <w:p>
      <w:pPr>
        <w:pStyle w:val="Romanbodybullet"/>
        <w:rPr/>
      </w:pPr>
      <w:r>
        <w:rPr>
          <w:rFonts w:eastAsia="Symbol" w:cs="Symbol" w:ascii="Symbol" w:hAnsi="Symbol"/>
        </w:rPr>
        <w:t></w:t>
      </w:r>
      <w:r>
        <w:rPr/>
        <w:tab/>
        <w:t>Exam 3</w:t>
      </w:r>
    </w:p>
    <w:p>
      <w:pPr>
        <w:pStyle w:val="Romanbodybullet"/>
        <w:rPr/>
      </w:pPr>
      <w:r>
        <w:rPr>
          <w:rFonts w:eastAsia="Symbol" w:cs="Symbol" w:ascii="Symbol" w:hAnsi="Symbol"/>
        </w:rPr>
        <w:t></w:t>
      </w:r>
      <w:r>
        <w:rPr/>
        <w:tab/>
        <w:t>Exam 4</w:t>
      </w:r>
    </w:p>
    <w:p>
      <w:pPr>
        <w:pStyle w:val="Romanbody"/>
        <w:rPr/>
      </w:pPr>
      <w:r>
        <w:rPr/>
      </w:r>
    </w:p>
    <w:p>
      <w:pPr>
        <w:pStyle w:val="Romanbody"/>
        <w:rPr/>
      </w:pPr>
      <w:r>
        <w:rPr/>
        <w:t>All scheduled ECGs will be transmitted electronically to the MESA CERC at EPICARE.</w:t>
      </w:r>
    </w:p>
    <w:p>
      <w:pPr>
        <w:pStyle w:val="Number1"/>
        <w:rPr/>
      </w:pPr>
      <w:r>
        <w:rPr/>
      </w:r>
    </w:p>
    <w:p>
      <w:pPr>
        <w:pStyle w:val="Number1"/>
        <w:rPr/>
      </w:pPr>
      <w:r>
        <w:rPr/>
        <w:tab/>
        <w:t>1.</w:t>
        <w:tab/>
      </w:r>
      <w:r>
        <w:rPr>
          <w:u w:val="single"/>
        </w:rPr>
        <w:t>Preparation of Participant for ECG Recording</w:t>
      </w:r>
    </w:p>
    <w:p>
      <w:pPr>
        <w:pStyle w:val="Number1"/>
        <w:rPr/>
      </w:pPr>
      <w:r>
        <w:rPr/>
      </w:r>
    </w:p>
    <w:p>
      <w:pPr>
        <w:pStyle w:val="Number1bodybullet"/>
        <w:rPr/>
      </w:pPr>
      <w:r>
        <w:rPr>
          <w:rFonts w:eastAsia="Symbol" w:cs="Symbol" w:ascii="Symbol" w:hAnsi="Symbol"/>
        </w:rPr>
        <w:t></w:t>
      </w:r>
      <w:r>
        <w:rPr/>
        <w:tab/>
        <w:t>The participant’s safety and comfort are of utmost importance.</w:t>
      </w:r>
    </w:p>
    <w:p>
      <w:pPr>
        <w:pStyle w:val="Number1bodybullet"/>
        <w:rPr/>
      </w:pPr>
      <w:r>
        <w:rPr>
          <w:rFonts w:eastAsia="Symbol" w:cs="Symbol" w:ascii="Symbol" w:hAnsi="Symbol"/>
        </w:rPr>
        <w:t></w:t>
      </w:r>
      <w:r>
        <w:rPr/>
        <w:tab/>
        <w:t>Clean sheets/examination paper must be used at all times.</w:t>
      </w:r>
    </w:p>
    <w:p>
      <w:pPr>
        <w:pStyle w:val="Number1bodybullet"/>
        <w:rPr/>
      </w:pPr>
      <w:r>
        <w:rPr>
          <w:rFonts w:eastAsia="Symbol" w:cs="Symbol" w:ascii="Symbol" w:hAnsi="Symbol"/>
        </w:rPr>
        <w:t></w:t>
      </w:r>
      <w:r>
        <w:rPr/>
        <w:tab/>
        <w:t>The lead placement areas must be marked with non-toxic washable markers.</w:t>
      </w:r>
    </w:p>
    <w:p>
      <w:pPr>
        <w:pStyle w:val="Number1bodybullet"/>
        <w:rPr/>
      </w:pPr>
      <w:r>
        <w:rPr>
          <w:rFonts w:eastAsia="Symbol" w:cs="Symbol" w:ascii="Symbol" w:hAnsi="Symbol"/>
        </w:rPr>
        <w:t></w:t>
      </w:r>
      <w:r>
        <w:rPr/>
        <w:tab/>
        <w:t>The bed must be wide enough to avoid falls. A bed that is too narrow may also result in poor quality recordings. The left arm must be properly supported. If the bed is too narrow, a portable ironing board can be attached to the left side of the bed so that the left arm may rest on it in order to keep the muscles relaxed.</w:t>
      </w:r>
    </w:p>
    <w:p>
      <w:pPr>
        <w:pStyle w:val="Number1bodybullet"/>
        <w:rPr/>
      </w:pPr>
      <w:r>
        <w:rPr>
          <w:rFonts w:eastAsia="Symbol" w:cs="Symbol" w:ascii="Symbol" w:hAnsi="Symbol"/>
        </w:rPr>
        <w:t></w:t>
      </w:r>
      <w:r>
        <w:rPr/>
        <w:tab/>
        <w:t>Introduce yourself. Ask the participant to relax and provide a brief explanation of the MESA study.</w:t>
      </w:r>
    </w:p>
    <w:p>
      <w:pPr>
        <w:pStyle w:val="Number1bodybullet"/>
        <w:rPr/>
      </w:pPr>
      <w:r>
        <w:rPr>
          <w:rFonts w:eastAsia="Symbol" w:cs="Symbol" w:ascii="Symbol" w:hAnsi="Symbol"/>
        </w:rPr>
        <w:t></w:t>
      </w:r>
      <w:r>
        <w:rPr/>
        <w:tab/>
        <w:t>Always ensure that all correct participant information is entered into your MAC1200 electrocardiograph before recording the ECG.</w:t>
      </w:r>
    </w:p>
    <w:p>
      <w:pPr>
        <w:pStyle w:val="Number1bodybullet"/>
        <w:rPr/>
      </w:pPr>
      <w:r>
        <w:rPr/>
      </w:r>
    </w:p>
    <w:p>
      <w:pPr>
        <w:pStyle w:val="Number1"/>
        <w:rPr/>
      </w:pPr>
      <w:r>
        <w:rPr/>
        <w:tab/>
        <w:t>2.</w:t>
        <w:tab/>
      </w:r>
      <w:r>
        <w:rPr>
          <w:u w:val="single"/>
        </w:rPr>
        <w:t>Participant Data Entry to the MAC1200</w:t>
      </w:r>
    </w:p>
    <w:p>
      <w:pPr>
        <w:pStyle w:val="Normal"/>
        <w:rPr>
          <w:rFonts w:ascii="Arial;Arial" w:hAnsi="Arial;Arial" w:cs="Arial;Arial"/>
          <w:b/>
          <w:b/>
        </w:rPr>
      </w:pPr>
      <w:r>
        <w:rPr>
          <w:rFonts w:cs="Arial;Arial" w:ascii="Arial;Arial" w:hAnsi="Arial;Arial"/>
          <w:b/>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Heading6"/>
              <w:ind w:hanging="0"/>
              <w:jc w:val="center"/>
              <w:rPr>
                <w:rFonts w:ascii="Arial;Arial" w:hAnsi="Arial;Arial" w:cs="Arial;Arial"/>
                <w:b/>
                <w:b/>
                <w:bCs/>
                <w:sz w:val="24"/>
              </w:rPr>
            </w:pPr>
            <w:r>
              <w:rPr>
                <w:rFonts w:cs="Arial;Arial" w:ascii="Arial;Arial" w:hAnsi="Arial;Arial"/>
                <w:b/>
                <w:bCs/>
                <w:sz w:val="24"/>
              </w:rPr>
              <w:t>Entry</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Heading1"/>
              <w:rPr>
                <w:rFonts w:ascii="Arial;Arial" w:hAnsi="Arial;Arial" w:cs="Arial;Arial"/>
                <w:b w:val="false"/>
                <w:b w:val="false"/>
                <w:bCs/>
                <w:sz w:val="20"/>
              </w:rPr>
            </w:pPr>
            <w:r>
              <w:rPr>
                <w:rFonts w:cs="Arial;Arial" w:ascii="Arial;Arial" w:hAnsi="Arial;Arial"/>
                <w:b w:val="false"/>
                <w:bCs/>
                <w:sz w:val="20"/>
              </w:rPr>
              <w:t>NEW PATIENT</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LAST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bCs/>
                <w:sz w:val="20"/>
              </w:rPr>
              <w:t>1</w:t>
            </w:r>
            <w:r>
              <w:rPr>
                <w:rFonts w:cs="Arial;Arial" w:ascii="Arial;Arial" w:hAnsi="Arial;Arial"/>
                <w:bCs/>
                <w:sz w:val="20"/>
                <w:vertAlign w:val="superscript"/>
              </w:rPr>
              <w:t>st</w:t>
            </w:r>
            <w:r>
              <w:rPr>
                <w:rFonts w:cs="Arial;Arial" w:ascii="Arial;Arial" w:hAnsi="Arial;Arial"/>
                <w:bCs/>
                <w:sz w:val="20"/>
              </w:rPr>
              <w:t xml:space="preserve"> 4 letters of last name + 1</w:t>
            </w:r>
            <w:r>
              <w:rPr>
                <w:rFonts w:cs="Arial;Arial" w:ascii="Arial;Arial" w:hAnsi="Arial;Arial"/>
                <w:bCs/>
                <w:sz w:val="20"/>
                <w:vertAlign w:val="superscript"/>
              </w:rPr>
              <w:t>st</w:t>
            </w:r>
            <w:r>
              <w:rPr>
                <w:rFonts w:cs="Arial;Arial" w:ascii="Arial;Arial" w:hAnsi="Arial;Arial"/>
                <w:bCs/>
                <w:sz w:val="20"/>
              </w:rPr>
              <w:t xml:space="preserve"> 2 letters of first name + gender (m or f)</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FIRST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SEQUENCE OF ECG: 1, 2, or 3</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DATE OF BIRTH</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MM/DD/YYYY</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Participant’s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SECONDARY 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Participant’s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PACEMAKER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NO  (YES, if participant has pacemaker)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GENDER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M or F</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HEIGHT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E Measurement of HeartSquare (e.g., if E=16.0, enter 160)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WEIGHT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V6 Measurement of HeartSquare (e.g., if V6=12.0, enter 120)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RACE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Use other and enter defined race codes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Use other and enter defined Tech ID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LOCATION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Cart ID (see “System setup,” Section IV.2</w:t>
            </w:r>
          </w:p>
        </w:tc>
      </w:tr>
    </w:tbl>
    <w:p>
      <w:pPr>
        <w:pStyle w:val="Normal"/>
        <w:rPr>
          <w:rFonts w:ascii="Arial;Arial" w:hAnsi="Arial;Arial" w:cs="Arial;Arial"/>
          <w:bCs/>
        </w:rPr>
      </w:pPr>
      <w:r>
        <w:rPr>
          <w:rFonts w:cs="Arial;Arial" w:ascii="Arial;Arial" w:hAnsi="Arial;Arial"/>
          <w:bCs/>
        </w:rPr>
      </w:r>
    </w:p>
    <w:p>
      <w:pPr>
        <w:pStyle w:val="Number1"/>
        <w:rPr/>
      </w:pPr>
      <w:r>
        <w:rPr/>
        <w:tab/>
        <w:t>3.</w:t>
        <w:tab/>
      </w:r>
      <w:r>
        <w:rPr>
          <w:u w:val="single"/>
        </w:rPr>
        <w:t>Electrode Lead Placement</w:t>
      </w:r>
    </w:p>
    <w:p>
      <w:pPr>
        <w:pStyle w:val="Number1"/>
        <w:rPr/>
      </w:pPr>
      <w:r>
        <w:rPr/>
      </w:r>
    </w:p>
    <w:p>
      <w:pPr>
        <w:pStyle w:val="Number1bodybullet"/>
        <w:rPr/>
      </w:pPr>
      <w:r>
        <w:rPr>
          <w:rFonts w:eastAsia="Symbol" w:cs="Symbol" w:ascii="Symbol" w:hAnsi="Symbol"/>
        </w:rPr>
        <w:t></w:t>
      </w:r>
      <w:r>
        <w:rPr/>
        <w:tab/>
        <w:t xml:space="preserve">Stand on the left side of the participant. </w:t>
      </w:r>
    </w:p>
    <w:p>
      <w:pPr>
        <w:pStyle w:val="Number1bodybullet"/>
        <w:rPr/>
      </w:pPr>
      <w:r>
        <w:rPr>
          <w:rFonts w:eastAsia="Symbol" w:cs="Symbol" w:ascii="Symbol" w:hAnsi="Symbol"/>
        </w:rPr>
        <w:t></w:t>
      </w:r>
      <w:r>
        <w:rPr/>
        <w:tab/>
        <w:t>Participant should be in a supine/semi-recumbent position, with chest bared. With female participants, cover the areas of the chest not used for ECG recording.</w:t>
      </w:r>
    </w:p>
    <w:p>
      <w:pPr>
        <w:pStyle w:val="Number1bodybullet"/>
        <w:rPr/>
      </w:pPr>
      <w:r>
        <w:rPr>
          <w:rFonts w:eastAsia="Symbol" w:cs="Symbol" w:ascii="Symbol" w:hAnsi="Symbol"/>
        </w:rPr>
        <w:t></w:t>
      </w:r>
      <w:r>
        <w:rPr/>
        <w:tab/>
        <w:t>Always follow the same procedure to ensure efficiency and quality of ECG.</w:t>
      </w:r>
    </w:p>
    <w:p>
      <w:pPr>
        <w:pStyle w:val="Number1bodybullet"/>
        <w:rPr/>
      </w:pPr>
      <w:r>
        <w:rPr>
          <w:rFonts w:eastAsia="Symbol" w:cs="Symbol" w:ascii="Symbol" w:hAnsi="Symbol"/>
        </w:rPr>
        <w:t></w:t>
      </w:r>
      <w:r>
        <w:rPr/>
        <w:tab/>
        <w:t>Attach a green ribbon on the Right Leg Electrode lead wire.</w:t>
      </w:r>
    </w:p>
    <w:p>
      <w:pPr>
        <w:pStyle w:val="Number1bodybullet"/>
        <w:rPr/>
      </w:pPr>
      <w:r>
        <w:rPr>
          <w:rFonts w:eastAsia="Symbol" w:cs="Symbol" w:ascii="Symbol" w:hAnsi="Symbol"/>
        </w:rPr>
        <w:t></w:t>
      </w:r>
      <w:r>
        <w:rPr/>
        <w:tab/>
        <w:t>Mark areas for electrode placement with non–toxic washable markers.</w:t>
      </w:r>
    </w:p>
    <w:p>
      <w:pPr>
        <w:pStyle w:val="Number1bodybullet"/>
        <w:rPr/>
      </w:pPr>
      <w:r>
        <w:rPr>
          <w:rFonts w:eastAsia="Symbol" w:cs="Symbol" w:ascii="Symbol" w:hAnsi="Symbol"/>
        </w:rPr>
        <w:t></w:t>
      </w:r>
      <w:r>
        <w:rPr/>
        <w:tab/>
        <w:t>Prepare the skin by rubbing areas marked (a gauze pad will abrade the skin best after using an alcohol wipe; see Figure 1, “Skin Preparation”).</w:t>
      </w:r>
    </w:p>
    <w:p>
      <w:pPr>
        <w:pStyle w:val="Number1bodybullet"/>
        <w:rPr/>
      </w:pPr>
      <w:r>
        <w:rPr>
          <w:rFonts w:eastAsia="Symbol" w:cs="Symbol" w:ascii="Symbol" w:hAnsi="Symbol"/>
        </w:rPr>
        <w:t></w:t>
      </w:r>
      <w:r>
        <w:rPr/>
        <w:tab/>
        <w:t>Apply electrodes on the limbs, as shown in Figure 2. Ensure that the Right Leg and Left Leg electrodes show the silver chloride end face-upwards towards the torso. The arm electrodes may face either way, depending on the height of the participant. The lead wires must show no tension or looping.</w:t>
      </w:r>
    </w:p>
    <w:p>
      <w:pPr>
        <w:pStyle w:val="Number1"/>
        <w:rPr/>
      </w:pPr>
      <w:r>
        <w:rPr/>
      </w:r>
    </w:p>
    <w:p>
      <w:pPr>
        <w:pStyle w:val="Number1"/>
        <w:rPr/>
      </w:pPr>
      <w:r>
        <w:rPr/>
        <w:tab/>
        <w:t>4.</w:t>
        <w:tab/>
      </w:r>
      <w:r>
        <w:rPr>
          <w:u w:val="single"/>
        </w:rPr>
        <w:t>Chest Lead Electrode Placement and HeartSquare Instructions</w:t>
      </w:r>
    </w:p>
    <w:p>
      <w:pPr>
        <w:pStyle w:val="Number1"/>
        <w:rPr/>
      </w:pPr>
      <w:r>
        <w:rPr/>
      </w:r>
    </w:p>
    <w:p>
      <w:pPr>
        <w:pStyle w:val="Number1bodybullet"/>
        <w:rPr/>
      </w:pPr>
      <w:r>
        <w:rPr>
          <w:rFonts w:eastAsia="Symbol" w:cs="Symbol" w:ascii="Symbol" w:hAnsi="Symbol"/>
          <w:b/>
        </w:rPr>
        <w:t></w:t>
      </w:r>
      <w:r>
        <w:rPr>
          <w:b/>
        </w:rPr>
        <w:tab/>
        <w:t>V2—</w:t>
      </w:r>
      <w:r>
        <w:rPr/>
        <w:t xml:space="preserve">First locate the sternal angle (Figure 3). It is approximately three-middle-fingers-width below the sternal notch. Locate </w:t>
      </w:r>
      <w:r>
        <w:rPr>
          <w:b/>
        </w:rPr>
        <w:t>V2</w:t>
      </w:r>
      <w:r>
        <w:rPr/>
        <w:t xml:space="preserve"> at the 4</w:t>
      </w:r>
      <w:r>
        <w:rPr>
          <w:vertAlign w:val="superscript"/>
        </w:rPr>
        <w:t>th</w:t>
      </w:r>
      <w:r>
        <w:rPr/>
        <w:t xml:space="preserve"> intercostal space on the left of the sternal border. Mark an “</w:t>
      </w:r>
      <w:r>
        <w:rPr>
          <w:b/>
        </w:rPr>
        <w:t>X”</w:t>
      </w:r>
      <w:r>
        <w:rPr/>
        <w:t xml:space="preserve"> in the middle of the sternum at the 4</w:t>
      </w:r>
      <w:r>
        <w:rPr>
          <w:vertAlign w:val="superscript"/>
        </w:rPr>
        <w:t>th</w:t>
      </w:r>
      <w:r>
        <w:rPr/>
        <w:t xml:space="preserve"> intercostal space. This will serve as a reference for </w:t>
      </w:r>
      <w:r>
        <w:rPr>
          <w:b/>
          <w:bCs/>
        </w:rPr>
        <w:t>V1</w:t>
      </w:r>
      <w:r>
        <w:rPr/>
        <w:t xml:space="preserve"> and </w:t>
      </w:r>
      <w:r>
        <w:rPr>
          <w:b/>
          <w:bCs/>
        </w:rPr>
        <w:t>V2</w:t>
      </w:r>
      <w:r>
        <w:rPr/>
        <w:t>.</w:t>
      </w:r>
    </w:p>
    <w:p>
      <w:pPr>
        <w:pStyle w:val="Number1bodybullet"/>
        <w:rPr/>
      </w:pPr>
      <w:r>
        <w:rPr/>
      </w:r>
    </w:p>
    <w:p>
      <w:pPr>
        <w:pStyle w:val="Number1bodybullet"/>
        <w:rPr/>
      </w:pPr>
      <w:r>
        <w:rPr>
          <w:rFonts w:eastAsia="Symbol" w:cs="Symbol" w:ascii="Symbol" w:hAnsi="Symbol"/>
          <w:b/>
        </w:rPr>
        <w:t></w:t>
      </w:r>
      <w:r>
        <w:rPr>
          <w:b/>
        </w:rPr>
        <w:tab/>
        <w:t>V1—</w:t>
      </w:r>
      <w:r>
        <w:rPr/>
        <w:t xml:space="preserve">Locate </w:t>
      </w:r>
      <w:r>
        <w:rPr>
          <w:b/>
        </w:rPr>
        <w:t>V1</w:t>
      </w:r>
      <w:r>
        <w:rPr/>
        <w:t xml:space="preserve"> at the right of the sternal border at the 4</w:t>
      </w:r>
      <w:r>
        <w:rPr>
          <w:vertAlign w:val="superscript"/>
        </w:rPr>
        <w:t>th</w:t>
      </w:r>
      <w:r>
        <w:rPr/>
        <w:t xml:space="preserve"> intercostal space (Figure 4).</w:t>
      </w:r>
    </w:p>
    <w:p>
      <w:pPr>
        <w:pStyle w:val="Number1bodybullet"/>
        <w:rPr/>
      </w:pPr>
      <w:r>
        <w:rPr/>
      </w:r>
    </w:p>
    <w:p>
      <w:pPr>
        <w:pStyle w:val="Number1bodybullet"/>
        <w:rPr/>
      </w:pPr>
      <w:r>
        <w:rPr>
          <w:rFonts w:eastAsia="Symbol" w:cs="Symbol" w:ascii="Symbol" w:hAnsi="Symbol"/>
          <w:b/>
        </w:rPr>
        <w:t></w:t>
      </w:r>
      <w:r>
        <w:rPr>
          <w:b/>
        </w:rPr>
        <w:tab/>
        <w:t>HeartSquare—</w:t>
      </w:r>
      <w:r>
        <w:rPr/>
        <w:t xml:space="preserve">Figure 5 includes the instructions for use of the HeartSquare. The HeartSquare is used for the exact standardized location of </w:t>
      </w:r>
      <w:r>
        <w:rPr>
          <w:b/>
        </w:rPr>
        <w:t>V4</w:t>
      </w:r>
      <w:r>
        <w:rPr/>
        <w:t xml:space="preserve"> and </w:t>
      </w:r>
      <w:r>
        <w:rPr>
          <w:b/>
        </w:rPr>
        <w:t xml:space="preserve">V6 </w:t>
      </w:r>
      <w:r>
        <w:rPr/>
        <w:t xml:space="preserve">measurements.  </w:t>
      </w:r>
    </w:p>
    <w:p>
      <w:pPr>
        <w:pStyle w:val="Number1bodybullet"/>
        <w:rPr/>
      </w:pPr>
      <w:r>
        <w:rPr/>
      </w:r>
    </w:p>
    <w:p>
      <w:pPr>
        <w:pStyle w:val="Number1bodybullet"/>
        <w:rPr/>
      </w:pPr>
      <w:r>
        <w:rPr>
          <w:rFonts w:eastAsia="Symbol" w:cs="Symbol" w:ascii="Symbol" w:hAnsi="Symbol"/>
          <w:b/>
        </w:rPr>
        <w:t></w:t>
      </w:r>
      <w:r>
        <w:rPr>
          <w:b/>
        </w:rPr>
        <w:tab/>
        <w:t>V3 and V5—</w:t>
      </w:r>
      <w:r>
        <w:rPr/>
        <w:t xml:space="preserve">After using the </w:t>
      </w:r>
      <w:r>
        <w:rPr>
          <w:bCs/>
        </w:rPr>
        <w:t>HeartSquare</w:t>
      </w:r>
      <w:r>
        <w:rPr/>
        <w:t xml:space="preserve">, you can then locate the </w:t>
      </w:r>
      <w:r>
        <w:rPr>
          <w:b/>
        </w:rPr>
        <w:t>V3</w:t>
      </w:r>
      <w:r>
        <w:rPr/>
        <w:t xml:space="preserve"> and </w:t>
      </w:r>
      <w:r>
        <w:rPr>
          <w:b/>
        </w:rPr>
        <w:t>V5</w:t>
      </w:r>
      <w:r>
        <w:rPr/>
        <w:t xml:space="preserve"> locations.</w:t>
      </w:r>
    </w:p>
    <w:p>
      <w:pPr>
        <w:pStyle w:val="Number1bodybullet"/>
        <w:rPr>
          <w:b/>
          <w:b/>
        </w:rPr>
      </w:pPr>
      <w:r>
        <w:rPr>
          <w:b/>
        </w:rPr>
      </w:r>
    </w:p>
    <w:p>
      <w:pPr>
        <w:pStyle w:val="Number1"/>
        <w:rPr/>
      </w:pPr>
      <w:r>
        <w:rPr/>
        <w:tab/>
        <w:t>5.</w:t>
        <w:tab/>
      </w:r>
      <w:r>
        <w:rPr>
          <w:u w:val="single"/>
        </w:rPr>
        <w:t>Reference Point E for Locating V4, V5 and V6</w:t>
      </w:r>
    </w:p>
    <w:p>
      <w:pPr>
        <w:pStyle w:val="Normal"/>
        <w:rPr>
          <w:rFonts w:ascii="Arial;Arial" w:hAnsi="Arial;Arial" w:cs="Arial;Arial"/>
        </w:rPr>
      </w:pPr>
      <w:r>
        <w:rPr>
          <w:rFonts w:cs="Arial;Arial" w:ascii="Arial;Arial" w:hAnsi="Arial;Arial"/>
        </w:rPr>
      </w:r>
    </w:p>
    <w:p>
      <w:pPr>
        <w:pStyle w:val="Number1body"/>
        <w:rPr/>
      </w:pPr>
      <w:r>
        <w:rPr/>
        <w:t xml:space="preserve">From the </w:t>
      </w:r>
      <w:r>
        <w:rPr>
          <w:b/>
        </w:rPr>
        <w:t>V2</w:t>
      </w:r>
      <w:r>
        <w:rPr/>
        <w:t xml:space="preserve"> location, keep the middle finger of your right hand firmly in the 4</w:t>
      </w:r>
      <w:r>
        <w:rPr>
          <w:vertAlign w:val="superscript"/>
        </w:rPr>
        <w:t>th</w:t>
      </w:r>
      <w:r>
        <w:rPr/>
        <w:t xml:space="preserve"> intercostal space. Then, move it down and slightly laterally until you feel the 5</w:t>
      </w:r>
      <w:r>
        <w:rPr>
          <w:vertAlign w:val="superscript"/>
        </w:rPr>
        <w:t>th</w:t>
      </w:r>
      <w:r>
        <w:rPr/>
        <w:t xml:space="preserve"> rib. Immediately below the 5</w:t>
      </w:r>
      <w:r>
        <w:rPr>
          <w:vertAlign w:val="superscript"/>
        </w:rPr>
        <w:t xml:space="preserve">th </w:t>
      </w:r>
      <w:r>
        <w:rPr/>
        <w:t>rib is the 5</w:t>
      </w:r>
      <w:r>
        <w:rPr>
          <w:vertAlign w:val="superscript"/>
        </w:rPr>
        <w:t>th</w:t>
      </w:r>
      <w:r>
        <w:rPr/>
        <w:t xml:space="preserve"> intercostal space. </w:t>
      </w:r>
      <w:r>
        <w:rPr>
          <w:b/>
        </w:rPr>
        <w:t>At this level, mark an X at reference point E at the midsternal line, about 1 inch below V1</w:t>
      </w:r>
      <w:r>
        <w:rPr>
          <w:bCs/>
        </w:rPr>
        <w:t xml:space="preserve"> and</w:t>
      </w:r>
      <w:r>
        <w:rPr>
          <w:b/>
        </w:rPr>
        <w:t xml:space="preserve"> V2. </w:t>
      </w:r>
      <w:r>
        <w:rPr/>
        <w:t xml:space="preserve"> Refer again to Figures 3 and 4.</w:t>
      </w:r>
    </w:p>
    <w:p>
      <w:pPr>
        <w:pStyle w:val="Number1body"/>
        <w:rPr/>
      </w:pPr>
      <w:r>
        <w:rPr/>
        <w:t xml:space="preserve"> </w:t>
      </w:r>
    </w:p>
    <w:p>
      <w:pPr>
        <w:pStyle w:val="Number1body"/>
        <w:rPr/>
      </w:pPr>
      <w:r>
        <w:rPr/>
        <w:t xml:space="preserve">Point E is your reference level for locating V4, V5, and V6 using the HeartSquare (Figure 5). </w:t>
      </w:r>
    </w:p>
    <w:p>
      <w:pPr>
        <w:pStyle w:val="Number1body"/>
        <w:rPr/>
      </w:pPr>
      <w:r>
        <w:rPr/>
      </w:r>
    </w:p>
    <w:p>
      <w:pPr>
        <w:pStyle w:val="Number1"/>
        <w:rPr/>
      </w:pPr>
      <w:r>
        <w:rPr/>
        <w:tab/>
        <w:t>6.</w:t>
        <w:tab/>
      </w:r>
      <w:r>
        <w:rPr>
          <w:u w:val="single"/>
        </w:rPr>
        <w:t>Left Mid-axillary Line</w:t>
      </w:r>
    </w:p>
    <w:p>
      <w:pPr>
        <w:pStyle w:val="Normal"/>
        <w:rPr>
          <w:rFonts w:ascii="Arial;Arial" w:hAnsi="Arial;Arial" w:cs="Arial;Arial"/>
        </w:rPr>
      </w:pPr>
      <w:r>
        <w:rPr>
          <w:rFonts w:cs="Arial;Arial" w:ascii="Arial;Arial" w:hAnsi="Arial;Arial"/>
        </w:rPr>
      </w:r>
    </w:p>
    <w:p>
      <w:pPr>
        <w:pStyle w:val="Number1body"/>
        <w:rPr/>
      </w:pPr>
      <w:r>
        <w:rPr/>
        <w:t xml:space="preserve">The left elbow must be supported properly. Move the left elbow laterally, without moving it anteriorly or posteriorly, while observing the anterior and posterior axillary folds. Follow a line exactly in the vertical midplane of the thorax down, where the line meets the horizontal plane of Point </w:t>
      </w:r>
      <w:r>
        <w:rPr>
          <w:b/>
        </w:rPr>
        <w:t>E</w:t>
      </w:r>
      <w:r>
        <w:rPr/>
        <w:t xml:space="preserve">. Using your marker, make a vertical one-inch-long line there as an approximate location of </w:t>
      </w:r>
      <w:r>
        <w:rPr>
          <w:b/>
        </w:rPr>
        <w:t>V6</w:t>
      </w:r>
      <w:r>
        <w:rPr/>
        <w:t>.</w:t>
      </w:r>
    </w:p>
    <w:p>
      <w:pPr>
        <w:pStyle w:val="Number1body"/>
        <w:rPr/>
      </w:pPr>
      <w:r>
        <w:rPr/>
      </w:r>
    </w:p>
    <w:p>
      <w:pPr>
        <w:pStyle w:val="Number1bodybullet"/>
        <w:rPr/>
      </w:pPr>
      <w:r>
        <w:rPr>
          <w:rFonts w:eastAsia="Symbol" w:cs="Symbol" w:ascii="Symbol" w:hAnsi="Symbol"/>
        </w:rPr>
        <w:t></w:t>
      </w:r>
      <w:r>
        <w:rPr/>
        <w:tab/>
        <w:t xml:space="preserve">Using your HeartSquare (Figure 5), find the exact location of </w:t>
      </w:r>
      <w:r>
        <w:rPr>
          <w:b/>
        </w:rPr>
        <w:t>V6</w:t>
      </w:r>
      <w:r>
        <w:rPr/>
        <w:t>.</w:t>
      </w:r>
    </w:p>
    <w:p>
      <w:pPr>
        <w:pStyle w:val="Number1bodybullet"/>
        <w:rPr/>
      </w:pPr>
      <w:r>
        <w:rPr>
          <w:rFonts w:eastAsia="Symbol" w:cs="Symbol" w:ascii="Symbol" w:hAnsi="Symbol"/>
        </w:rPr>
        <w:t></w:t>
      </w:r>
      <w:r>
        <w:rPr/>
        <w:tab/>
        <w:t>Place the HeartSquare with the wider arm horizontally at level E.</w:t>
      </w:r>
    </w:p>
    <w:p>
      <w:pPr>
        <w:pStyle w:val="Number1bodybullet"/>
        <w:rPr/>
      </w:pPr>
      <w:r>
        <w:rPr>
          <w:rFonts w:eastAsia="Symbol" w:cs="Symbol" w:ascii="Symbol" w:hAnsi="Symbol"/>
        </w:rPr>
        <w:t></w:t>
      </w:r>
      <w:r>
        <w:rPr/>
        <w:tab/>
        <w:t xml:space="preserve">Slide the thin ruler and point the arrow to the vertical line you made.  This is the </w:t>
      </w:r>
      <w:r>
        <w:rPr>
          <w:b/>
        </w:rPr>
        <w:t xml:space="preserve">V6 </w:t>
      </w:r>
      <w:r>
        <w:rPr/>
        <w:t xml:space="preserve">position.  </w:t>
      </w:r>
    </w:p>
    <w:p>
      <w:pPr>
        <w:pStyle w:val="Number1bodybullet"/>
        <w:rPr/>
      </w:pPr>
      <w:r>
        <w:rPr>
          <w:rFonts w:eastAsia="Symbol" w:cs="Symbol" w:ascii="Symbol" w:hAnsi="Symbol"/>
        </w:rPr>
        <w:t></w:t>
      </w:r>
      <w:r>
        <w:rPr/>
        <w:tab/>
        <w:t xml:space="preserve">Mark the exact location of </w:t>
      </w:r>
      <w:r>
        <w:rPr>
          <w:b/>
        </w:rPr>
        <w:t>V6</w:t>
      </w:r>
      <w:r>
        <w:rPr>
          <w:bCs/>
        </w:rPr>
        <w:t>,</w:t>
      </w:r>
      <w:r>
        <w:rPr/>
        <w:t xml:space="preserve"> where the sliding arm crosses the vertical mark you made on the midaxillary line.</w:t>
      </w:r>
    </w:p>
    <w:p>
      <w:pPr>
        <w:pStyle w:val="Number1bodybullet"/>
        <w:rPr/>
      </w:pPr>
      <w:r>
        <w:rPr>
          <w:rFonts w:eastAsia="Symbol" w:cs="Symbol" w:ascii="Symbol" w:hAnsi="Symbol"/>
        </w:rPr>
        <w:t></w:t>
      </w:r>
      <w:r>
        <w:rPr/>
        <w:tab/>
        <w:t xml:space="preserve">Observe and later record the </w:t>
      </w:r>
      <w:r>
        <w:rPr>
          <w:b/>
        </w:rPr>
        <w:t>V6</w:t>
      </w:r>
      <w:r>
        <w:rPr/>
        <w:t xml:space="preserve"> reading (distance from V6 arrow to the intersection of the horizontal ruler of the HeartSquare)</w:t>
      </w:r>
    </w:p>
    <w:p>
      <w:pPr>
        <w:pStyle w:val="Number1bodybullet"/>
        <w:rPr/>
      </w:pPr>
      <w:r>
        <w:rPr>
          <w:rFonts w:eastAsia="Symbol" w:cs="Symbol" w:ascii="Symbol" w:hAnsi="Symbol"/>
        </w:rPr>
        <w:t></w:t>
      </w:r>
      <w:r>
        <w:rPr/>
        <w:tab/>
        <w:t xml:space="preserve">Observe and later record the </w:t>
      </w:r>
      <w:r>
        <w:rPr>
          <w:b/>
        </w:rPr>
        <w:t>E</w:t>
      </w:r>
      <w:r>
        <w:rPr/>
        <w:t xml:space="preserve"> reading (e.g., 16.0) as shown in Figure 5. On the vertical scale (thinner ruler), follow the diagonal line with your marker towards the chest, corresponding to the E reading. Mark this location as </w:t>
      </w:r>
      <w:r>
        <w:rPr>
          <w:b/>
        </w:rPr>
        <w:t>V4</w:t>
      </w:r>
      <w:r>
        <w:rPr/>
        <w:t xml:space="preserve">. If the HeartSquare is not long enough (e.g., in large participants), you may interpolate the reading of </w:t>
      </w:r>
      <w:r>
        <w:rPr>
          <w:b/>
        </w:rPr>
        <w:t>E</w:t>
      </w:r>
      <w:r>
        <w:rPr/>
        <w:t xml:space="preserve"> and </w:t>
      </w:r>
      <w:r>
        <w:rPr>
          <w:b/>
        </w:rPr>
        <w:t>V6</w:t>
      </w:r>
      <w:r>
        <w:rPr/>
        <w:t xml:space="preserve">. </w:t>
      </w:r>
    </w:p>
    <w:p>
      <w:pPr>
        <w:pStyle w:val="Number1bodybullet"/>
        <w:rPr/>
      </w:pPr>
      <w:r>
        <w:rPr>
          <w:rFonts w:eastAsia="Symbol" w:cs="Symbol" w:ascii="Symbol" w:hAnsi="Symbol"/>
        </w:rPr>
        <w:t></w:t>
      </w:r>
      <w:r>
        <w:rPr/>
        <w:tab/>
        <w:t xml:space="preserve">Mark </w:t>
      </w:r>
      <w:r>
        <w:rPr>
          <w:b/>
        </w:rPr>
        <w:t>V3</w:t>
      </w:r>
      <w:r>
        <w:rPr/>
        <w:t xml:space="preserve"> exactly between </w:t>
      </w:r>
      <w:r>
        <w:rPr>
          <w:b/>
        </w:rPr>
        <w:t>V2</w:t>
      </w:r>
      <w:r>
        <w:rPr/>
        <w:t xml:space="preserve"> and </w:t>
      </w:r>
      <w:r>
        <w:rPr>
          <w:b/>
        </w:rPr>
        <w:t>V4</w:t>
      </w:r>
      <w:r>
        <w:rPr/>
        <w:t xml:space="preserve">, and </w:t>
      </w:r>
      <w:r>
        <w:rPr>
          <w:b/>
        </w:rPr>
        <w:t>V5</w:t>
      </w:r>
      <w:r>
        <w:rPr/>
        <w:t xml:space="preserve"> halfway between </w:t>
      </w:r>
      <w:r>
        <w:rPr>
          <w:b/>
        </w:rPr>
        <w:t>V4</w:t>
      </w:r>
      <w:r>
        <w:rPr/>
        <w:t xml:space="preserve"> and </w:t>
      </w:r>
      <w:r>
        <w:rPr>
          <w:b/>
        </w:rPr>
        <w:t>V6</w:t>
      </w:r>
      <w:r>
        <w:rPr>
          <w:bCs/>
        </w:rPr>
        <w:t>.</w:t>
      </w:r>
    </w:p>
    <w:p>
      <w:pPr>
        <w:pStyle w:val="Number1bodybullet"/>
        <w:rPr/>
      </w:pPr>
      <w:r>
        <w:rPr>
          <w:rFonts w:eastAsia="Symbol" w:cs="Symbol" w:ascii="Symbol" w:hAnsi="Symbol"/>
        </w:rPr>
        <w:t></w:t>
      </w:r>
      <w:r>
        <w:rPr/>
        <w:tab/>
        <w:t xml:space="preserve">Enter </w:t>
      </w:r>
      <w:r>
        <w:rPr>
          <w:b/>
        </w:rPr>
        <w:t>E</w:t>
      </w:r>
      <w:r>
        <w:rPr/>
        <w:t xml:space="preserve"> and </w:t>
      </w:r>
      <w:r>
        <w:rPr>
          <w:b/>
        </w:rPr>
        <w:t>V6</w:t>
      </w:r>
      <w:r>
        <w:rPr/>
        <w:t xml:space="preserve"> measurements as three digits in the Height and Weight Field in the MAC1200 as well as in your ECG Log (to be finalized by CC Figure 18). </w:t>
      </w:r>
    </w:p>
    <w:p>
      <w:pPr>
        <w:pStyle w:val="Number1bodybullet"/>
        <w:rPr/>
      </w:pPr>
      <w:r>
        <w:rPr>
          <w:rFonts w:eastAsia="Symbol" w:cs="Symbol" w:ascii="Symbol" w:hAnsi="Symbol"/>
        </w:rPr>
        <w:t></w:t>
      </w:r>
      <w:r>
        <w:rPr/>
        <w:tab/>
        <w:t xml:space="preserve">You have now marked the electrode positions of : </w:t>
      </w:r>
      <w:r>
        <w:rPr>
          <w:b/>
        </w:rPr>
        <w:t>V1</w:t>
      </w:r>
      <w:r>
        <w:rPr>
          <w:bCs/>
        </w:rPr>
        <w:t>,</w:t>
      </w:r>
      <w:r>
        <w:rPr>
          <w:b/>
        </w:rPr>
        <w:t xml:space="preserve"> V2</w:t>
      </w:r>
      <w:r>
        <w:rPr>
          <w:bCs/>
        </w:rPr>
        <w:t>,</w:t>
      </w:r>
      <w:r>
        <w:rPr>
          <w:b/>
        </w:rPr>
        <w:t xml:space="preserve"> V3</w:t>
      </w:r>
      <w:r>
        <w:rPr>
          <w:bCs/>
        </w:rPr>
        <w:t>,</w:t>
      </w:r>
      <w:r>
        <w:rPr>
          <w:b/>
        </w:rPr>
        <w:t xml:space="preserve"> V4</w:t>
      </w:r>
      <w:r>
        <w:rPr>
          <w:bCs/>
        </w:rPr>
        <w:t xml:space="preserve">, </w:t>
      </w:r>
      <w:r>
        <w:rPr>
          <w:b/>
        </w:rPr>
        <w:t>V5</w:t>
      </w:r>
      <w:r>
        <w:rPr>
          <w:bCs/>
        </w:rPr>
        <w:t>,</w:t>
      </w:r>
      <w:r>
        <w:rPr/>
        <w:t xml:space="preserve"> and </w:t>
      </w:r>
      <w:r>
        <w:rPr>
          <w:b/>
        </w:rPr>
        <w:t>V6</w:t>
      </w:r>
      <w:r>
        <w:rPr>
          <w:bCs/>
        </w:rPr>
        <w:t>.</w:t>
      </w:r>
    </w:p>
    <w:p>
      <w:pPr>
        <w:pStyle w:val="Number1bodybullet"/>
        <w:rPr/>
      </w:pPr>
      <w:r>
        <w:rPr>
          <w:rFonts w:eastAsia="Symbol" w:cs="Symbol" w:ascii="Symbol" w:hAnsi="Symbol"/>
        </w:rPr>
        <w:t></w:t>
      </w:r>
      <w:r>
        <w:rPr/>
        <w:tab/>
        <w:t>Prepare the skin at each marked location and then immediately re-mark.</w:t>
      </w:r>
    </w:p>
    <w:p>
      <w:pPr>
        <w:pStyle w:val="Number1bodybullet"/>
        <w:rPr/>
      </w:pPr>
      <w:r>
        <w:rPr>
          <w:rFonts w:eastAsia="Symbol" w:cs="Symbol" w:ascii="Symbol" w:hAnsi="Symbol"/>
        </w:rPr>
        <w:t></w:t>
      </w:r>
      <w:r>
        <w:rPr/>
        <w:tab/>
        <w:t>Apply all chest lead electrodes at marked locations. In most cases the silver chloride end of the electrodes are facing down towards the torso; however, in few participants, this end of the electrode may face upwards.</w:t>
      </w:r>
    </w:p>
    <w:p>
      <w:pPr>
        <w:pStyle w:val="Number1bodybullet"/>
        <w:rPr/>
      </w:pPr>
      <w:r>
        <w:rPr>
          <w:rFonts w:eastAsia="Symbol" w:cs="Symbol" w:ascii="Symbol" w:hAnsi="Symbol"/>
        </w:rPr>
        <w:t></w:t>
      </w:r>
      <w:r>
        <w:rPr/>
        <w:tab/>
        <w:t xml:space="preserve">When placing the </w:t>
      </w:r>
      <w:r>
        <w:rPr>
          <w:b/>
        </w:rPr>
        <w:t>V4</w:t>
      </w:r>
      <w:r>
        <w:rPr/>
        <w:t xml:space="preserve"> electrode, do </w:t>
      </w:r>
      <w:r>
        <w:rPr>
          <w:i/>
          <w:iCs/>
        </w:rPr>
        <w:t>not</w:t>
      </w:r>
      <w:r>
        <w:rPr/>
        <w:t xml:space="preserve"> move the breast. Place the electrode exactly at the position indicated using the HeartSquare</w:t>
      </w:r>
      <w:r>
        <w:rPr>
          <w:caps/>
        </w:rPr>
        <w:t xml:space="preserve">. </w:t>
      </w:r>
      <w:r>
        <w:rPr/>
        <w:t xml:space="preserve">If the </w:t>
      </w:r>
      <w:r>
        <w:rPr>
          <w:b/>
        </w:rPr>
        <w:t>V4</w:t>
      </w:r>
      <w:r>
        <w:rPr/>
        <w:t xml:space="preserve"> mark is on the nipple, place the electrode just below the nipple/areola.</w:t>
      </w:r>
    </w:p>
    <w:p>
      <w:pPr>
        <w:pStyle w:val="Number1bodybullet"/>
        <w:rPr/>
      </w:pPr>
      <w:r>
        <w:rPr>
          <w:rFonts w:eastAsia="Symbol" w:cs="Symbol" w:ascii="Symbol" w:hAnsi="Symbol"/>
        </w:rPr>
        <w:t></w:t>
      </w:r>
      <w:r>
        <w:rPr/>
        <w:tab/>
        <w:t xml:space="preserve">You now have all electrodes in place. </w:t>
      </w:r>
    </w:p>
    <w:p>
      <w:pPr>
        <w:pStyle w:val="Number1bodybullet"/>
        <w:rPr/>
      </w:pPr>
      <w:r>
        <w:rPr>
          <w:rFonts w:eastAsia="Symbol" w:cs="Symbol" w:ascii="Symbol" w:hAnsi="Symbol"/>
        </w:rPr>
        <w:t></w:t>
      </w:r>
      <w:r>
        <w:rPr/>
        <w:tab/>
        <w:t xml:space="preserve">Connect lead wires to the corresponding electrodes. Attach the limb lead wires first, beginning with the Right Leg. Attach the lead wires to Acquisition Module of the MAC 1200. </w:t>
      </w:r>
    </w:p>
    <w:p>
      <w:pPr>
        <w:pStyle w:val="Number1bodybullet"/>
        <w:rPr/>
      </w:pPr>
      <w:r>
        <w:rPr>
          <w:rFonts w:eastAsia="Symbol" w:cs="Symbol" w:ascii="Symbol" w:hAnsi="Symbol"/>
        </w:rPr>
        <w:t></w:t>
      </w:r>
      <w:r>
        <w:rPr/>
        <w:tab/>
        <w:t>You are now ready to enter the participant data into the MAC 1200 (see Section 2, above, “Participant data entry to the MAC 1200”).</w:t>
      </w:r>
    </w:p>
    <w:p>
      <w:pPr>
        <w:pStyle w:val="Number1bodybullet"/>
        <w:rPr/>
      </w:pPr>
      <w:r>
        <w:rPr>
          <w:rFonts w:eastAsia="Symbol" w:cs="Symbol" w:ascii="Symbol" w:hAnsi="Symbol"/>
        </w:rPr>
        <w:t></w:t>
      </w:r>
      <w:r>
        <w:rPr/>
        <w:tab/>
        <w:t>Ask the participant to relax, breathe normally, and remain still.</w:t>
      </w:r>
    </w:p>
    <w:p>
      <w:pPr>
        <w:pStyle w:val="Number1bodybullet"/>
        <w:rPr/>
      </w:pPr>
      <w:r>
        <w:rPr>
          <w:rFonts w:eastAsia="Symbol" w:cs="Symbol" w:ascii="Symbol" w:hAnsi="Symbol"/>
        </w:rPr>
        <w:t></w:t>
      </w:r>
      <w:r>
        <w:rPr/>
        <w:tab/>
        <w:t>Re-check all participant data entries.</w:t>
      </w:r>
    </w:p>
    <w:p>
      <w:pPr>
        <w:pStyle w:val="Number1bodybullet"/>
        <w:rPr/>
      </w:pPr>
      <w:r>
        <w:rPr>
          <w:rFonts w:eastAsia="Symbol" w:cs="Symbol" w:ascii="Symbol" w:hAnsi="Symbol"/>
        </w:rPr>
        <w:t></w:t>
      </w:r>
      <w:r>
        <w:rPr/>
        <w:tab/>
        <w:t>Record the ECG, using the guidelines in the GE/Marquette MAC1200 Operations Manual.</w:t>
      </w:r>
    </w:p>
    <w:p>
      <w:pPr>
        <w:pStyle w:val="Number1bodybullet"/>
        <w:rPr/>
      </w:pPr>
      <w:r>
        <w:rPr/>
      </w:r>
    </w:p>
    <w:p>
      <w:pPr>
        <w:pStyle w:val="Number1"/>
        <w:rPr/>
      </w:pPr>
      <w:r>
        <w:rPr/>
        <w:tab/>
        <w:t>7.</w:t>
        <w:tab/>
      </w:r>
      <w:r>
        <w:rPr>
          <w:u w:val="single"/>
        </w:rPr>
        <w:t>Recording Three ECGs</w:t>
      </w:r>
    </w:p>
    <w:p>
      <w:pPr>
        <w:pStyle w:val="Normal"/>
        <w:rPr>
          <w:rFonts w:ascii="Arial;Arial" w:hAnsi="Arial;Arial" w:cs="Arial;Arial"/>
        </w:rPr>
      </w:pPr>
      <w:r>
        <w:rPr>
          <w:rFonts w:cs="Arial;Arial" w:ascii="Arial;Arial" w:hAnsi="Arial;Arial"/>
        </w:rPr>
      </w:r>
    </w:p>
    <w:p>
      <w:pPr>
        <w:pStyle w:val="Number11"/>
        <w:rPr/>
      </w:pPr>
      <w:r>
        <w:rPr/>
        <w:tab/>
        <w:t>7.1</w:t>
        <w:tab/>
        <w:t>For baseline or scheduled ECG:</w:t>
      </w:r>
    </w:p>
    <w:p>
      <w:pPr>
        <w:pStyle w:val="Number11bodybullet"/>
        <w:rPr/>
      </w:pPr>
      <w:r>
        <w:rPr/>
        <w:tab/>
      </w:r>
      <w:r>
        <w:rPr>
          <w:rFonts w:eastAsia="Symbol" w:cs="Symbol" w:ascii="Symbol" w:hAnsi="Symbol"/>
        </w:rPr>
        <w:t></w:t>
      </w:r>
      <w:r>
        <w:rPr/>
        <w:tab/>
        <w:t>Enter all relevant information as shown in Section 2, above, “Participant data entry to the MAC 1200”</w:t>
      </w:r>
    </w:p>
    <w:p>
      <w:pPr>
        <w:pStyle w:val="Number11bodybullet"/>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r>
        <w:rPr>
          <w:smallCaps/>
        </w:rPr>
        <w:t xml:space="preserve"> </w:t>
      </w:r>
    </w:p>
    <w:p>
      <w:pPr>
        <w:pStyle w:val="Number11bodybullet"/>
        <w:rPr/>
      </w:pPr>
      <w:r>
        <w:rPr/>
        <w:tab/>
      </w:r>
      <w:r>
        <w:rPr>
          <w:rFonts w:eastAsia="Symbol" w:cs="Symbol" w:ascii="Symbol" w:hAnsi="Symbol"/>
        </w:rPr>
        <w:t></w:t>
      </w:r>
      <w:r>
        <w:rPr/>
        <w:tab/>
        <w:t xml:space="preserve">First Name Field:  Enter </w:t>
      </w:r>
      <w:r>
        <w:rPr>
          <w:b/>
        </w:rPr>
        <w:t>1</w:t>
      </w:r>
      <w:r>
        <w:rPr/>
        <w:t xml:space="preserve"> (baseline)</w:t>
      </w:r>
    </w:p>
    <w:p>
      <w:pPr>
        <w:pStyle w:val="Number11bodybullet"/>
        <w:rPr/>
      </w:pPr>
      <w:r>
        <w:rPr/>
      </w:r>
    </w:p>
    <w:p>
      <w:pPr>
        <w:pStyle w:val="Number11"/>
        <w:rPr/>
      </w:pPr>
      <w:r>
        <w:rPr/>
        <w:tab/>
        <w:t>7.2</w:t>
        <w:tab/>
        <w:t>Second ECG:</w:t>
      </w:r>
    </w:p>
    <w:p>
      <w:pPr>
        <w:pStyle w:val="Number11bodybullet"/>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p>
    <w:p>
      <w:pPr>
        <w:pStyle w:val="Number11bodybullet"/>
        <w:rPr/>
      </w:pPr>
      <w:r>
        <w:rPr/>
        <w:tab/>
      </w:r>
      <w:r>
        <w:rPr>
          <w:rFonts w:eastAsia="Symbol" w:cs="Symbol" w:ascii="Symbol" w:hAnsi="Symbol"/>
        </w:rPr>
        <w:t></w:t>
      </w:r>
      <w:r>
        <w:rPr/>
        <w:tab/>
        <w:t xml:space="preserve">First Name Field:  Enter </w:t>
      </w:r>
      <w:r>
        <w:rPr>
          <w:b/>
        </w:rPr>
        <w:t>2</w:t>
      </w:r>
      <w:r>
        <w:rPr/>
        <w:t xml:space="preserve"> (2</w:t>
      </w:r>
      <w:r>
        <w:rPr>
          <w:vertAlign w:val="superscript"/>
        </w:rPr>
        <w:t>nd</w:t>
      </w:r>
      <w:r>
        <w:rPr/>
        <w:t xml:space="preserve"> ECG)</w:t>
      </w:r>
    </w:p>
    <w:p>
      <w:pPr>
        <w:pStyle w:val="Number11bodybullet"/>
        <w:rPr/>
      </w:pPr>
      <w:r>
        <w:rPr/>
        <w:tab/>
      </w:r>
      <w:r>
        <w:rPr>
          <w:rFonts w:eastAsia="Symbol" w:cs="Symbol" w:ascii="Symbol" w:hAnsi="Symbol"/>
        </w:rPr>
        <w:t></w:t>
      </w:r>
      <w:r>
        <w:rPr/>
        <w:tab/>
        <w:t>All other information remains the same; ECG may now be recorded</w:t>
      </w:r>
    </w:p>
    <w:p>
      <w:pPr>
        <w:pStyle w:val="Number11"/>
        <w:rPr/>
      </w:pPr>
      <w:r>
        <w:rPr/>
      </w:r>
    </w:p>
    <w:p>
      <w:pPr>
        <w:pStyle w:val="Number11"/>
        <w:rPr/>
      </w:pPr>
      <w:r>
        <w:rPr/>
        <w:tab/>
        <w:t>7.3</w:t>
        <w:tab/>
        <w:t>Third ECG:</w:t>
      </w:r>
    </w:p>
    <w:p>
      <w:pPr>
        <w:pStyle w:val="Number11"/>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p>
    <w:p>
      <w:pPr>
        <w:pStyle w:val="Number11"/>
        <w:rPr/>
      </w:pPr>
      <w:r>
        <w:rPr/>
        <w:tab/>
      </w:r>
      <w:r>
        <w:rPr>
          <w:rFonts w:eastAsia="Symbol" w:cs="Symbol" w:ascii="Symbol" w:hAnsi="Symbol"/>
        </w:rPr>
        <w:t></w:t>
      </w:r>
      <w:r>
        <w:rPr/>
        <w:tab/>
        <w:t xml:space="preserve">First Name Field:  Enter </w:t>
      </w:r>
      <w:r>
        <w:rPr>
          <w:b/>
        </w:rPr>
        <w:t>3</w:t>
      </w:r>
      <w:r>
        <w:rPr/>
        <w:t xml:space="preserve"> (3</w:t>
      </w:r>
      <w:r>
        <w:rPr>
          <w:vertAlign w:val="superscript"/>
        </w:rPr>
        <w:t>rd</w:t>
      </w:r>
      <w:r>
        <w:rPr/>
        <w:t xml:space="preserve"> ECG)</w:t>
      </w:r>
    </w:p>
    <w:p>
      <w:pPr>
        <w:pStyle w:val="Number11"/>
        <w:rPr/>
      </w:pPr>
      <w:r>
        <w:rPr/>
        <w:tab/>
      </w:r>
      <w:r>
        <w:rPr>
          <w:rFonts w:eastAsia="Symbol" w:cs="Symbol" w:ascii="Symbol" w:hAnsi="Symbol"/>
        </w:rPr>
        <w:t></w:t>
      </w:r>
      <w:r>
        <w:rPr/>
        <w:tab/>
        <w:t>All other information remains the same; ECG may now be recorded</w:t>
      </w:r>
    </w:p>
    <w:p>
      <w:pPr>
        <w:pStyle w:val="Number11"/>
        <w:rPr/>
      </w:pPr>
      <w:r>
        <w:rPr/>
      </w:r>
    </w:p>
    <w:p>
      <w:pPr>
        <w:pStyle w:val="Number1body"/>
        <w:rPr/>
      </w:pPr>
      <w:r>
        <w:rPr/>
        <w:t xml:space="preserve">Use the First Name Field to denote the sequence of the ECG.  For repeat or unscheduled ECGs, enter the word “repeat” or “unscheduled.” Inspect the record immediately for quality. Repeat the recording if you spot any quality problems.  </w:t>
      </w:r>
    </w:p>
    <w:p>
      <w:pPr>
        <w:pStyle w:val="Number11"/>
        <w:rPr/>
      </w:pPr>
      <w:r>
        <w:rPr/>
      </w:r>
    </w:p>
    <w:p>
      <w:pPr>
        <w:pStyle w:val="Number1"/>
        <w:rPr/>
      </w:pPr>
      <w:r>
        <w:rPr/>
        <w:tab/>
        <w:t>8.</w:t>
        <w:tab/>
      </w:r>
      <w:r>
        <w:rPr>
          <w:u w:val="single"/>
        </w:rPr>
        <w:t>Examples of Technical Problems with ECG Recordings</w:t>
      </w:r>
      <w:r>
        <w:rPr/>
        <w:t xml:space="preserve"> (Refer to Figures 6a–g.)</w:t>
      </w:r>
    </w:p>
    <w:p>
      <w:pPr>
        <w:pStyle w:val="Number1bodybullet"/>
        <w:rPr/>
      </w:pPr>
      <w:r>
        <w:rPr/>
      </w:r>
    </w:p>
    <w:p>
      <w:pPr>
        <w:pStyle w:val="Number1bodybullet"/>
        <w:ind w:left="1350" w:hanging="450"/>
        <w:rPr/>
      </w:pPr>
      <w:r>
        <w:rPr>
          <w:b/>
        </w:rPr>
        <w:t>6a</w:t>
        <w:tab/>
        <w:t>Excessive Baseline Drift</w:t>
      </w:r>
      <w:r>
        <w:rPr/>
        <w:t xml:space="preserve"> occurs if the participant is moving around or there is tension on the lead wires.  Ask the participant to lie still for a few seconds. Drift in excess of 1 mm between baseline points (QRS onset) of any two successive complexes is a sign of excessive drift.</w:t>
      </w:r>
    </w:p>
    <w:p>
      <w:pPr>
        <w:pStyle w:val="Number1bodybullet"/>
        <w:ind w:left="1350" w:hanging="450"/>
        <w:rPr/>
      </w:pPr>
      <w:r>
        <w:rPr>
          <w:b/>
        </w:rPr>
        <w:t>6b</w:t>
        <w:tab/>
        <w:t xml:space="preserve">Excessive Muscle Noise/Electrodes Falling Off </w:t>
      </w:r>
      <w:r>
        <w:rPr/>
        <w:t>can occur when the participant is tense and/or cold. Use a blanket to cover the participant.  Check the Acquisition Module to ensure that the wires are not pulling.  Be sure to establish a good electrode connection. Lay a towel across the wires, if necessary. Adjusting the angle of the clip at the electrode often helps. You may need to tape down the chest leads (use only hypoallergenic medical tape to prevent allergic reactions). Use a U loop with the electrode wires, i.e., the wire should not cross but remain open like a U; never loop the wires.</w:t>
      </w:r>
    </w:p>
    <w:p>
      <w:pPr>
        <w:pStyle w:val="Number1bodybullet"/>
        <w:ind w:left="1350" w:hanging="450"/>
        <w:rPr/>
      </w:pPr>
      <w:r>
        <w:rPr>
          <w:b/>
        </w:rPr>
        <w:t>6c</w:t>
        <w:tab/>
        <w:t>Motion Artifacts</w:t>
      </w:r>
      <w:r>
        <w:rPr/>
        <w:t xml:space="preserve"> indicate loose electrodes. This may cause sudden jumps in some ECG leads. Check each electrode to ensure that it is secure. Periodic 60 HZ noise is sometimes visible in the record. This may be caused by poor electrode contact, faulty grounding, or AC interference from a nearby machine. Make a visual check of this before recording the ECG.  </w:t>
      </w:r>
      <w:r>
        <w:rPr>
          <w:i/>
        </w:rPr>
        <w:t xml:space="preserve">Note: </w:t>
      </w:r>
      <w:r>
        <w:rPr/>
        <w:t xml:space="preserve">Jewelry does not cause 60 HZ noise.  </w:t>
      </w:r>
    </w:p>
    <w:p>
      <w:pPr>
        <w:pStyle w:val="Number1bodybullet"/>
        <w:ind w:left="1350" w:hanging="450"/>
        <w:rPr/>
      </w:pPr>
      <w:r>
        <w:rPr>
          <w:b/>
        </w:rPr>
        <w:t>6d</w:t>
        <w:tab/>
        <w:t>RA/RL Reversal</w:t>
      </w:r>
      <w:r>
        <w:rPr>
          <w:bCs/>
        </w:rPr>
        <w:t>.</w:t>
      </w:r>
      <w:r>
        <w:rPr>
          <w:b/>
        </w:rPr>
        <w:t xml:space="preserve"> </w:t>
      </w:r>
      <w:r>
        <w:rPr>
          <w:bCs/>
        </w:rPr>
        <w:t xml:space="preserve">This ECG </w:t>
      </w:r>
      <w:r>
        <w:rPr/>
        <w:t>shows Lead II is flat. Check each ECG before disconnecting the participant. Check the Limb Lead connections.</w:t>
      </w:r>
    </w:p>
    <w:p>
      <w:pPr>
        <w:pStyle w:val="Number1bodybullet"/>
        <w:ind w:left="1350" w:hanging="450"/>
        <w:rPr>
          <w:b/>
          <w:b/>
        </w:rPr>
      </w:pPr>
      <w:r>
        <w:rPr>
          <w:b/>
        </w:rPr>
        <w:t>6e</w:t>
        <w:tab/>
        <w:t>RA/LA Lead Reversal</w:t>
      </w:r>
      <w:r>
        <w:rPr>
          <w:bCs/>
        </w:rPr>
        <w:t xml:space="preserve">. </w:t>
      </w:r>
      <w:r>
        <w:rPr/>
        <w:t>P,Q,R,S,T are portrayed upside-down.</w:t>
      </w:r>
    </w:p>
    <w:p>
      <w:pPr>
        <w:pStyle w:val="Number1bodybullet"/>
        <w:ind w:left="1350" w:hanging="450"/>
        <w:rPr/>
      </w:pPr>
      <w:r>
        <w:rPr>
          <w:b/>
        </w:rPr>
        <w:t>6f</w:t>
        <w:tab/>
        <w:t>Suspect V1/V3 or V2/V3 Lead Reversal</w:t>
      </w:r>
      <w:r>
        <w:rPr>
          <w:bCs/>
        </w:rPr>
        <w:t>.</w:t>
      </w:r>
      <w:r>
        <w:rPr>
          <w:b/>
        </w:rPr>
        <w:t xml:space="preserve"> </w:t>
      </w:r>
      <w:r>
        <w:rPr/>
        <w:t xml:space="preserve">The positive QRS deflection in </w:t>
      </w:r>
      <w:r>
        <w:rPr>
          <w:b/>
        </w:rPr>
        <w:t>V3</w:t>
      </w:r>
      <w:r>
        <w:rPr/>
        <w:t xml:space="preserve"> is smaller than in </w:t>
      </w:r>
      <w:r>
        <w:rPr>
          <w:b/>
        </w:rPr>
        <w:t>V1</w:t>
      </w:r>
      <w:r>
        <w:rPr/>
        <w:t xml:space="preserve"> or </w:t>
      </w:r>
      <w:r>
        <w:rPr>
          <w:b/>
        </w:rPr>
        <w:t>V2</w:t>
      </w:r>
      <w:r>
        <w:rPr>
          <w:bCs/>
        </w:rPr>
        <w:t>.</w:t>
      </w:r>
    </w:p>
    <w:p>
      <w:pPr>
        <w:pStyle w:val="Number1bodybullet"/>
        <w:ind w:left="1350" w:hanging="450"/>
        <w:rPr/>
      </w:pPr>
      <w:r>
        <w:rPr>
          <w:b/>
        </w:rPr>
        <w:t>6g</w:t>
        <w:tab/>
        <w:t>Correct Sequence from V1–V6</w:t>
      </w:r>
      <w:r>
        <w:rPr>
          <w:bCs/>
        </w:rPr>
        <w:t xml:space="preserve">. </w:t>
      </w:r>
      <w:r>
        <w:rPr/>
        <w:t>This is an example of an ECG with the correct connections to each electrode location.</w:t>
      </w:r>
    </w:p>
    <w:p>
      <w:pPr>
        <w:pStyle w:val="Normal"/>
        <w:rPr>
          <w:rFonts w:ascii="Arial;Arial" w:hAnsi="Arial;Arial" w:cs="Arial;Arial"/>
        </w:rPr>
      </w:pPr>
      <w:r>
        <w:rPr>
          <w:rFonts w:cs="Arial;Arial" w:ascii="Arial;Arial" w:hAnsi="Arial;Arial"/>
        </w:rPr>
      </w:r>
    </w:p>
    <w:p>
      <w:pPr>
        <w:pStyle w:val="Romanbold"/>
        <w:rPr/>
      </w:pPr>
      <w:r>
        <w:rPr/>
        <w:tab/>
        <w:t>VI.</w:t>
        <w:tab/>
        <w:t>Transmitting ECGs from MESA Clinics to the CERC</w:t>
      </w:r>
    </w:p>
    <w:p>
      <w:pPr>
        <w:pStyle w:val="Normal"/>
        <w:rPr>
          <w:rFonts w:ascii="Arial;Arial" w:hAnsi="Arial;Arial" w:cs="Arial;Arial"/>
        </w:rPr>
      </w:pPr>
      <w:r>
        <w:rPr>
          <w:rFonts w:cs="Arial;Arial" w:ascii="Arial;Arial" w:hAnsi="Arial;Arial"/>
        </w:rPr>
      </w:r>
    </w:p>
    <w:p>
      <w:pPr>
        <w:pStyle w:val="Romanbodybullet"/>
        <w:rPr/>
      </w:pPr>
      <w:r>
        <w:rPr>
          <w:rFonts w:eastAsia="Symbol" w:cs="Symbol" w:ascii="Symbol" w:hAnsi="Symbol"/>
        </w:rPr>
        <w:t></w:t>
      </w:r>
      <w:r>
        <w:rPr/>
        <w:tab/>
        <w:t>Check your Communication SETUP (see Section IV.4, “Communication Setup”).</w:t>
      </w:r>
    </w:p>
    <w:p>
      <w:pPr>
        <w:pStyle w:val="Romanbodybullet"/>
        <w:rPr/>
      </w:pPr>
      <w:r>
        <w:rPr>
          <w:rFonts w:eastAsia="Symbol" w:cs="Symbol" w:ascii="Symbol" w:hAnsi="Symbol"/>
        </w:rPr>
        <w:t></w:t>
      </w:r>
      <w:r>
        <w:rPr/>
        <w:tab/>
        <w:t>Telephone number: (336) 716-1248.</w:t>
      </w:r>
    </w:p>
    <w:p>
      <w:pPr>
        <w:pStyle w:val="Romanbodybullet"/>
        <w:rPr/>
      </w:pPr>
      <w:r>
        <w:rPr>
          <w:rFonts w:eastAsia="Symbol" w:cs="Symbol" w:ascii="Symbol" w:hAnsi="Symbol"/>
        </w:rPr>
        <w:t></w:t>
      </w:r>
      <w:r>
        <w:rPr/>
        <w:tab/>
        <w:t>If you do not have an authorization number to get an outside line, you must have a dedicated line installed. Fax lines work well.</w:t>
      </w:r>
    </w:p>
    <w:p>
      <w:pPr>
        <w:pStyle w:val="Romanbodybullet"/>
        <w:rPr/>
      </w:pPr>
      <w:r>
        <w:rPr>
          <w:rFonts w:eastAsia="Symbol" w:cs="Symbol" w:ascii="Symbol" w:hAnsi="Symbol"/>
        </w:rPr>
        <w:t></w:t>
      </w:r>
      <w:r>
        <w:rPr/>
        <w:tab/>
        <w:t>Visually check all ECGs on LCD to ensure correct participant information.</w:t>
      </w:r>
    </w:p>
    <w:p>
      <w:pPr>
        <w:pStyle w:val="Romanbodybullet"/>
        <w:rPr/>
      </w:pPr>
      <w:r>
        <w:rPr>
          <w:rFonts w:eastAsia="Symbol" w:cs="Symbol" w:ascii="Symbol" w:hAnsi="Symbol"/>
        </w:rPr>
        <w:t></w:t>
      </w:r>
      <w:r>
        <w:rPr/>
        <w:tab/>
        <w:t xml:space="preserve">Press </w:t>
      </w:r>
      <w:r>
        <w:rPr>
          <w:smallCaps/>
        </w:rPr>
        <w:t>shift</w:t>
      </w:r>
      <w:r>
        <w:rPr/>
        <w:t>; Store/Retrieve (the menu has an option to Delete/Change/Send)</w:t>
      </w:r>
    </w:p>
    <w:p>
      <w:pPr>
        <w:pStyle w:val="Romanbodybullet"/>
        <w:rPr/>
      </w:pPr>
      <w:r>
        <w:rPr>
          <w:rFonts w:eastAsia="Symbol" w:cs="Symbol" w:ascii="Symbol" w:hAnsi="Symbol"/>
        </w:rPr>
        <w:t></w:t>
      </w:r>
      <w:r>
        <w:rPr/>
        <w:tab/>
        <w:t xml:space="preserve">Press </w:t>
      </w:r>
      <w:r>
        <w:rPr>
          <w:smallCaps/>
        </w:rPr>
        <w:t>send</w:t>
      </w:r>
      <w:r>
        <w:rPr/>
        <w:t xml:space="preserve"> (you will have the option to send one ECG or all of the ECGs on your LCD)</w:t>
      </w:r>
    </w:p>
    <w:p>
      <w:pPr>
        <w:pStyle w:val="Romanbodybullet"/>
        <w:rPr>
          <w:b/>
          <w:b/>
        </w:rPr>
      </w:pPr>
      <w:r>
        <w:rPr>
          <w:rFonts w:eastAsia="Symbol" w:cs="Symbol" w:ascii="Symbol" w:hAnsi="Symbol"/>
          <w:bCs/>
        </w:rPr>
        <w:t></w:t>
      </w:r>
      <w:r>
        <w:rPr>
          <w:b/>
        </w:rPr>
        <w:tab/>
      </w:r>
      <w:r>
        <w:rPr>
          <w:bCs/>
          <w:i/>
          <w:iCs/>
        </w:rPr>
        <w:t>Do NOT delete ECGs until you have confirmation of receipt of ECGs from the CERC.</w:t>
      </w:r>
    </w:p>
    <w:p>
      <w:pPr>
        <w:pStyle w:val="Normal"/>
        <w:rPr>
          <w:rFonts w:ascii="Arial;Arial" w:hAnsi="Arial;Arial" w:cs="Arial;Arial"/>
          <w:b/>
          <w:b/>
        </w:rPr>
      </w:pPr>
      <w:r>
        <w:rPr>
          <w:rFonts w:cs="Arial;Arial" w:ascii="Arial;Arial" w:hAnsi="Arial;Arial"/>
          <w:b/>
        </w:rPr>
      </w:r>
    </w:p>
    <w:p>
      <w:pPr>
        <w:pStyle w:val="Romanbody"/>
        <w:rPr>
          <w:b/>
          <w:b/>
          <w:bCs/>
        </w:rPr>
      </w:pPr>
      <w:r>
        <w:rPr>
          <w:b/>
          <w:bCs/>
        </w:rPr>
        <w:t>If you have problems, please refer first to your MAC1200 Operations Manual for more detailed instructions for transmitting before contacting the CERC at EPICARE.</w:t>
      </w:r>
    </w:p>
    <w:p>
      <w:pPr>
        <w:pStyle w:val="Normal"/>
        <w:rPr>
          <w:rFonts w:ascii="Arial;Arial" w:hAnsi="Arial;Arial" w:cs="Arial;Arial"/>
          <w:b/>
          <w:b/>
          <w:bCs/>
        </w:rPr>
      </w:pPr>
      <w:r>
        <w:rPr>
          <w:rFonts w:cs="Arial;Arial" w:ascii="Arial;Arial" w:hAnsi="Arial;Arial"/>
          <w:b/>
          <w:bCs/>
        </w:rPr>
      </w:r>
    </w:p>
    <w:p>
      <w:pPr>
        <w:pStyle w:val="Romanbold"/>
        <w:rPr/>
      </w:pPr>
      <w:r>
        <w:rPr/>
        <w:tab/>
        <w:t>VII.</w:t>
        <w:tab/>
        <w:t>Certification/Recertification Procedures</w:t>
      </w:r>
    </w:p>
    <w:p>
      <w:pPr>
        <w:pStyle w:val="Normal"/>
        <w:rPr>
          <w:rFonts w:ascii="Arial;Arial" w:hAnsi="Arial;Arial" w:cs="Arial;Arial"/>
        </w:rPr>
      </w:pPr>
      <w:r>
        <w:rPr>
          <w:rFonts w:cs="Arial;Arial" w:ascii="Arial;Arial" w:hAnsi="Arial;Arial"/>
        </w:rPr>
      </w:r>
    </w:p>
    <w:p>
      <w:pPr>
        <w:pStyle w:val="Number1"/>
        <w:rPr/>
      </w:pPr>
      <w:r>
        <w:rPr/>
        <w:tab/>
        <w:t>1.</w:t>
        <w:tab/>
      </w:r>
      <w:r>
        <w:rPr>
          <w:u w:val="single"/>
        </w:rPr>
        <w:t>Certification Procedures from CERC</w:t>
      </w:r>
    </w:p>
    <w:p>
      <w:pPr>
        <w:pStyle w:val="Normal"/>
        <w:rPr>
          <w:rFonts w:ascii="Arial;Arial" w:hAnsi="Arial;Arial" w:cs="Arial;Arial"/>
        </w:rPr>
      </w:pPr>
      <w:r>
        <w:rPr>
          <w:rFonts w:cs="Arial;Arial" w:ascii="Arial;Arial" w:hAnsi="Arial;Arial"/>
        </w:rPr>
      </w:r>
    </w:p>
    <w:p>
      <w:pPr>
        <w:pStyle w:val="Number1body"/>
        <w:rPr/>
      </w:pPr>
      <w:r>
        <w:rPr/>
        <w:t>Each technician must record five (5) good quality ECGs, with the following specifications:</w:t>
      </w:r>
    </w:p>
    <w:p>
      <w:pPr>
        <w:pStyle w:val="Number1body"/>
        <w:rPr/>
      </w:pPr>
      <w:r>
        <w:rPr/>
      </w:r>
    </w:p>
    <w:p>
      <w:pPr>
        <w:pStyle w:val="Normal"/>
        <w:tabs>
          <w:tab w:val="clear" w:pos="720"/>
          <w:tab w:val="right" w:pos="2070" w:leader="none"/>
        </w:tabs>
        <w:ind w:left="2430" w:hanging="2430"/>
        <w:rPr/>
      </w:pPr>
      <w:r>
        <w:rPr/>
        <w:tab/>
        <w:t>Last Name:</w:t>
        <w:tab/>
        <w:t>Technician’s Last Name</w:t>
      </w:r>
    </w:p>
    <w:p>
      <w:pPr>
        <w:pStyle w:val="Normal"/>
        <w:tabs>
          <w:tab w:val="clear" w:pos="720"/>
          <w:tab w:val="right" w:pos="2070" w:leader="none"/>
        </w:tabs>
        <w:ind w:left="2430" w:hanging="2430"/>
        <w:rPr/>
      </w:pPr>
      <w:r>
        <w:rPr/>
        <w:tab/>
        <w:t xml:space="preserve">First Name: </w:t>
        <w:tab/>
        <w:t>Technician’s First Name</w:t>
      </w:r>
    </w:p>
    <w:p>
      <w:pPr>
        <w:pStyle w:val="Normal"/>
        <w:tabs>
          <w:tab w:val="clear" w:pos="720"/>
          <w:tab w:val="right" w:pos="2070" w:leader="none"/>
        </w:tabs>
        <w:ind w:left="2430" w:hanging="2430"/>
        <w:rPr/>
      </w:pPr>
      <w:r>
        <w:rPr/>
        <w:tab/>
        <w:t>ID:</w:t>
        <w:tab/>
        <w:t>999999999</w:t>
      </w:r>
    </w:p>
    <w:p>
      <w:pPr>
        <w:pStyle w:val="Normal"/>
        <w:tabs>
          <w:tab w:val="clear" w:pos="720"/>
          <w:tab w:val="right" w:pos="2070" w:leader="none"/>
        </w:tabs>
        <w:ind w:left="2430" w:hanging="2430"/>
        <w:rPr/>
      </w:pPr>
      <w:r>
        <w:rPr/>
        <w:tab/>
        <w:t>Location:</w:t>
        <w:tab/>
        <w:t>Correct Cart ID (refer to the table below)</w:t>
      </w:r>
    </w:p>
    <w:p>
      <w:pPr>
        <w:pStyle w:val="Normal"/>
        <w:tabs>
          <w:tab w:val="clear" w:pos="720"/>
          <w:tab w:val="right" w:pos="2070" w:leader="none"/>
        </w:tabs>
        <w:ind w:left="2430" w:hanging="2430"/>
        <w:rPr/>
      </w:pPr>
      <w:r>
        <w:rPr/>
      </w:r>
    </w:p>
    <w:tbl>
      <w:tblPr>
        <w:tblW w:w="5850" w:type="dxa"/>
        <w:jc w:val="left"/>
        <w:tblInd w:w="2415" w:type="dxa"/>
        <w:tblLayout w:type="fixed"/>
        <w:tblCellMar>
          <w:top w:w="0" w:type="dxa"/>
          <w:left w:w="108" w:type="dxa"/>
          <w:bottom w:w="0" w:type="dxa"/>
          <w:right w:w="108" w:type="dxa"/>
        </w:tblCellMar>
      </w:tblPr>
      <w:tblGrid>
        <w:gridCol w:w="1710"/>
        <w:gridCol w:w="2070"/>
        <w:gridCol w:w="2070"/>
      </w:tblGrid>
      <w:tr>
        <w:trPr/>
        <w:tc>
          <w:tcPr>
            <w:tcW w:w="1710" w:type="dxa"/>
            <w:tcBorders>
              <w:top w:val="single" w:sz="12" w:space="0" w:color="000000"/>
              <w:left w:val="single" w:sz="12" w:space="0" w:color="000000"/>
              <w:bottom w:val="single" w:sz="12" w:space="0" w:color="000000"/>
              <w:right w:val="single" w:sz="12" w:space="0" w:color="000000"/>
            </w:tcBorders>
          </w:tcPr>
          <w:p>
            <w:pPr>
              <w:pStyle w:val="Header"/>
              <w:tabs>
                <w:tab w:val="clear" w:pos="4320"/>
                <w:tab w:val="clear" w:pos="8640"/>
                <w:tab w:val="right" w:pos="2610" w:leader="none"/>
              </w:tabs>
              <w:jc w:val="center"/>
              <w:rPr>
                <w:rFonts w:ascii="Arial;Arial" w:hAnsi="Arial;Arial" w:cs="Arial;Arial"/>
                <w:b/>
                <w:b/>
                <w:bCs/>
              </w:rPr>
            </w:pPr>
            <w:r>
              <w:rPr>
                <w:rFonts w:cs="Arial;Arial" w:ascii="Arial;Arial" w:hAnsi="Arial;Arial"/>
                <w:b/>
                <w:bCs/>
              </w:rPr>
              <w:t>Site</w:t>
            </w:r>
          </w:p>
        </w:tc>
        <w:tc>
          <w:tcPr>
            <w:tcW w:w="2070" w:type="dxa"/>
            <w:tcBorders>
              <w:top w:val="single" w:sz="12" w:space="0" w:color="000000"/>
              <w:left w:val="single" w:sz="12" w:space="0" w:color="000000"/>
              <w:bottom w:val="single" w:sz="12" w:space="0" w:color="000000"/>
              <w:right w:val="single" w:sz="12" w:space="0" w:color="000000"/>
            </w:tcBorders>
          </w:tcPr>
          <w:p>
            <w:pPr>
              <w:pStyle w:val="Normal"/>
              <w:tabs>
                <w:tab w:val="clear" w:pos="720"/>
                <w:tab w:val="right" w:pos="2610" w:leader="none"/>
              </w:tabs>
              <w:jc w:val="center"/>
              <w:rPr/>
            </w:pPr>
            <w:r>
              <w:rPr>
                <w:rFonts w:cs="Arial;Arial" w:ascii="Arial;Arial" w:hAnsi="Arial;Arial"/>
                <w:b/>
                <w:bCs/>
              </w:rPr>
              <w:t>1</w:t>
            </w:r>
            <w:r>
              <w:rPr>
                <w:rFonts w:cs="Arial;Arial" w:ascii="Arial;Arial" w:hAnsi="Arial;Arial"/>
                <w:b/>
                <w:bCs/>
                <w:vertAlign w:val="superscript"/>
              </w:rPr>
              <w:t>st</w:t>
            </w:r>
            <w:r>
              <w:rPr>
                <w:rFonts w:cs="Arial;Arial" w:ascii="Arial;Arial" w:hAnsi="Arial;Arial"/>
                <w:b/>
                <w:bCs/>
              </w:rPr>
              <w:t xml:space="preserve"> MAC 1200</w:t>
            </w:r>
          </w:p>
        </w:tc>
        <w:tc>
          <w:tcPr>
            <w:tcW w:w="2070" w:type="dxa"/>
            <w:tcBorders>
              <w:top w:val="single" w:sz="12" w:space="0" w:color="000000"/>
              <w:left w:val="single" w:sz="12" w:space="0" w:color="000000"/>
              <w:bottom w:val="single" w:sz="12" w:space="0" w:color="000000"/>
              <w:right w:val="single" w:sz="12" w:space="0" w:color="000000"/>
            </w:tcBorders>
          </w:tcPr>
          <w:p>
            <w:pPr>
              <w:pStyle w:val="Normal"/>
              <w:tabs>
                <w:tab w:val="clear" w:pos="720"/>
                <w:tab w:val="right" w:pos="2610" w:leader="none"/>
              </w:tabs>
              <w:jc w:val="center"/>
              <w:rPr/>
            </w:pPr>
            <w:r>
              <w:rPr>
                <w:rFonts w:cs="Arial;Arial" w:ascii="Arial;Arial" w:hAnsi="Arial;Arial"/>
                <w:b/>
                <w:bCs/>
              </w:rPr>
              <w:t>2</w:t>
            </w:r>
            <w:r>
              <w:rPr>
                <w:rFonts w:cs="Arial;Arial" w:ascii="Arial;Arial" w:hAnsi="Arial;Arial"/>
                <w:b/>
                <w:bCs/>
                <w:vertAlign w:val="superscript"/>
              </w:rPr>
              <w:t>nd</w:t>
            </w:r>
            <w:r>
              <w:rPr>
                <w:rFonts w:cs="Arial;Arial" w:ascii="Arial;Arial" w:hAnsi="Arial;Arial"/>
                <w:b/>
                <w:bCs/>
              </w:rPr>
              <w:t xml:space="preserve"> MAC 1200</w:t>
            </w:r>
          </w:p>
        </w:tc>
      </w:tr>
      <w:tr>
        <w:trPr/>
        <w:tc>
          <w:tcPr>
            <w:tcW w:w="171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Wake Forest</w:t>
            </w:r>
          </w:p>
        </w:tc>
        <w:tc>
          <w:tcPr>
            <w:tcW w:w="207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31</w:t>
            </w:r>
          </w:p>
        </w:tc>
        <w:tc>
          <w:tcPr>
            <w:tcW w:w="207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32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Columbia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41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42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Johns Hopkins</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51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52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Minnesota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61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62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Northwestern</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Loyola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73</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74</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UCLA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81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82</w:t>
            </w:r>
          </w:p>
        </w:tc>
      </w:tr>
    </w:tbl>
    <w:p>
      <w:pPr>
        <w:pStyle w:val="Normal"/>
        <w:tabs>
          <w:tab w:val="clear" w:pos="720"/>
          <w:tab w:val="right" w:pos="2610" w:leader="none"/>
        </w:tabs>
        <w:ind w:left="3330" w:hanging="3330"/>
        <w:rPr/>
      </w:pPr>
      <w:r>
        <w:rPr/>
      </w:r>
    </w:p>
    <w:p>
      <w:pPr>
        <w:pStyle w:val="Normal"/>
        <w:tabs>
          <w:tab w:val="clear" w:pos="720"/>
          <w:tab w:val="right" w:pos="2070" w:leader="none"/>
        </w:tabs>
        <w:ind w:left="2430" w:hanging="2430"/>
        <w:rPr/>
      </w:pPr>
      <w:r>
        <w:rPr/>
        <w:tab/>
        <w:t>Referred by:</w:t>
        <w:tab/>
        <w:t>MESA/ Certification</w:t>
      </w:r>
    </w:p>
    <w:p>
      <w:pPr>
        <w:pStyle w:val="Normal"/>
        <w:tabs>
          <w:tab w:val="clear" w:pos="720"/>
          <w:tab w:val="right" w:pos="2610" w:leader="none"/>
        </w:tabs>
        <w:ind w:left="3330" w:hanging="3330"/>
        <w:rPr/>
      </w:pPr>
      <w:r>
        <w:rPr/>
      </w:r>
    </w:p>
    <w:p>
      <w:pPr>
        <w:pStyle w:val="Number1body"/>
        <w:rPr/>
      </w:pPr>
      <w:r>
        <w:rPr/>
        <w:t>A certificate will be issued with the name as entered on the Certification ECGs. All ECG technicians must go through the certification process before they are allowed to record study ECGs.</w:t>
      </w:r>
    </w:p>
    <w:p>
      <w:pPr>
        <w:pStyle w:val="Number1body"/>
        <w:rPr/>
      </w:pPr>
      <w:r>
        <w:rPr/>
      </w:r>
    </w:p>
    <w:p>
      <w:pPr>
        <w:pStyle w:val="Number1"/>
        <w:rPr/>
      </w:pPr>
      <w:r>
        <w:rPr/>
        <w:tab/>
        <w:t>2.</w:t>
        <w:tab/>
      </w:r>
      <w:r>
        <w:rPr>
          <w:u w:val="single"/>
        </w:rPr>
        <w:t>Certification Requirements to be Completed by MESA Clinics</w:t>
      </w:r>
    </w:p>
    <w:p>
      <w:pPr>
        <w:pStyle w:val="Normal"/>
        <w:rPr>
          <w:rFonts w:ascii="Arial;Arial" w:hAnsi="Arial;Arial" w:cs="Arial;Arial"/>
        </w:rPr>
      </w:pPr>
      <w:r>
        <w:rPr>
          <w:rFonts w:cs="Arial;Arial" w:ascii="Arial;Arial" w:hAnsi="Arial;Arial"/>
        </w:rPr>
      </w:r>
    </w:p>
    <w:p>
      <w:pPr>
        <w:pStyle w:val="Number1body"/>
        <w:rPr/>
      </w:pPr>
      <w:r>
        <w:rPr/>
        <w:t>See Figures 8 and 9.</w:t>
      </w:r>
    </w:p>
    <w:p>
      <w:pPr>
        <w:pStyle w:val="Normal"/>
        <w:rPr>
          <w:rFonts w:ascii="Arial;Arial" w:hAnsi="Arial;Arial" w:cs="Arial;Arial"/>
          <w:b/>
          <w:b/>
        </w:rPr>
      </w:pPr>
      <w:r>
        <w:rPr>
          <w:rFonts w:cs="Arial;Arial" w:ascii="Arial;Arial" w:hAnsi="Arial;Arial"/>
          <w:b/>
        </w:rPr>
      </w:r>
    </w:p>
    <w:p>
      <w:pPr>
        <w:pStyle w:val="Number1"/>
        <w:rPr/>
      </w:pPr>
      <w:r>
        <w:rPr/>
        <w:tab/>
        <w:t>3.</w:t>
        <w:tab/>
      </w:r>
      <w:r>
        <w:rPr>
          <w:u w:val="single"/>
        </w:rPr>
        <w:t>Recertification Procedures</w:t>
      </w:r>
    </w:p>
    <w:p>
      <w:pPr>
        <w:pStyle w:val="Normal"/>
        <w:rPr>
          <w:rFonts w:ascii="Arial;Arial" w:hAnsi="Arial;Arial" w:cs="Arial;Arial"/>
        </w:rPr>
      </w:pPr>
      <w:r>
        <w:rPr>
          <w:rFonts w:cs="Arial;Arial" w:ascii="Arial;Arial" w:hAnsi="Arial;Arial"/>
        </w:rPr>
      </w:r>
    </w:p>
    <w:p>
      <w:pPr>
        <w:pStyle w:val="Number1body"/>
        <w:rPr/>
      </w:pPr>
      <w:r>
        <w:rPr/>
        <w:t>Recertification will be required every two years and will follow exactly the certification requirements set out in Section VII.1, “Certification Procedures from CERC.”</w:t>
      </w:r>
    </w:p>
    <w:p>
      <w:pPr>
        <w:pStyle w:val="Number1body"/>
        <w:rPr>
          <w:b/>
          <w:b/>
        </w:rPr>
      </w:pPr>
      <w:r>
        <w:rPr>
          <w:b/>
        </w:rPr>
      </w:r>
    </w:p>
    <w:p>
      <w:pPr>
        <w:pStyle w:val="Heading3"/>
        <w:jc w:val="center"/>
        <w:rPr>
          <w:b/>
          <w:b/>
          <w:bCs/>
        </w:rPr>
      </w:pPr>
      <w:r>
        <w:rPr>
          <w:b/>
          <w:bCs/>
        </w:rPr>
        <w:t>SUMMARY OF ECG ACQUISITION AND TRANSMISSION</w:t>
      </w:r>
    </w:p>
    <w:p>
      <w:pPr>
        <w:pStyle w:val="Normal"/>
        <w:rPr>
          <w:b/>
          <w:b/>
          <w:bCs/>
        </w:rPr>
      </w:pPr>
      <w:r>
        <w:rPr>
          <w:b/>
          <w:bCs/>
        </w:rPr>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Call the CERC with questions regarding ECG recording procedures. Leave a detailed message with your name, study name, telephone number, and the ID in question.</w:t>
      </w:r>
    </w:p>
    <w:p>
      <w:pPr>
        <w:pStyle w:val="Normal"/>
        <w:tabs>
          <w:tab w:val="clear" w:pos="720"/>
          <w:tab w:val="right" w:pos="1080" w:leader="none"/>
        </w:tabs>
        <w:ind w:left="1260" w:right="990" w:hanging="1260"/>
        <w:rPr/>
      </w:pPr>
      <w:r>
        <w:rPr/>
        <w:tab/>
      </w:r>
      <w:r>
        <w:rPr>
          <w:rFonts w:eastAsia="Symbol" w:cs="Symbol" w:ascii="Symbol" w:hAnsi="Symbol"/>
        </w:rPr>
        <w:t></w:t>
      </w:r>
      <w:r>
        <w:rPr/>
        <w:tab/>
        <w:t>Always keep a record of the ECGs transmitted to the CERC in your ECG Log.</w:t>
      </w:r>
    </w:p>
    <w:p>
      <w:pPr>
        <w:pStyle w:val="Normal"/>
        <w:tabs>
          <w:tab w:val="clear" w:pos="720"/>
          <w:tab w:val="right" w:pos="1080" w:leader="none"/>
        </w:tabs>
        <w:ind w:left="1260" w:right="990" w:hanging="1260"/>
        <w:rPr/>
      </w:pPr>
      <w:r>
        <w:rPr/>
        <w:tab/>
      </w:r>
      <w:r>
        <w:rPr>
          <w:rFonts w:eastAsia="Symbol" w:cs="Symbol" w:ascii="Symbol" w:hAnsi="Symbol"/>
        </w:rPr>
        <w:t></w:t>
      </w:r>
      <w:r>
        <w:rPr/>
        <w:tab/>
        <w:t>Always observe the Liquid Crystal Display (LCD) and check technical quality/lead reversals before recording the ECG.</w:t>
      </w:r>
    </w:p>
    <w:p>
      <w:pPr>
        <w:pStyle w:val="Normal"/>
        <w:tabs>
          <w:tab w:val="clear" w:pos="720"/>
          <w:tab w:val="right" w:pos="1080" w:leader="none"/>
        </w:tabs>
        <w:ind w:left="1260" w:right="990" w:hanging="1260"/>
        <w:rPr/>
      </w:pPr>
      <w:r>
        <w:rPr/>
        <w:tab/>
      </w:r>
      <w:r>
        <w:rPr>
          <w:rFonts w:eastAsia="Symbol" w:cs="Symbol" w:ascii="Symbol" w:hAnsi="Symbol"/>
        </w:rPr>
        <w:t></w:t>
      </w:r>
      <w:r>
        <w:rPr/>
        <w:tab/>
        <w:t>Observe ECG on the LCD until a good quality, clean signal appears before collecting the data (i.e., before pressing 12-lead).</w:t>
      </w:r>
    </w:p>
    <w:p>
      <w:pPr>
        <w:pStyle w:val="Normal"/>
        <w:tabs>
          <w:tab w:val="clear" w:pos="720"/>
          <w:tab w:val="right" w:pos="1080" w:leader="none"/>
        </w:tabs>
        <w:ind w:left="1260" w:right="990" w:hanging="1260"/>
        <w:rPr/>
      </w:pPr>
      <w:r>
        <w:rPr/>
        <w:tab/>
      </w:r>
      <w:r>
        <w:rPr>
          <w:rFonts w:eastAsia="Symbol" w:cs="Symbol" w:ascii="Symbol" w:hAnsi="Symbol"/>
        </w:rPr>
        <w:t></w:t>
      </w:r>
      <w:r>
        <w:rPr/>
        <w:tab/>
        <w:t>Delete all duplicate ECGs (This does not mean first, second, or third ECGs required for MESA, but, rather, additional ECGs recorded because of poor quality).</w:t>
      </w:r>
    </w:p>
    <w:p>
      <w:pPr>
        <w:pStyle w:val="Normal"/>
        <w:tabs>
          <w:tab w:val="clear" w:pos="720"/>
          <w:tab w:val="right" w:pos="1080" w:leader="none"/>
        </w:tabs>
        <w:ind w:left="1260" w:right="990" w:hanging="1260"/>
        <w:rPr/>
      </w:pPr>
      <w:r>
        <w:rPr/>
        <w:tab/>
      </w:r>
      <w:r>
        <w:rPr>
          <w:rFonts w:eastAsia="Symbol" w:cs="Symbol" w:ascii="Symbol" w:hAnsi="Symbol"/>
        </w:rPr>
        <w:t></w:t>
      </w:r>
      <w:r>
        <w:rPr/>
        <w:tab/>
        <w:t>Check ECG participant data on the LCD to ensure that correct information is entered. Change/correct all incorrect information.</w:t>
      </w:r>
    </w:p>
    <w:p>
      <w:pPr>
        <w:pStyle w:val="Normal"/>
        <w:tabs>
          <w:tab w:val="clear" w:pos="720"/>
          <w:tab w:val="right" w:pos="1080" w:leader="none"/>
        </w:tabs>
        <w:ind w:left="1260" w:right="990" w:hanging="1260"/>
        <w:rPr/>
      </w:pPr>
      <w:r>
        <w:rPr/>
        <w:tab/>
      </w:r>
      <w:r>
        <w:rPr>
          <w:rFonts w:eastAsia="Symbol" w:cs="Symbol" w:ascii="Symbol" w:hAnsi="Symbol"/>
        </w:rPr>
        <w:t></w:t>
      </w:r>
      <w:r>
        <w:rPr/>
        <w:tab/>
        <w:t>Identify test and certification ECGs with ID #999999999.</w:t>
      </w:r>
    </w:p>
    <w:p>
      <w:pPr>
        <w:pStyle w:val="Normal"/>
        <w:tabs>
          <w:tab w:val="clear" w:pos="720"/>
          <w:tab w:val="right" w:pos="1080" w:leader="none"/>
        </w:tabs>
        <w:ind w:left="1260" w:right="990" w:hanging="1260"/>
        <w:rPr/>
      </w:pPr>
      <w:r>
        <w:rPr/>
        <w:tab/>
      </w:r>
      <w:r>
        <w:rPr>
          <w:rFonts w:eastAsia="Symbol" w:cs="Symbol" w:ascii="Symbol" w:hAnsi="Symbol"/>
        </w:rPr>
        <w:t></w:t>
      </w:r>
      <w:r>
        <w:rPr/>
        <w:tab/>
        <w:t>Transmit ECGs to the CERC.</w:t>
      </w:r>
    </w:p>
    <w:p>
      <w:pPr>
        <w:pStyle w:val="Normal"/>
        <w:tabs>
          <w:tab w:val="clear" w:pos="720"/>
          <w:tab w:val="right" w:pos="1080" w:leader="none"/>
        </w:tabs>
        <w:ind w:left="1260" w:right="990" w:hanging="1260"/>
        <w:rPr/>
      </w:pPr>
      <w:r>
        <w:rPr/>
        <w:tab/>
      </w:r>
      <w:r>
        <w:rPr>
          <w:rFonts w:eastAsia="Symbol" w:cs="Symbol" w:ascii="Symbol" w:hAnsi="Symbol"/>
        </w:rPr>
        <w:t></w:t>
      </w:r>
      <w:r>
        <w:rPr/>
        <w:tab/>
        <w:t>Initial and date all corrections that are faxed to CERC after transmission.</w:t>
      </w:r>
    </w:p>
    <w:p>
      <w:pPr>
        <w:pStyle w:val="Normal"/>
        <w:tabs>
          <w:tab w:val="clear" w:pos="720"/>
          <w:tab w:val="right" w:pos="1080" w:leader="none"/>
        </w:tabs>
        <w:ind w:left="1260" w:right="990" w:hanging="1260"/>
        <w:rPr/>
      </w:pPr>
      <w:r>
        <w:rPr/>
        <w:tab/>
      </w:r>
      <w:r>
        <w:rPr>
          <w:rFonts w:eastAsia="Symbol" w:cs="Symbol" w:ascii="Symbol" w:hAnsi="Symbol"/>
        </w:rPr>
        <w:t></w:t>
      </w:r>
      <w:r>
        <w:rPr/>
        <w:tab/>
        <w:t>Check SETUP every morning.</w:t>
      </w:r>
    </w:p>
    <w:p>
      <w:pPr>
        <w:pStyle w:val="Normal"/>
        <w:tabs>
          <w:tab w:val="clear" w:pos="720"/>
          <w:tab w:val="right" w:pos="1080" w:leader="none"/>
        </w:tabs>
        <w:ind w:left="1260" w:right="990" w:hanging="1260"/>
        <w:rPr/>
      </w:pPr>
      <w:r>
        <w:rPr/>
        <w:tab/>
      </w:r>
      <w:r>
        <w:rPr>
          <w:rFonts w:eastAsia="Symbol" w:cs="Symbol" w:ascii="Symbol" w:hAnsi="Symbol"/>
        </w:rPr>
        <w:t></w:t>
      </w:r>
      <w:r>
        <w:rPr/>
        <w:tab/>
        <w:t>Ensure that the correct site (= study) number (80) is entered for MESA.</w:t>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Read the GE/Marquette Operations Manuals for your MAC1200 and the modem.</w:t>
      </w:r>
    </w:p>
    <w:p>
      <w:pPr>
        <w:pStyle w:val="Normal"/>
        <w:tabs>
          <w:tab w:val="clear" w:pos="720"/>
          <w:tab w:val="right" w:pos="1080" w:leader="none"/>
        </w:tabs>
        <w:ind w:left="1260" w:right="990" w:hanging="1260"/>
        <w:rPr/>
      </w:pPr>
      <w:r>
        <w:rPr/>
        <w:tab/>
      </w:r>
      <w:r>
        <w:rPr>
          <w:rFonts w:eastAsia="Symbol" w:cs="Symbol" w:ascii="Symbol" w:hAnsi="Symbol"/>
        </w:rPr>
        <w:t></w:t>
      </w:r>
      <w:r>
        <w:rPr/>
        <w:tab/>
        <w:t>After recording ECG, clean residual paste from electrode area.</w:t>
      </w:r>
    </w:p>
    <w:p>
      <w:pPr>
        <w:pStyle w:val="Normal"/>
        <w:tabs>
          <w:tab w:val="clear" w:pos="720"/>
          <w:tab w:val="right" w:pos="1080" w:leader="none"/>
        </w:tabs>
        <w:ind w:left="1260" w:right="990" w:hanging="1260"/>
        <w:rPr/>
      </w:pPr>
      <w:r>
        <w:rPr/>
        <w:tab/>
      </w:r>
      <w:r>
        <w:rPr>
          <w:rFonts w:eastAsia="Symbol" w:cs="Symbol" w:ascii="Symbol" w:hAnsi="Symbol"/>
        </w:rPr>
        <w:t></w:t>
      </w:r>
      <w:r>
        <w:rPr/>
        <w:tab/>
        <w:t>Use baby oil</w:t>
      </w:r>
      <w:r>
        <w:rPr>
          <w:i/>
          <w:iCs/>
        </w:rPr>
        <w:t xml:space="preserve"> (only after)</w:t>
      </w:r>
      <w:r>
        <w:rPr/>
        <w:t xml:space="preserve"> recording ECG, if skin appears irritated or red.</w:t>
      </w:r>
    </w:p>
    <w:p>
      <w:pPr>
        <w:pStyle w:val="Normal"/>
        <w:tabs>
          <w:tab w:val="clear" w:pos="720"/>
          <w:tab w:val="right" w:pos="1080" w:leader="none"/>
        </w:tabs>
        <w:ind w:left="1260" w:right="990" w:hanging="1260"/>
        <w:rPr/>
      </w:pPr>
      <w:r>
        <w:rPr>
          <w:b/>
        </w:rPr>
        <w:tab/>
      </w:r>
      <w:r>
        <w:rPr>
          <w:rFonts w:eastAsia="Symbol" w:cs="Symbol" w:ascii="Symbol" w:hAnsi="Symbol"/>
          <w:bCs/>
          <w:i/>
          <w:iCs/>
        </w:rPr>
        <w:t></w:t>
      </w:r>
      <w:r>
        <w:rPr>
          <w:bCs/>
          <w:i/>
          <w:iCs/>
        </w:rPr>
        <w:tab/>
        <w:t>Use extreme caution in helping the participant off the bed or table.</w:t>
      </w:r>
    </w:p>
    <w:p>
      <w:pPr>
        <w:pStyle w:val="Normal"/>
        <w:tabs>
          <w:tab w:val="clear" w:pos="720"/>
          <w:tab w:val="right" w:pos="1080" w:leader="none"/>
        </w:tabs>
        <w:ind w:left="1260" w:right="990" w:hanging="1260"/>
        <w:rPr/>
      </w:pPr>
      <w:r>
        <w:rPr/>
        <w:tab/>
      </w:r>
      <w:r>
        <w:rPr>
          <w:rFonts w:eastAsia="Symbol" w:cs="Symbol" w:ascii="Symbol" w:hAnsi="Symbol"/>
        </w:rPr>
        <w:t></w:t>
      </w:r>
      <w:r>
        <w:rPr/>
        <w:tab/>
        <w:t xml:space="preserve">Delete recorded and stored ECGs </w:t>
      </w:r>
      <w:r>
        <w:rPr>
          <w:i/>
          <w:iCs/>
        </w:rPr>
        <w:t>only</w:t>
      </w:r>
      <w:r>
        <w:rPr/>
        <w:t xml:space="preserve"> when confirmation is received from the CERC.</w:t>
      </w:r>
    </w:p>
    <w:p>
      <w:pPr>
        <w:pStyle w:val="Normal"/>
        <w:tabs>
          <w:tab w:val="clear" w:pos="720"/>
          <w:tab w:val="right" w:pos="1080" w:leader="none"/>
        </w:tabs>
        <w:ind w:left="1260" w:right="990" w:hanging="1260"/>
        <w:rPr/>
      </w:pPr>
      <w:r>
        <w:rPr>
          <w:caps/>
        </w:rPr>
        <w:tab/>
      </w:r>
      <w:r>
        <w:rPr>
          <w:rFonts w:eastAsia="Symbol" w:cs="Symbol" w:ascii="Symbol" w:hAnsi="Symbol"/>
          <w:caps/>
        </w:rPr>
        <w:t></w:t>
      </w:r>
      <w:r>
        <w:rPr>
          <w:caps/>
        </w:rPr>
        <w:tab/>
      </w:r>
      <w:r>
        <w:rPr/>
        <w:t xml:space="preserve">The MAC1200 stores up to 35 ECGs; </w:t>
      </w:r>
      <w:r>
        <w:rPr>
          <w:i/>
          <w:iCs/>
        </w:rPr>
        <w:t xml:space="preserve">however, you should transmit ECGs every day. </w:t>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MESA clinics will be assigned specific times of the day for transmitting ECGs to EPICARE.</w:t>
      </w:r>
    </w:p>
    <w:p>
      <w:pPr>
        <w:pStyle w:val="Normal"/>
        <w:tabs>
          <w:tab w:val="clear" w:pos="720"/>
          <w:tab w:val="right" w:pos="1080" w:leader="none"/>
        </w:tabs>
        <w:ind w:left="1260" w:right="990" w:hanging="1260"/>
        <w:rPr/>
      </w:pPr>
      <w:r>
        <w:rPr/>
        <w:tab/>
      </w:r>
      <w:r>
        <w:rPr>
          <w:rFonts w:eastAsia="Symbol" w:cs="Symbol" w:ascii="Symbol" w:hAnsi="Symbol"/>
        </w:rPr>
        <w:t></w:t>
      </w:r>
      <w:r>
        <w:rPr/>
        <w:tab/>
        <w:t>Clean the ECG area and the HeartSquare with a damp cloth.</w:t>
      </w:r>
    </w:p>
    <w:p>
      <w:pPr>
        <w:pStyle w:val="Normal"/>
        <w:tabs>
          <w:tab w:val="clear" w:pos="720"/>
          <w:tab w:val="right" w:pos="1080" w:leader="none"/>
        </w:tabs>
        <w:ind w:left="1260" w:right="990" w:hanging="1260"/>
        <w:rPr>
          <w:caps/>
        </w:rPr>
      </w:pPr>
      <w:r>
        <w:rPr>
          <w:caps/>
        </w:rPr>
        <w:tab/>
      </w:r>
      <w:r>
        <w:rPr>
          <w:rFonts w:eastAsia="Symbol" w:cs="Symbol" w:ascii="Symbol" w:hAnsi="Symbol"/>
          <w:caps/>
        </w:rPr>
        <w:t></w:t>
      </w:r>
      <w:r>
        <w:rPr>
          <w:caps/>
        </w:rPr>
        <w:tab/>
      </w:r>
      <w:r>
        <w:rPr>
          <w:i/>
          <w:iCs/>
        </w:rPr>
        <w:t>Replenish supplies before they are depleted!</w:t>
      </w:r>
    </w:p>
    <w:p>
      <w:pPr>
        <w:pStyle w:val="Romanbold"/>
        <w:rPr>
          <w:b w:val="false"/>
          <w:b w:val="false"/>
          <w:bCs w:val="false"/>
          <w:caps w:val="false"/>
          <w:smallCaps w:val="false"/>
        </w:rPr>
      </w:pPr>
      <w:r>
        <w:rPr>
          <w:b w:val="false"/>
          <w:bCs w:val="false"/>
          <w:caps w:val="false"/>
          <w:smallCaps w:val="false"/>
        </w:rPr>
      </w:r>
    </w:p>
    <w:p>
      <w:pPr>
        <w:pStyle w:val="Romanbold"/>
        <w:rPr/>
      </w:pPr>
      <w:r>
        <w:rPr>
          <w:b w:val="false"/>
          <w:bCs w:val="false"/>
        </w:rPr>
        <w:tab/>
      </w:r>
      <w:r>
        <w:rPr/>
        <w:t>VIII.</w:t>
        <w:tab/>
        <w:t>ECG Processing</w:t>
      </w:r>
    </w:p>
    <w:p>
      <w:pPr>
        <w:pStyle w:val="Number1"/>
        <w:rPr>
          <w:b/>
          <w:b/>
          <w:bCs/>
          <w:caps/>
        </w:rPr>
      </w:pPr>
      <w:r>
        <w:rPr>
          <w:b/>
          <w:bCs/>
          <w:caps/>
        </w:rPr>
      </w:r>
    </w:p>
    <w:p>
      <w:pPr>
        <w:pStyle w:val="Number1"/>
        <w:rPr/>
      </w:pPr>
      <w:r>
        <w:rPr>
          <w:b/>
          <w:bCs/>
          <w:caps/>
        </w:rPr>
        <w:tab/>
      </w:r>
      <w:r>
        <w:rPr>
          <w:caps/>
        </w:rPr>
        <w:t>1.</w:t>
        <w:tab/>
      </w:r>
      <w:r>
        <w:rPr>
          <w:u w:val="single"/>
        </w:rPr>
        <w:t>Digital ECGs</w:t>
      </w:r>
    </w:p>
    <w:p>
      <w:pPr>
        <w:pStyle w:val="Normal"/>
        <w:rPr/>
      </w:pPr>
      <w:r>
        <w:rPr/>
      </w:r>
    </w:p>
    <w:p>
      <w:pPr>
        <w:pStyle w:val="Number1body"/>
        <w:rPr/>
      </w:pPr>
      <w:r>
        <w:rPr/>
        <w:t xml:space="preserve">All MESA scheduled electronically transmitted ECGs (three per participant per scheduled visit) will be received at the CERC by a GE/Research Workstation MAC5000 machine. MESA clinics will be scheduled to make twice-weekly transmissions to the CERC. It is imperative that ECGs stored in clinic MAC1200 electrocardiographs </w:t>
      </w:r>
      <w:r>
        <w:rPr>
          <w:bCs/>
          <w:i/>
          <w:iCs/>
        </w:rPr>
        <w:t>not</w:t>
      </w:r>
      <w:r>
        <w:rPr/>
        <w:t xml:space="preserve"> be erased until confirmation (by telephone, fax or email) of receipt by the CERC is communicated to the clinic.  </w:t>
      </w:r>
    </w:p>
    <w:p>
      <w:pPr>
        <w:pStyle w:val="Number1body"/>
        <w:rPr/>
      </w:pPr>
      <w:r>
        <w:rPr/>
      </w:r>
    </w:p>
    <w:p>
      <w:pPr>
        <w:pStyle w:val="Number1body"/>
        <w:rPr/>
      </w:pPr>
      <w:r>
        <w:rPr/>
        <w:t xml:space="preserve">The digital ECGs are stored in an electronic database at the MESA CERC, in a Marquette measurement matrix, by participant ID. This database will remain unaltered for the duration of the study. Additionally, a second and third database will be created after technician editing of correct onset and offset of QT (Measurement Editing Module (RSW) in Figure 10). These two databases are then transformed into Minnesota Code and Novacode categories by the EPICARE ECG coding program. These codes will be transmitted to the MESA CC (Figure 10). Continuous measurements of wave durations and QT interval can be used by the CC to test for trends in editing. Hardcopy of all ECGs received by the MAC5000 are also scanned by a CERC electrocardiographer for arrhythmia confirmation.  </w:t>
      </w:r>
    </w:p>
    <w:p>
      <w:pPr>
        <w:pStyle w:val="Number1body"/>
        <w:rPr/>
      </w:pPr>
      <w:r>
        <w:rPr/>
      </w:r>
    </w:p>
    <w:p>
      <w:pPr>
        <w:pStyle w:val="Number1body"/>
        <w:rPr/>
      </w:pPr>
      <w:r>
        <w:rPr/>
        <w:t>The MESA Morbidity and Mortality Committee will define ECG cardiovascular event codes. MI classification by Novacode and Minnesota Code for prevalent and incident codes follow.</w:t>
      </w:r>
      <w:r>
        <w:br w:type="page"/>
      </w:r>
    </w:p>
    <w:p>
      <w:pPr>
        <w:pStyle w:val="Number1body"/>
        <w:rPr/>
      </w:pPr>
      <w:r>
        <w:rPr/>
      </w:r>
    </w:p>
    <w:p>
      <w:pPr>
        <w:pStyle w:val="Number1body"/>
        <w:rPr/>
      </w:pPr>
      <w:r>
        <w:rPr/>
      </w:r>
    </w:p>
    <w:p>
      <w:pPr>
        <w:pStyle w:val="Number1body"/>
        <w:rPr>
          <w:sz w:val="20"/>
          <w:lang w:val="en-US" w:eastAsia="en-US"/>
        </w:rPr>
      </w:pPr>
      <w:r>
        <w:rPr>
          <w:sz w:val="20"/>
          <w:lang w:val="en-US" w:eastAsia="en-US"/>
        </w:rPr>
        <w:drawing>
          <wp:anchor behindDoc="0" distT="0" distB="0" distL="114935" distR="114935" simplePos="0" locked="0" layoutInCell="0" allowOverlap="1" relativeHeight="52">
            <wp:simplePos x="0" y="0"/>
            <wp:positionH relativeFrom="column">
              <wp:posOffset>51435</wp:posOffset>
            </wp:positionH>
            <wp:positionV relativeFrom="paragraph">
              <wp:posOffset>-111760</wp:posOffset>
            </wp:positionV>
            <wp:extent cx="5480685" cy="6004560"/>
            <wp:effectExtent l="0" t="0" r="0" b="0"/>
            <wp:wrapTopAndBottom/>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117"/>
                    <a:srcRect l="-4" t="-6" r="-4" b="-6"/>
                    <a:stretch>
                      <a:fillRect/>
                    </a:stretch>
                  </pic:blipFill>
                  <pic:spPr bwMode="auto">
                    <a:xfrm>
                      <a:off x="0" y="0"/>
                      <a:ext cx="5480685" cy="6004560"/>
                    </a:xfrm>
                    <a:prstGeom prst="rect">
                      <a:avLst/>
                    </a:prstGeom>
                  </pic:spPr>
                </pic:pic>
              </a:graphicData>
            </a:graphic>
          </wp:anchor>
        </w:drawing>
      </w:r>
    </w:p>
    <w:p>
      <w:pPr>
        <w:pStyle w:val="Heading"/>
        <w:rPr>
          <w:rFonts w:ascii="Arial;Arial" w:hAnsi="Arial;Arial" w:cs="Arial;Arial"/>
          <w:sz w:val="16"/>
        </w:rPr>
      </w:pPr>
      <w:r>
        <w:drawing>
          <wp:anchor behindDoc="0" distT="0" distB="0" distL="114935" distR="114935" simplePos="0" locked="0" layoutInCell="0" allowOverlap="1" relativeHeight="53">
            <wp:simplePos x="0" y="0"/>
            <wp:positionH relativeFrom="column">
              <wp:posOffset>-62865</wp:posOffset>
            </wp:positionH>
            <wp:positionV relativeFrom="paragraph">
              <wp:posOffset>-172720</wp:posOffset>
            </wp:positionV>
            <wp:extent cx="5309870" cy="7003415"/>
            <wp:effectExtent l="0" t="0" r="0" b="0"/>
            <wp:wrapTopAndBottom/>
            <wp:docPr id="2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
                    <pic:cNvPicPr>
                      <a:picLocks noChangeAspect="1" noChangeArrowheads="1"/>
                    </pic:cNvPicPr>
                  </pic:nvPicPr>
                  <pic:blipFill>
                    <a:blip r:embed="rId118"/>
                    <a:srcRect l="-6" t="-4" r="-6" b="-4"/>
                    <a:stretch>
                      <a:fillRect/>
                    </a:stretch>
                  </pic:blipFill>
                  <pic:spPr bwMode="auto">
                    <a:xfrm>
                      <a:off x="0" y="0"/>
                      <a:ext cx="5309870" cy="7003415"/>
                    </a:xfrm>
                    <a:prstGeom prst="rect">
                      <a:avLst/>
                    </a:prstGeom>
                  </pic:spPr>
                </pic:pic>
              </a:graphicData>
            </a:graphic>
          </wp:anchor>
        </w:drawing>
      </w:r>
      <w:r>
        <w:rPr>
          <w:rFonts w:cs="Arial;Arial" w:ascii="Arial;Arial" w:hAnsi="Arial;Arial"/>
          <w:sz w:val="16"/>
        </w:rPr>
        <w:t>MINNESOTA CODE HIERARCHY FOR CLASSIFICATION OF INCIDENT</w:t>
      </w:r>
    </w:p>
    <w:p>
      <w:pPr>
        <w:pStyle w:val="Heading"/>
        <w:rPr>
          <w:rFonts w:ascii="Arial;Arial" w:hAnsi="Arial;Arial" w:cs="Arial;Arial"/>
          <w:sz w:val="16"/>
        </w:rPr>
      </w:pPr>
      <w:r>
        <w:rPr>
          <w:rFonts w:cs="Arial;Arial" w:ascii="Arial;Arial" w:hAnsi="Arial;Arial"/>
          <w:sz w:val="16"/>
        </w:rPr>
        <w:t>MYOCARDIAL INFARCTION (MI) AND ISCHEMIA</w:t>
      </w:r>
    </w:p>
    <w:p>
      <w:pPr>
        <w:pStyle w:val="Romanbody"/>
        <w:ind w:left="0" w:hanging="0"/>
        <w:rPr>
          <w:rFonts w:ascii="Arial;Arial" w:hAnsi="Arial;Arial" w:cs="Arial;Arial"/>
          <w:sz w:val="22"/>
        </w:rPr>
      </w:pPr>
      <w:r>
        <w:rPr>
          <w:rFonts w:cs="Arial;Arial" w:ascii="Arial;Arial" w:hAnsi="Arial;Arial"/>
          <w:sz w:val="22"/>
        </w:rPr>
      </w:r>
    </w:p>
    <w:p>
      <w:pPr>
        <w:pStyle w:val="Romanbody"/>
        <w:ind w:left="0" w:hanging="0"/>
        <w:rPr>
          <w:rFonts w:ascii="Arial;Arial" w:hAnsi="Arial;Arial" w:cs="Arial;Arial"/>
          <w:b/>
          <w:b/>
          <w:bCs/>
          <w:sz w:val="18"/>
        </w:rPr>
      </w:pPr>
      <w:r>
        <w:rPr>
          <w:rFonts w:cs="Arial;Arial" w:ascii="Arial;Arial" w:hAnsi="Arial;Arial"/>
          <w:b/>
          <w:bCs/>
          <w:sz w:val="18"/>
        </w:rPr>
        <w:t>Definitions of Electrocardiographic Criteria</w:t>
      </w:r>
    </w:p>
    <w:p>
      <w:pPr>
        <w:pStyle w:val="Romanbody"/>
        <w:ind w:left="0" w:hanging="0"/>
        <w:rPr>
          <w:rFonts w:ascii="Arial;Arial" w:hAnsi="Arial;Arial" w:cs="Arial;Arial"/>
          <w:b/>
          <w:b/>
          <w:bCs/>
          <w:sz w:val="18"/>
        </w:rPr>
      </w:pPr>
      <w:r>
        <w:rPr>
          <w:rFonts w:cs="Arial;Arial" w:ascii="Arial;Arial" w:hAnsi="Arial;Arial"/>
          <w:b/>
          <w:bCs/>
          <w:sz w:val="18"/>
        </w:rPr>
      </w:r>
    </w:p>
    <w:p>
      <w:pPr>
        <w:pStyle w:val="Romanbody"/>
        <w:ind w:left="0" w:hanging="0"/>
        <w:rPr>
          <w:rFonts w:ascii="Arial;Arial" w:hAnsi="Arial;Arial" w:cs="Arial;Arial"/>
          <w:sz w:val="18"/>
        </w:rPr>
      </w:pPr>
      <w:r>
        <w:rPr>
          <w:rFonts w:cs="Arial;Arial" w:ascii="Arial;Arial" w:hAnsi="Arial;Arial"/>
          <w:sz w:val="18"/>
        </w:rPr>
        <w:t>The ECG series is assigned the highest category for which criteria are met, i.e., evolving diagnostic is greater than diagnostic is greater than evolving ST-T patterns are greater than equivocal is greater than other.  The ECGs are coded using Minnesota Code.</w:t>
      </w:r>
    </w:p>
    <w:p>
      <w:pPr>
        <w:pStyle w:val="Normal"/>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b/>
          <w:b/>
          <w:bCs/>
          <w:sz w:val="18"/>
        </w:rPr>
      </w:pPr>
      <w:r>
        <w:rPr>
          <w:rFonts w:cs="Arial;Arial" w:ascii="Arial;Arial" w:hAnsi="Arial;Arial"/>
          <w:b/>
          <w:bCs/>
          <w:sz w:val="18"/>
        </w:rPr>
        <w:t>Evolving Diagnostic (ED) ECG (Judged within lead group)</w:t>
      </w:r>
    </w:p>
    <w:p>
      <w:pPr>
        <w:pStyle w:val="Romanbody"/>
        <w:ind w:left="0" w:hanging="0"/>
        <w:rPr>
          <w:rFonts w:ascii="Arial;Arial" w:hAnsi="Arial;Arial" w:cs="Arial;Arial"/>
          <w:b/>
          <w:b/>
          <w:bCs/>
          <w:sz w:val="18"/>
        </w:rPr>
      </w:pPr>
      <w:r>
        <w:rPr>
          <w:rFonts w:cs="Arial;Arial" w:ascii="Arial;Arial" w:hAnsi="Arial;Arial"/>
          <w:b/>
          <w:bCs/>
          <w:sz w:val="18"/>
        </w:rPr>
      </w:r>
    </w:p>
    <w:p>
      <w:pPr>
        <w:pStyle w:val="Romanbody"/>
        <w:ind w:left="0" w:hanging="0"/>
        <w:rPr>
          <w:rFonts w:ascii="Arial;Arial" w:hAnsi="Arial;Arial" w:cs="Arial;Arial"/>
          <w:sz w:val="18"/>
        </w:rPr>
      </w:pPr>
      <w:r>
        <w:rPr>
          <w:rFonts w:cs="Arial;Arial" w:ascii="Arial;Arial" w:hAnsi="Arial;Arial"/>
          <w:sz w:val="18"/>
        </w:rPr>
        <w:t>An evolving Diagnostic Q Wave pattern is defined as an evolving pattern on serial ECGs of ECG changes within lead groups, i.e., anterior (VI – V5), lateral (I, aVL, V6) or inferior (II, III, aVF).  Two or more ECG recordings during the hospitalization are needed for this classification.  ED1 through ED7 cannot be assigned if a 7-1-1 code is present.  ED2 through ED7 cannot be assigned if a 7-2-1 or 7-4 code is present.</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ED1.</w:t>
        <w:tab/>
        <w:t>If the following condition is met for any lead group, then ED1 is positive.  Either no Q-code or a 1-2-6 code in reference ECG followed by a record with a Diagnostic Q-code in the same lead group OR any code 1-3-x or 1-2-8 in reference ECG followed by a record with any code 1-1-x in the same lead group and there is no 7-1-1 code in either ECG, then ED1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ED2.</w:t>
        <w:tab/>
        <w:t>If an Equivocal Q-code in some lead group of reference ECG is followed by a record with a Diagnostic Q-code in the same lead group, AND if there is also a lead group not necessarily the same as for the Q-code change, in which there is no Major ST-segment Depression in reference ECG but followed by a record with a Major ST-segment Depression in that same lead group and there are no 7-1-1, 7-2-1, or 7-4 codes in either ECG, then ED2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ED3.</w:t>
        <w:tab/>
        <w:t>If an Equivocal Q-code in some lead group of reference ECG is followed by a record with a Diagnostic Q-code in the same lead group, AND if there is also a lead group not necessarily the same as for the Q-code change, in which there is no Major T-wave Inversion reference ECG but followed by a record with a Major T-wave Inversion in the same lead group and there are no 7-1-1, 7-2-1, or 7-4 codes in either ECG, then ED3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ED4.</w:t>
        <w:tab/>
        <w:t>If an Equivocal Q-code in some lead group of reference ECG is followed by a record with a Diagnostic Q-code in the same lead group, AND if there is also a lead group not necessarily the same as for the Q-code change, in which there is no ST-segment Elevation in reference ECG but followed by a record with the ST-segment Elevation in that same lead group and there are not 7-1-1, 7-2-1, or 7-4 codes in either ECG, then ED4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ED5.</w:t>
        <w:tab/>
        <w:t>If there is no Q-code or a 1-2-6 code in some lead group of reference ECG which is followed by a record with an Equivocal Q-code in the same lead group, AND if there is also a lead group not necessarily the same as for the Q-code change, in which there is no Major T-wave Inversion in reference ECG but followed by a record with a Major T-wave Inversion in that same lead group and there are no 7-1-1, 7-2-1, or 7-4 codes in either ECG, then ED5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ED6.</w:t>
        <w:tab/>
        <w:t>If there is no Q-code or a 1-2-6 code in some lead group of reference ECG which is followed by a record with an Equivocal Q-code in the same lead group, AND if there is also a lead group not necessarily the same as for the Q-code change, in which there is no Major T-wave Inversion in reference ECG but followed by a record with a Major T-wave Inversion in that same lead group and there are no 7-1-1, 7-2-1, or 7-4 codes in either ECG, then ED6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ED7.</w:t>
        <w:tab/>
        <w:t>If there is no Q-code or a 1-2-6 code in some lead group of reference ECG which is followed by a record with an Equivocal Q-code in the same lead group, AND if there is also a lead group not necessarily the same as for the Q-code change, in which there is no ST-segment Elevation in reference ECG but followed by a record with an ST-segment Elevation in that same lead group and there are no 7-1-1, 7-2-1, or 7-4 codes in either ECG, then ED7 is positive.</w:t>
      </w:r>
    </w:p>
    <w:p>
      <w:pPr>
        <w:pStyle w:val="Romanbody"/>
        <w:ind w:left="0" w:hanging="0"/>
        <w:rPr/>
      </w:pPr>
      <w:r>
        <w:rPr/>
      </w:r>
      <w:r>
        <w:br w:type="page"/>
      </w:r>
    </w:p>
    <w:p>
      <w:pPr>
        <w:pStyle w:val="Romanbody"/>
        <w:jc w:val="center"/>
        <w:rPr>
          <w:rFonts w:ascii="Arial;Arial" w:hAnsi="Arial;Arial" w:cs="Arial;Arial"/>
          <w:b/>
          <w:b/>
          <w:bCs/>
          <w:sz w:val="18"/>
        </w:rPr>
      </w:pPr>
      <w:r>
        <w:rPr>
          <w:rFonts w:cs="Arial;Arial" w:ascii="Arial;Arial" w:hAnsi="Arial;Arial"/>
          <w:b/>
          <w:bCs/>
          <w:sz w:val="18"/>
        </w:rPr>
        <w:t>INCIDENT MINNESOTA CODE MI (continued):</w:t>
      </w:r>
    </w:p>
    <w:p>
      <w:pPr>
        <w:pStyle w:val="Romanbody"/>
        <w:rPr>
          <w:rFonts w:ascii="Arial;Arial" w:hAnsi="Arial;Arial" w:cs="Arial;Arial"/>
          <w:b/>
          <w:b/>
          <w:bCs/>
          <w:sz w:val="18"/>
        </w:rPr>
      </w:pPr>
      <w:r>
        <w:rPr>
          <w:rFonts w:cs="Arial;Arial" w:ascii="Arial;Arial" w:hAnsi="Arial;Arial"/>
          <w:b/>
          <w:bCs/>
          <w:sz w:val="18"/>
        </w:rPr>
      </w:r>
    </w:p>
    <w:p>
      <w:pPr>
        <w:pStyle w:val="Romanbody"/>
        <w:rPr>
          <w:rFonts w:ascii="Arial;Arial" w:hAnsi="Arial;Arial" w:cs="Arial;Arial"/>
          <w:sz w:val="18"/>
          <w:u w:val="single"/>
        </w:rPr>
      </w:pPr>
      <w:r>
        <w:rPr>
          <w:rFonts w:cs="Arial;Arial" w:ascii="Arial;Arial" w:hAnsi="Arial;Arial"/>
          <w:sz w:val="18"/>
          <w:u w:val="single"/>
        </w:rPr>
      </w:r>
    </w:p>
    <w:p>
      <w:pPr>
        <w:pStyle w:val="Romanbody"/>
        <w:rPr>
          <w:rFonts w:ascii="Arial;Arial" w:hAnsi="Arial;Arial" w:cs="Arial;Arial"/>
          <w:sz w:val="18"/>
          <w:u w:val="single"/>
        </w:rPr>
      </w:pPr>
      <w:r>
        <w:rPr>
          <w:rFonts w:cs="Arial;Arial" w:ascii="Arial;Arial" w:hAnsi="Arial;Arial"/>
          <w:sz w:val="18"/>
          <w:u w:val="single"/>
        </w:rPr>
      </w:r>
    </w:p>
    <w:p>
      <w:pPr>
        <w:pStyle w:val="Romanbody"/>
        <w:rPr>
          <w:rFonts w:ascii="Arial;Arial" w:hAnsi="Arial;Arial" w:cs="Arial;Arial"/>
          <w:sz w:val="18"/>
          <w:u w:val="single"/>
        </w:rPr>
      </w:pPr>
      <w:r>
        <w:rPr>
          <w:rFonts w:cs="Arial;Arial" w:ascii="Arial;Arial" w:hAnsi="Arial;Arial"/>
          <w:sz w:val="18"/>
          <w:u w:val="single"/>
        </w:rPr>
        <w:t>Evolving ST-T (EV) Pattern (judged within lead group)</w:t>
      </w:r>
    </w:p>
    <w:p>
      <w:pPr>
        <w:pStyle w:val="Romanbody"/>
        <w:rPr>
          <w:rFonts w:ascii="Arial;Arial" w:hAnsi="Arial;Arial" w:cs="Arial;Arial"/>
          <w:sz w:val="18"/>
        </w:rPr>
      </w:pPr>
      <w:r>
        <w:rPr>
          <w:rFonts w:cs="Arial;Arial" w:ascii="Arial;Arial" w:hAnsi="Arial;Arial"/>
          <w:sz w:val="18"/>
        </w:rPr>
        <w:t>This diagnosis cannot be assigned if a 7-1-1 or 7-2-1 or 7-4 code is present.</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EV1</w:t>
        <w:tab/>
        <w:t>Either 4-0 (no 4-code), 4-4 or 4-3 in reference ECG followed by a record with 4-2 or 4-1-2 or 4-1-1, OR 4-2 in reference ECG followed by a record with 4-1-2, OR 4-2, 4-1-2 or 4-1-1 in reference ECG followed by a record with 4-0, 4-4 or 4-3, OR 4-1-2 in reference ECG followed by a record with 4-2,</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EV2</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Either 4-2 or 4-1-2 in reference ECG followed by a record with 4-1-1 OR 4-1-1 in reference ECG followed by a record with 4-2 or 4-1-2,</w:t>
      </w:r>
    </w:p>
    <w:p>
      <w:pPr>
        <w:pStyle w:val="Romanbody"/>
        <w:rPr>
          <w:rFonts w:ascii="Arial;Arial" w:hAnsi="Arial;Arial" w:cs="Arial;Arial"/>
          <w:sz w:val="18"/>
        </w:rPr>
      </w:pPr>
      <w:r>
        <w:rPr>
          <w:rFonts w:cs="Arial;Arial" w:ascii="Arial;Arial" w:hAnsi="Arial;Arial"/>
          <w:sz w:val="18"/>
        </w:rPr>
        <w:tab/>
        <w:tab/>
        <w:tab/>
        <w:tab/>
        <w:tab/>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EV3</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Either 5-0, 5-4 or 5-3 in reference ECG followed by a record with 5-2 or 5-1 OR 5-2 or 5-1 in reference ECG followed by a record with 5-0, 5-4 or 5-3,</w:t>
      </w:r>
    </w:p>
    <w:p>
      <w:pPr>
        <w:pStyle w:val="Romanbody"/>
        <w:rPr>
          <w:rFonts w:ascii="Arial;Arial" w:hAnsi="Arial;Arial" w:cs="Arial;Arial"/>
          <w:sz w:val="18"/>
        </w:rPr>
      </w:pPr>
      <w:r>
        <w:rPr>
          <w:rFonts w:cs="Arial;Arial" w:ascii="Arial;Arial" w:hAnsi="Arial;Arial"/>
          <w:sz w:val="18"/>
        </w:rPr>
        <w:tab/>
        <w:tab/>
        <w:tab/>
        <w:tab/>
        <w:tab/>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EV4</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Code 5-2 in reference ECG followed by a record with 5-1 OR 5-1 in reference ECG followed by a record with 5-2,</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EV5</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Code 9-0 in reference ECG followed by a record with 9-2 OR 9-2 in reference ECG followed by a record with 9-0,</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Number1body"/>
        <w:rPr/>
      </w:pPr>
      <w:r>
        <w:rPr/>
      </w:r>
      <w:r>
        <w:br w:type="page"/>
      </w:r>
    </w:p>
    <w:p>
      <w:pPr>
        <w:pStyle w:val="Number11"/>
        <w:rPr/>
      </w:pPr>
      <w:r>
        <w:rPr/>
        <w:tab/>
        <w:t>1.1</w:t>
        <w:tab/>
        <w:t>Heart Rate Variability (HRV)</w:t>
      </w:r>
    </w:p>
    <w:p>
      <w:pPr>
        <w:pStyle w:val="Normal"/>
        <w:rPr>
          <w:rFonts w:ascii="Arial;Arial" w:hAnsi="Arial;Arial" w:cs="Arial;Arial"/>
        </w:rPr>
      </w:pPr>
      <w:r>
        <w:rPr>
          <w:rFonts w:cs="Arial;Arial" w:ascii="Arial;Arial" w:hAnsi="Arial;Arial"/>
        </w:rPr>
      </w:r>
    </w:p>
    <w:p>
      <w:pPr>
        <w:pStyle w:val="Number11body"/>
        <w:rPr/>
      </w:pPr>
      <w:r>
        <w:rPr/>
        <w:t>HRV will also be calculated from the three sequential records. For short term ECG recordings (&lt; 20 minutes), only short term components of HRV can be calculated, and for brief recordings (as in 30 seconds for MESA) only particular time-domain measures of HRV can be calculated. It is, however, possible to derive indices from differences between normal interbeat time intervals (NN), RMSSD (see below) for an estimate of short-term components of HRV; and SDNN (see below) for an estimate of overall HRV. These are the two HRV indices that will be derived from MESA participants:</w:t>
      </w:r>
    </w:p>
    <w:p>
      <w:pPr>
        <w:pStyle w:val="Number111"/>
        <w:rPr/>
      </w:pPr>
      <w:r>
        <w:rPr/>
      </w:r>
    </w:p>
    <w:p>
      <w:pPr>
        <w:pStyle w:val="Number111"/>
        <w:rPr/>
      </w:pPr>
      <w:r>
        <w:rPr>
          <w:b/>
        </w:rPr>
        <w:tab/>
      </w:r>
      <w:r>
        <w:rPr>
          <w:bCs/>
        </w:rPr>
        <w:t>1.11</w:t>
      </w:r>
      <w:r>
        <w:rPr>
          <w:b/>
        </w:rPr>
        <w:tab/>
        <w:t>SDNN</w:t>
      </w:r>
      <w:r>
        <w:rPr/>
        <w:t xml:space="preserve"> is the standard deviation of eligible NN intervals of the entire 3 records combined.  </w:t>
      </w:r>
    </w:p>
    <w:p>
      <w:pPr>
        <w:pStyle w:val="Number111"/>
        <w:rPr/>
      </w:pPr>
      <w:r>
        <w:rPr/>
      </w:r>
    </w:p>
    <w:p>
      <w:pPr>
        <w:pStyle w:val="Number111"/>
        <w:rPr/>
      </w:pPr>
      <w:r>
        <w:rPr/>
        <w:tab/>
        <w:tab/>
        <w:t>Let x = mean of eligible NN intervals; and n = the number of eligible NN intervals; and NNj = the jth interval; and Nj = the jth beat.</w:t>
      </w:r>
    </w:p>
    <w:p>
      <w:pPr>
        <w:pStyle w:val="Number111"/>
        <w:rPr>
          <w:rFonts w:ascii="Arial;Arial" w:hAnsi="Arial;Arial" w:cs="Arial;Arial"/>
        </w:rPr>
      </w:pPr>
      <w:r>
        <mc:AlternateContent>
          <mc:Choice Requires="wpg">
            <w:drawing>
              <wp:anchor behindDoc="0" distT="182880" distB="274320" distL="114935" distR="114935" simplePos="0" locked="0" layoutInCell="0" allowOverlap="1" relativeHeight="48">
                <wp:simplePos x="0" y="0"/>
                <wp:positionH relativeFrom="column">
                  <wp:posOffset>2451735</wp:posOffset>
                </wp:positionH>
                <wp:positionV relativeFrom="paragraph">
                  <wp:posOffset>579755</wp:posOffset>
                </wp:positionV>
                <wp:extent cx="1455420" cy="497205"/>
                <wp:effectExtent l="0" t="0" r="0" b="0"/>
                <wp:wrapTopAndBottom/>
                <wp:docPr id="21" name=""/>
                <a:graphic xmlns:a="http://schemas.openxmlformats.org/drawingml/2006/main">
                  <a:graphicData uri="http://schemas.microsoft.com/office/word/2010/wordprocessingGroup">
                    <wpg:wgp>
                      <wpg:cNvGrpSpPr/>
                      <wpg:grpSpPr>
                        <a:xfrm>
                          <a:off x="0" y="0"/>
                          <a:ext cx="1455480" cy="497160"/>
                          <a:chOff x="0" y="0"/>
                          <a:chExt cx="1455480" cy="497160"/>
                        </a:xfrm>
                      </wpg:grpSpPr>
                      <pic:pic xmlns:pic="http://schemas.openxmlformats.org/drawingml/2006/picture">
                        <pic:nvPicPr>
                          <pic:cNvPr id="0" name="" descr=""/>
                          <pic:cNvPicPr/>
                        </pic:nvPicPr>
                        <pic:blipFill>
                          <a:blip r:embed="rId119"/>
                          <a:stretch/>
                        </pic:blipFill>
                        <pic:spPr>
                          <a:xfrm>
                            <a:off x="0" y="0"/>
                            <a:ext cx="1028880" cy="482760"/>
                          </a:xfrm>
                          <a:prstGeom prst="rect">
                            <a:avLst/>
                          </a:prstGeom>
                          <a:ln w="0">
                            <a:noFill/>
                          </a:ln>
                        </pic:spPr>
                      </pic:pic>
                      <wps:wsp>
                        <wps:cNvSpPr txBox="1"/>
                        <wps:spPr>
                          <a:xfrm>
                            <a:off x="883800" y="268560"/>
                            <a:ext cx="571680" cy="228600"/>
                          </a:xfrm>
                          <a:prstGeom prst="rect">
                            <a:avLst/>
                          </a:prstGeom>
                          <a:solidFill>
                            <a:srgbClr val="ffffff"/>
                          </a:solidFill>
                          <a:ln w="0">
                            <a:noFill/>
                          </a:ln>
                        </wps:spPr>
                        <wps:txbx>
                          <w:txbxContent>
                            <w:p>
                              <w:pPr>
                                <w:overflowPunct w:val="false"/>
                                <w:autoSpaceDE w:val="false"/>
                                <w:bidi w:val="0"/>
                                <w:rPr/>
                              </w:pPr>
                              <w:r>
                                <w:rPr>
                                  <w:kern w:val="2"/>
                                  <w:sz w:val="24"/>
                                  <w:szCs w:val="24"/>
                                  <w:rFonts w:ascii="Times New Roman;Times New Roman" w:hAnsi="Times New Roman;Times New Roman" w:eastAsia="Times New Roman;Times New Roman" w:cs="Times New Roman;Times New Roman"/>
                                  <w:color w:val="auto"/>
                                  <w:lang w:val="en-US" w:bidi="ar-SA"/>
                                </w:rPr>
                                <w:t>msec</w:t>
                              </w:r>
                            </w:p>
                          </w:txbxContent>
                        </wps:txbx>
                        <wps:bodyPr wrap="square" anchor="t">
                          <a:noAutofit/>
                        </wps:bodyPr>
                      </wps:wsp>
                    </wpg:wgp>
                  </a:graphicData>
                </a:graphic>
              </wp:anchor>
            </w:drawing>
          </mc:Choice>
          <mc:Fallback>
            <w:pict>
              <v:group id="shape_0" style="position:absolute;margin-left:193.05pt;margin-top:45.65pt;width:114.6pt;height:39.1pt" coordorigin="3861,913" coordsize="2292,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3861;top:913;width:1619;height:759;mso-wrap-style:none;v-text-anchor:middle" type="_x0000_t75">
                  <v:imagedata r:id="rId119" o:detectmouseclick="t"/>
                  <v:stroke color="#3465a4" joinstyle="round" endcap="flat"/>
                  <w10:wrap type="topAndBottom"/>
                </v:shape>
                <v:shapetype id="_x0000_t202" coordsize="21600,21600" o:spt="202" path="m,l,21600l21600,21600l21600,xe">
                  <v:stroke joinstyle="miter"/>
                  <v:path gradientshapeok="t" o:connecttype="rect"/>
                </v:shapetype>
                <v:shape id="shape_0" fillcolor="white" stroked="f" o:allowincell="f" style="position:absolute;left:5253;top:1336;width:899;height:359;mso-wrap-style:square;v-text-anchor:top" type="_x0000_t202">
                  <v:textbox>
                    <w:txbxContent>
                      <w:p>
                        <w:pPr>
                          <w:overflowPunct w:val="false"/>
                          <w:autoSpaceDE w:val="false"/>
                          <w:bidi w:val="0"/>
                          <w:rPr/>
                        </w:pPr>
                        <w:r>
                          <w:rPr>
                            <w:kern w:val="2"/>
                            <w:sz w:val="24"/>
                            <w:szCs w:val="24"/>
                            <w:rFonts w:ascii="Times New Roman;Times New Roman" w:hAnsi="Times New Roman;Times New Roman" w:eastAsia="Times New Roman;Times New Roman" w:cs="Times New Roman;Times New Roman"/>
                            <w:color w:val="auto"/>
                            <w:lang w:val="en-US" w:bidi="ar-SA"/>
                          </w:rPr>
                          <w:t>msec</w:t>
                        </w:r>
                      </w:p>
                    </w:txbxContent>
                  </v:textbox>
                  <v:fill o:detectmouseclick="t" type="solid" color2="black"/>
                  <v:stroke color="#3465a4" joinstyle="round" endcap="flat"/>
                  <w10:wrap type="topAndBottom"/>
                </v:shape>
              </v:group>
            </w:pict>
          </mc:Fallback>
        </mc:AlternateContent>
      </w:r>
      <w:r>
        <w:rPr/>
        <w:tab/>
        <w:tab/>
        <w:t>Then each eligible NNj is obtained by subtracting QRSTIM for Nj from QRSTIM for N</w:t>
      </w:r>
      <w:r>
        <w:rPr>
          <w:vertAlign w:val="subscript"/>
        </w:rPr>
        <w:t>j+1</w:t>
      </w:r>
      <w:r>
        <w:rPr/>
        <w:t>.</w:t>
      </w:r>
      <w:r>
        <w:rPr>
          <w:sz w:val="22"/>
        </w:rPr>
        <w:t xml:space="preserve">Then SDNN =  </w:t>
      </w:r>
    </w:p>
    <w:p>
      <w:pPr>
        <w:pStyle w:val="Number111"/>
        <w:rPr/>
      </w:pPr>
      <w:r>
        <w:rPr/>
        <w:tab/>
        <w:t>1.12</w:t>
        <w:tab/>
        <w:t>RMSSD is the square root of the mean value of the squares of differences between all eligible successive NN intervals. Then RMSSD =</w:t>
      </w:r>
      <w:r>
        <w:rPr>
          <w:rFonts w:cs="Arial;Arial" w:ascii="Arial;Arial" w:hAnsi="Arial;Arial"/>
        </w:rPr>
        <w:t xml:space="preserve">        </w:t>
      </w:r>
    </w:p>
    <w:p>
      <w:pPr>
        <w:pStyle w:val="Number111"/>
        <w:rPr>
          <w:rFonts w:ascii="Arial;Arial" w:hAnsi="Arial;Arial" w:cs="Arial;Arial"/>
          <w:sz w:val="20"/>
          <w:lang w:val="en-US" w:eastAsia="en-US"/>
        </w:rPr>
      </w:pPr>
      <w:r>
        <w:rPr>
          <w:rFonts w:cs="Arial;Arial" w:ascii="Arial;Arial" w:hAnsi="Arial;Arial"/>
          <w:sz w:val="20"/>
          <w:lang w:val="en-US" w:eastAsia="en-US"/>
        </w:rPr>
      </w:r>
      <m:oMath xmlns:m="http://schemas.openxmlformats.org/officeDocument/2006/math">
        <m:rad>
          <m:radPr>
            <m:degHide m:val="1"/>
          </m:radPr>
          <m:deg/>
          <m:e>
            <m:f>
              <m:num>
                <m:nary>
                  <m:naryPr>
                    <m:chr m:val="∑"/>
                    <m:subHide m:val="1"/>
                    <m:supHide m:val="1"/>
                  </m:naryPr>
                  <m:sub/>
                  <m:sup/>
                  <m:e>
                    <m:r>
                      <w:rPr>
                        <w:rFonts w:ascii="Cambria Math" w:hAnsi="Cambria Math"/>
                      </w:rPr>
                      <m:t xml:space="preserve">(</m:t>
                    </m:r>
                    <m:sSub>
                      <m:e>
                        <m:r>
                          <m:rPr>
                            <m:lit/>
                            <m:nor/>
                          </m:rPr>
                          <w:rPr>
                            <w:rFonts w:ascii="Cambria Math" w:hAnsi="Cambria Math"/>
                          </w:rPr>
                          <m:t xml:space="preserve">NN</m:t>
                        </m:r>
                      </m:e>
                      <m:sub>
                        <m:r>
                          <w:rPr>
                            <w:rFonts w:ascii="Cambria Math" w:hAnsi="Cambria Math"/>
                          </w:rPr>
                          <m:t xml:space="preserve">j</m:t>
                        </m:r>
                        <m:r>
                          <w:rPr>
                            <w:rFonts w:ascii="Cambria Math" w:hAnsi="Cambria Math"/>
                          </w:rPr>
                          <m:t xml:space="preserve">+</m:t>
                        </m:r>
                        <m:r>
                          <w:rPr>
                            <w:rFonts w:ascii="Cambria Math" w:hAnsi="Cambria Math"/>
                          </w:rPr>
                          <m:t xml:space="preserve">1</m:t>
                        </m:r>
                      </m:sub>
                    </m:sSub>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r>
                  <w:rPr>
                    <w:rFonts w:ascii="Cambria Math" w:hAnsi="Cambria Math"/>
                  </w:rPr>
                  <m:t xml:space="preserve">−</m:t>
                </m:r>
                <m:r>
                  <w:rPr>
                    <w:rFonts w:ascii="Cambria Math" w:hAnsi="Cambria Math"/>
                  </w:rPr>
                  <m:t xml:space="preserve">1</m:t>
                </m:r>
              </m:den>
            </m:f>
          </m:e>
        </m:rad>
      </m:oMath>
    </w:p>
    <w:p>
      <w:pPr>
        <w:pStyle w:val="Normal"/>
        <w:rPr>
          <w:rFonts w:ascii="Arial;Arial" w:hAnsi="Arial;Arial" w:cs="Arial;Arial"/>
        </w:rPr>
      </w:pPr>
      <w:r>
        <w:rPr>
          <w:rFonts w:cs="Arial;Arial" w:ascii="Arial;Arial" w:hAnsi="Arial;Arial"/>
        </w:rPr>
      </w:r>
    </w:p>
    <w:p>
      <w:pPr>
        <w:pStyle w:val="Number11"/>
        <w:rPr/>
      </w:pPr>
      <w:r>
        <w:rPr/>
        <w:tab/>
        <w:t>1.2</w:t>
        <w:tab/>
        <w:t>Quality Control ECGs</w:t>
      </w:r>
    </w:p>
    <w:p>
      <w:pPr>
        <w:pStyle w:val="Number11body"/>
        <w:rPr/>
      </w:pPr>
      <w:r>
        <w:rPr/>
      </w:r>
    </w:p>
    <w:p>
      <w:pPr>
        <w:pStyle w:val="Number11body"/>
        <w:rPr/>
      </w:pPr>
      <w:r>
        <w:rPr/>
        <w:t xml:space="preserve">The MESA Coordinating Center (CC) may arrange for repeated transmission of selected ECGs from the clinics to the CERC. However, because MESA participants will have three ECGs recorded at each scheduled visit, a much more powerful way of testing the repeatability of the whole ECG cascade from recording to transmission to processing and measurement can be done by comparing the ECG of record with a sample of second and third recorded ECGs (recorded for measurement of HRV).  </w:t>
      </w:r>
    </w:p>
    <w:p>
      <w:pPr>
        <w:pStyle w:val="Number11body"/>
        <w:rPr/>
      </w:pPr>
      <w:r>
        <w:rPr/>
      </w:r>
    </w:p>
    <w:p>
      <w:pPr>
        <w:pStyle w:val="Number1"/>
        <w:rPr/>
      </w:pPr>
      <w:r>
        <w:rPr/>
        <w:tab/>
        <w:t>2.</w:t>
        <w:tab/>
      </w:r>
      <w:r>
        <w:rPr>
          <w:u w:val="single"/>
        </w:rPr>
        <w:t>Hospital ECGs</w:t>
      </w:r>
    </w:p>
    <w:p>
      <w:pPr>
        <w:pStyle w:val="Number1"/>
        <w:rPr/>
      </w:pPr>
      <w:r>
        <w:rPr/>
      </w:r>
    </w:p>
    <w:p>
      <w:pPr>
        <w:pStyle w:val="Number1body"/>
        <w:rPr/>
      </w:pPr>
      <w:r>
        <w:rPr/>
        <w:t xml:space="preserve">At follow-up visits MESA participants will be asked if they have had any hospital admissions since the previous visit. The MESA clinics will review all hospitalizations for possible cardiovascular disease (CVD) occurrence.  For all possible CVD events copies of </w:t>
      </w:r>
      <w:r>
        <w:rPr>
          <w:i/>
          <w:iCs/>
        </w:rPr>
        <w:t>all</w:t>
      </w:r>
      <w:r>
        <w:rPr/>
        <w:t xml:space="preserve"> ECGs obtained in the hospital should be labeled with participant ID information and attached to a tracking form that contains the following information:  </w:t>
      </w:r>
    </w:p>
    <w:p>
      <w:pPr>
        <w:pStyle w:val="Normal"/>
        <w:rPr>
          <w:rFonts w:ascii="Arial;Arial" w:hAnsi="Arial;Arial" w:cs="Arial;Arial"/>
        </w:rPr>
      </w:pPr>
      <w:r>
        <w:rPr>
          <w:rFonts w:cs="Arial;Arial" w:ascii="Arial;Arial" w:hAnsi="Arial;Arial"/>
        </w:rPr>
      </w:r>
    </w:p>
    <w:p>
      <w:pPr>
        <w:pStyle w:val="Number1bodybullet"/>
        <w:rPr/>
      </w:pPr>
      <w:r>
        <w:rPr>
          <w:rFonts w:eastAsia="Symbol" w:cs="Symbol" w:ascii="Symbol" w:hAnsi="Symbol"/>
        </w:rPr>
        <w:t></w:t>
      </w:r>
      <w:r>
        <w:rPr/>
        <w:tab/>
        <w:t>Date of death/morbid event</w:t>
      </w:r>
    </w:p>
    <w:p>
      <w:pPr>
        <w:pStyle w:val="Number1bodybullet"/>
        <w:rPr/>
      </w:pPr>
      <w:r>
        <w:rPr>
          <w:rFonts w:eastAsia="Symbol" w:cs="Symbol" w:ascii="Symbol" w:hAnsi="Symbol"/>
        </w:rPr>
        <w:t></w:t>
      </w:r>
      <w:r>
        <w:rPr/>
        <w:tab/>
        <w:t>Date of hospital admission</w:t>
      </w:r>
    </w:p>
    <w:p>
      <w:pPr>
        <w:pStyle w:val="Number1bodybullet"/>
        <w:rPr/>
      </w:pPr>
      <w:r>
        <w:rPr>
          <w:rFonts w:eastAsia="Symbol" w:cs="Symbol" w:ascii="Symbol" w:hAnsi="Symbol"/>
        </w:rPr>
        <w:t></w:t>
      </w:r>
      <w:r>
        <w:rPr/>
        <w:tab/>
        <w:t>Participant’s age at event</w:t>
      </w:r>
    </w:p>
    <w:p>
      <w:pPr>
        <w:pStyle w:val="Number1bodybullet"/>
        <w:rPr/>
      </w:pPr>
      <w:r>
        <w:rPr>
          <w:rFonts w:eastAsia="Symbol" w:cs="Symbol" w:ascii="Symbol" w:hAnsi="Symbol"/>
        </w:rPr>
        <w:t></w:t>
      </w:r>
      <w:r>
        <w:rPr/>
        <w:tab/>
        <w:t>Participant’s gender</w:t>
      </w:r>
    </w:p>
    <w:p>
      <w:pPr>
        <w:pStyle w:val="Number1bodybullet"/>
        <w:rPr/>
      </w:pPr>
      <w:r>
        <w:rPr>
          <w:rFonts w:eastAsia="Symbol" w:cs="Symbol" w:ascii="Symbol" w:hAnsi="Symbol"/>
        </w:rPr>
        <w:t></w:t>
      </w:r>
      <w:r>
        <w:rPr/>
        <w:tab/>
        <w:t>Date(s) of all hospital ECGs</w:t>
      </w:r>
    </w:p>
    <w:p>
      <w:pPr>
        <w:pStyle w:val="Normal"/>
        <w:rPr>
          <w:rFonts w:ascii="Arial;Arial" w:hAnsi="Arial;Arial" w:cs="Arial;Arial"/>
        </w:rPr>
      </w:pPr>
      <w:r>
        <w:rPr>
          <w:rFonts w:cs="Arial;Arial" w:ascii="Arial;Arial" w:hAnsi="Arial;Arial"/>
        </w:rPr>
      </w:r>
    </w:p>
    <w:p>
      <w:pPr>
        <w:pStyle w:val="Number1body"/>
        <w:rPr/>
      </w:pPr>
      <w:r>
        <w:rPr/>
        <w:t xml:space="preserve">The event ECGs should then be mailed to the CERC and a copy of each tracking form sent to the Coordinating Center (CC). The CERC electrocardiographers will select ECGs with maximum and minimum change for Q waves and ST-T wave segments and code for incident myocardial infarction. The maximum changes in the event ECGs will be compared to the last scheduled ECG, and serial change rules applied for both incident Novacode MI and Minnesota Code MI (see Figure 11).  </w:t>
      </w:r>
    </w:p>
    <w:p>
      <w:pPr>
        <w:pStyle w:val="Number1body"/>
        <w:rPr/>
      </w:pPr>
      <w:r>
        <w:rPr/>
      </w:r>
    </w:p>
    <w:p>
      <w:pPr>
        <w:pStyle w:val="Romanbold"/>
        <w:rPr/>
      </w:pPr>
      <w:r>
        <w:rPr/>
        <w:tab/>
        <w:t>IX.</w:t>
        <w:tab/>
        <w:t>Quality Control</w:t>
      </w:r>
    </w:p>
    <w:p>
      <w:pPr>
        <w:pStyle w:val="Romanbody"/>
        <w:rPr/>
      </w:pPr>
      <w:r>
        <w:rPr/>
      </w:r>
    </w:p>
    <w:p>
      <w:pPr>
        <w:pStyle w:val="Romanbody"/>
        <w:rPr/>
      </w:pPr>
      <w:r>
        <w:rPr/>
        <w:t>Quality control includes certification and recertification procedures in recording. For ECG processing there are multiple editing checks and sample reprocessing done internally in the CERC at EPICARE. The quality of tracings for ECG technicians will be reported regularly to the MESA Coordinating Center (CC). Examples of ECGs with quality grades given are included below:</w:t>
      </w:r>
    </w:p>
    <w:p>
      <w:pPr>
        <w:pStyle w:val="Romanbody"/>
        <w:rPr>
          <w:rFonts w:ascii="Arial;Arial" w:hAnsi="Arial;Arial" w:cs="Arial;Arial"/>
        </w:rPr>
      </w:pPr>
      <w:r>
        <w:rPr>
          <w:rFonts w:cs="Arial;Arial" w:ascii="Arial;Arial" w:hAnsi="Arial;Arial"/>
        </w:rPr>
      </w:r>
    </w:p>
    <w:p>
      <w:pPr>
        <w:pStyle w:val="Romanbodybullet"/>
        <w:rPr/>
      </w:pPr>
      <w:r>
        <w:rPr>
          <w:rFonts w:eastAsia="Symbol" w:cs="Symbol" w:ascii="Symbol" w:hAnsi="Symbol"/>
        </w:rPr>
        <w:t></w:t>
      </w:r>
      <w:r>
        <w:rPr/>
        <w:tab/>
        <w:t>Grade 1 – No artifact</w:t>
      </w:r>
    </w:p>
    <w:p>
      <w:pPr>
        <w:pStyle w:val="Romanbodybullet"/>
        <w:rPr/>
      </w:pPr>
      <w:r>
        <w:rPr>
          <w:rFonts w:eastAsia="Symbol" w:cs="Symbol" w:ascii="Symbol" w:hAnsi="Symbol"/>
        </w:rPr>
        <w:t></w:t>
      </w:r>
      <w:r>
        <w:rPr/>
        <w:tab/>
        <w:t>Grade 1 – Only slight muscle tremor</w:t>
      </w:r>
    </w:p>
    <w:p>
      <w:pPr>
        <w:pStyle w:val="Romanbodybullet"/>
        <w:rPr/>
      </w:pPr>
      <w:r>
        <w:rPr>
          <w:rFonts w:eastAsia="Symbol" w:cs="Symbol" w:ascii="Symbol" w:hAnsi="Symbol"/>
        </w:rPr>
        <w:t></w:t>
      </w:r>
      <w:r>
        <w:rPr/>
        <w:tab/>
        <w:t>Grade 3 – Some muscle tremor and some drift</w:t>
      </w:r>
    </w:p>
    <w:p>
      <w:pPr>
        <w:pStyle w:val="Romanbodybullet"/>
        <w:rPr/>
      </w:pPr>
      <w:r>
        <w:rPr>
          <w:rFonts w:eastAsia="Symbol" w:cs="Symbol" w:ascii="Symbol" w:hAnsi="Symbol"/>
        </w:rPr>
        <w:t></w:t>
      </w:r>
      <w:r>
        <w:rPr/>
        <w:tab/>
        <w:t>Grade 5 – Muscle tremor and drift</w:t>
      </w:r>
    </w:p>
    <w:p>
      <w:pPr>
        <w:pStyle w:val="Romanbodybullet"/>
        <w:rPr/>
      </w:pPr>
      <w:r>
        <w:rPr>
          <w:rFonts w:eastAsia="Symbol" w:cs="Symbol" w:ascii="Symbol" w:hAnsi="Symbol"/>
        </w:rPr>
        <w:t></w:t>
      </w:r>
      <w:r>
        <w:rPr/>
        <w:tab/>
        <w:t>Grade 5 – Poor electrode attachment</w:t>
      </w:r>
    </w:p>
    <w:p>
      <w:pPr>
        <w:pStyle w:val="Romanbodybullet"/>
        <w:rPr/>
      </w:pPr>
      <w:r>
        <w:rPr>
          <w:rFonts w:eastAsia="Symbol" w:cs="Symbol" w:ascii="Symbol" w:hAnsi="Symbol"/>
        </w:rPr>
        <w:t></w:t>
      </w:r>
      <w:r>
        <w:rPr/>
        <w:tab/>
        <w:t>Grade 5 – Severe muscle tremor and possible poor electrode attachment</w:t>
      </w:r>
    </w:p>
    <w:p>
      <w:pPr>
        <w:pStyle w:val="Romanbodybullet"/>
        <w:rPr/>
      </w:pPr>
      <w:r>
        <w:rPr/>
      </w:r>
    </w:p>
    <w:p>
      <w:pPr>
        <w:pStyle w:val="Romanbold"/>
        <w:rPr/>
      </w:pPr>
      <w:r>
        <w:rPr/>
        <w:tab/>
        <w:t>X.</w:t>
        <w:tab/>
        <w:tab/>
        <w:t>Data Reporting</w:t>
      </w:r>
    </w:p>
    <w:p>
      <w:pPr>
        <w:pStyle w:val="Normal"/>
        <w:rPr>
          <w:rFonts w:ascii="Arial;Arial" w:hAnsi="Arial;Arial" w:cs="Arial;Arial"/>
        </w:rPr>
      </w:pPr>
      <w:r>
        <w:rPr>
          <w:rFonts w:cs="Arial;Arial" w:ascii="Arial;Arial" w:hAnsi="Arial;Arial"/>
        </w:rPr>
      </w:r>
    </w:p>
    <w:p>
      <w:pPr>
        <w:sectPr>
          <w:headerReference w:type="even" r:id="rId120"/>
          <w:headerReference w:type="default" r:id="rId121"/>
          <w:footerReference w:type="even" r:id="rId122"/>
          <w:footerReference w:type="default" r:id="rId123"/>
          <w:type w:val="oddPage"/>
          <w:pgSz w:w="12240" w:h="15840"/>
          <w:pgMar w:left="2880" w:right="1080" w:gutter="0" w:header="720" w:top="1440" w:footer="720" w:bottom="1440"/>
          <w:pgNumType w:fmt="decimal"/>
          <w:formProt w:val="false"/>
          <w:textDirection w:val="lrTb"/>
          <w:docGrid w:type="default" w:linePitch="360" w:charSpace="0"/>
        </w:sectPr>
        <w:pStyle w:val="Romanbody"/>
        <w:rPr/>
      </w:pPr>
      <w:r>
        <w:rPr/>
        <w:t>The format and route of data transfer will be determined by agreement between the Coordinating Center (CC) and the CERC. Monthly reports will be sent from the CERC to the CC. All electronic ECGs from receipt at the CERC to transmission of data to the CC will be within 30 days, and, for hospital (hardcopy, paper) ECGs, within 60 days.</w:t>
      </w:r>
    </w:p>
    <w:p>
      <w:pPr>
        <w:sectPr>
          <w:headerReference w:type="even" r:id="rId124"/>
          <w:headerReference w:type="default" r:id="rId125"/>
          <w:footerReference w:type="even" r:id="rId126"/>
          <w:footerReference w:type="default" r:id="rId127"/>
          <w:type w:val="oddPage"/>
          <w:pgSz w:w="12240" w:h="15840"/>
          <w:pgMar w:left="2880" w:right="1080" w:gutter="0" w:header="720" w:top="1440" w:footer="720" w:bottom="1440"/>
          <w:pgNumType w:start="195" w:fmt="decimal"/>
          <w:formProt w:val="false"/>
          <w:textDirection w:val="lrTb"/>
          <w:docGrid w:type="default" w:linePitch="360" w:charSpace="0"/>
        </w:sectPr>
        <w:pStyle w:val="Subsectionheading"/>
        <w:rPr/>
      </w:pPr>
      <w:bookmarkStart w:id="29" w:name="__RefHeading___Toc503858985"/>
      <w:bookmarkEnd w:id="29"/>
      <w:r>
        <w:rPr/>
        <w:t>3.7  Laboratory</w:t>
      </w:r>
    </w:p>
    <w:p>
      <w:pPr>
        <w:pStyle w:val="Subsub"/>
        <w:rPr/>
      </w:pPr>
      <w:bookmarkStart w:id="30" w:name="__RefHeading___Toc503858986"/>
      <w:bookmarkEnd w:id="30"/>
      <w:r>
        <w:rPr/>
        <w:t>3.7.1  Collection, Processing, and Shipping of Urine Samples</w:t>
      </w:r>
    </w:p>
    <w:p>
      <w:pPr>
        <w:pStyle w:val="Normal"/>
        <w:tabs>
          <w:tab w:val="clear" w:pos="720"/>
          <w:tab w:val="left" w:pos="-1440" w:leader="none"/>
        </w:tabs>
        <w:rPr>
          <w:sz w:val="22"/>
        </w:rPr>
      </w:pPr>
      <w:r>
        <w:rPr>
          <w:sz w:val="22"/>
        </w:rPr>
      </w:r>
    </w:p>
    <w:p>
      <w:pPr>
        <w:pStyle w:val="Romanbold"/>
        <w:rPr/>
      </w:pPr>
      <w:r>
        <w:rPr/>
        <w:tab/>
        <w:t>I.</w:t>
        <w:tab/>
        <w:t>Purpose</w:t>
      </w:r>
    </w:p>
    <w:p>
      <w:pPr>
        <w:pStyle w:val="Romanbold"/>
        <w:rPr/>
      </w:pPr>
      <w:r>
        <w:rPr/>
      </w:r>
    </w:p>
    <w:p>
      <w:pPr>
        <w:pStyle w:val="Romanbold"/>
        <w:rPr/>
      </w:pPr>
      <w:r>
        <w:rPr/>
        <w:tab/>
        <w:t>II.</w:t>
        <w:tab/>
        <w:t>Equipment and Supplies</w:t>
      </w:r>
    </w:p>
    <w:p>
      <w:pPr>
        <w:pStyle w:val="Romanbody"/>
        <w:rPr/>
      </w:pPr>
      <w:r>
        <w:rPr/>
      </w:r>
    </w:p>
    <w:p>
      <w:pPr>
        <w:pStyle w:val="Romanbody"/>
        <w:rPr>
          <w:b/>
          <w:b/>
          <w:bCs/>
        </w:rPr>
      </w:pPr>
      <w:r>
        <w:rPr>
          <w:b/>
          <w:bCs/>
        </w:rPr>
        <w:t>CBAL will provide the following:</w:t>
      </w:r>
    </w:p>
    <w:p>
      <w:pPr>
        <w:pStyle w:val="Romanbodybullet"/>
        <w:rPr>
          <w:b/>
          <w:b/>
          <w:bCs/>
        </w:rPr>
      </w:pPr>
      <w:r>
        <w:rPr>
          <w:b/>
          <w:bCs/>
        </w:rPr>
      </w:r>
    </w:p>
    <w:p>
      <w:pPr>
        <w:pStyle w:val="Romanbodybullet"/>
        <w:rPr/>
      </w:pPr>
      <w:r>
        <w:rPr>
          <w:rFonts w:eastAsia="Symbol" w:cs="Symbol" w:ascii="Symbol" w:hAnsi="Symbol"/>
        </w:rPr>
        <w:t></w:t>
      </w:r>
      <w:r>
        <w:rPr/>
        <w:tab/>
        <w:t>4 mL Starstedt clear-topped cryovials (#63)</w:t>
      </w:r>
    </w:p>
    <w:p>
      <w:pPr>
        <w:pStyle w:val="Romanbodybullet"/>
        <w:rPr/>
      </w:pPr>
      <w:r>
        <w:rPr>
          <w:rFonts w:eastAsia="Symbol" w:cs="Symbol" w:ascii="Symbol" w:hAnsi="Symbol"/>
        </w:rPr>
        <w:t></w:t>
      </w:r>
      <w:r>
        <w:rPr/>
        <w:tab/>
        <w:t>10 mL cryovials (#s 64 and 65)</w:t>
      </w:r>
    </w:p>
    <w:p>
      <w:pPr>
        <w:pStyle w:val="Romanbodybullet"/>
        <w:rPr/>
      </w:pPr>
      <w:r>
        <w:rPr>
          <w:rFonts w:eastAsia="Symbol" w:cs="Symbol" w:ascii="Symbol" w:hAnsi="Symbol"/>
        </w:rPr>
        <w:t></w:t>
      </w:r>
      <w:r>
        <w:rPr/>
        <w:tab/>
        <w:t xml:space="preserve">1 M acetic acid </w:t>
      </w:r>
    </w:p>
    <w:p>
      <w:pPr>
        <w:pStyle w:val="Romanbodybullet"/>
        <w:rPr/>
      </w:pPr>
      <w:r>
        <w:rPr/>
      </w:r>
    </w:p>
    <w:p>
      <w:pPr>
        <w:pStyle w:val="Romanbody"/>
        <w:rPr/>
      </w:pPr>
      <w:r>
        <w:rPr>
          <w:b/>
          <w:bCs/>
        </w:rPr>
        <w:t xml:space="preserve">The Coordinating Center will supply </w:t>
      </w:r>
      <w:r>
        <w:rPr/>
        <w:t>Participant ID barcode labels for forms, collection containers, and cryovials. Each set of labels has the same 7-digit sample identification number. The first digit identifies the clinic:</w:t>
      </w:r>
    </w:p>
    <w:p>
      <w:pPr>
        <w:pStyle w:val="Number11"/>
        <w:rPr/>
      </w:pPr>
      <w:r>
        <w:rPr/>
      </w:r>
    </w:p>
    <w:p>
      <w:pPr>
        <w:pStyle w:val="Romanbodybullet"/>
        <w:rPr/>
      </w:pPr>
      <w:r>
        <w:rPr>
          <w:rFonts w:eastAsia="Symbol" w:cs="Symbol" w:ascii="Symbol" w:hAnsi="Symbol"/>
        </w:rPr>
        <w:t></w:t>
      </w:r>
      <w:r>
        <w:rPr/>
        <w:tab/>
        <w:t>Wake Forest (3)</w:t>
      </w:r>
    </w:p>
    <w:p>
      <w:pPr>
        <w:pStyle w:val="Romanbodybullet"/>
        <w:rPr/>
      </w:pPr>
      <w:r>
        <w:rPr>
          <w:rFonts w:eastAsia="Symbol" w:cs="Symbol" w:ascii="Symbol" w:hAnsi="Symbol"/>
        </w:rPr>
        <w:t></w:t>
      </w:r>
      <w:r>
        <w:rPr/>
        <w:tab/>
        <w:t>Columbia (4)</w:t>
      </w:r>
    </w:p>
    <w:p>
      <w:pPr>
        <w:pStyle w:val="Romanbodybullet"/>
        <w:rPr/>
      </w:pPr>
      <w:r>
        <w:rPr>
          <w:rFonts w:eastAsia="Symbol" w:cs="Symbol" w:ascii="Symbol" w:hAnsi="Symbol"/>
        </w:rPr>
        <w:t></w:t>
      </w:r>
      <w:r>
        <w:rPr/>
        <w:tab/>
        <w:t>Johns Hopkins (5)</w:t>
      </w:r>
    </w:p>
    <w:p>
      <w:pPr>
        <w:pStyle w:val="Romanbodybullet"/>
        <w:rPr/>
      </w:pPr>
      <w:r>
        <w:rPr>
          <w:rFonts w:eastAsia="Symbol" w:cs="Symbol" w:ascii="Symbol" w:hAnsi="Symbol"/>
        </w:rPr>
        <w:t></w:t>
      </w:r>
      <w:r>
        <w:rPr/>
        <w:tab/>
        <w:t>Minnesota (6)</w:t>
      </w:r>
    </w:p>
    <w:p>
      <w:pPr>
        <w:pStyle w:val="Romanbodybullet"/>
        <w:rPr/>
      </w:pPr>
      <w:r>
        <w:rPr>
          <w:rFonts w:eastAsia="Symbol" w:cs="Symbol" w:ascii="Symbol" w:hAnsi="Symbol"/>
        </w:rPr>
        <w:t></w:t>
      </w:r>
      <w:r>
        <w:rPr/>
        <w:tab/>
        <w:t>Northwestern and Loyola (7)</w:t>
      </w:r>
    </w:p>
    <w:p>
      <w:pPr>
        <w:pStyle w:val="Romanbodybullet"/>
        <w:rPr/>
      </w:pPr>
      <w:r>
        <w:rPr>
          <w:rFonts w:eastAsia="Symbol" w:cs="Symbol" w:ascii="Symbol" w:hAnsi="Symbol"/>
        </w:rPr>
        <w:t></w:t>
      </w:r>
      <w:r>
        <w:rPr/>
        <w:tab/>
        <w:t>UCLA (8)</w:t>
      </w:r>
    </w:p>
    <w:p>
      <w:pPr>
        <w:pStyle w:val="Romanbodybullet"/>
        <w:rPr/>
      </w:pPr>
      <w:r>
        <w:rPr/>
      </w:r>
    </w:p>
    <w:p>
      <w:pPr>
        <w:pStyle w:val="Romanbody"/>
        <w:rPr/>
      </w:pPr>
      <w:r>
        <w:rPr/>
        <w:t xml:space="preserve">The cryovial labels also have a 2-digit extension (63–65) that uniquely identifies each within a sample ID and helps in tracking. </w:t>
      </w:r>
    </w:p>
    <w:p>
      <w:pPr>
        <w:pStyle w:val="Romanbody"/>
        <w:rPr/>
      </w:pPr>
      <w:r>
        <w:rPr/>
      </w:r>
    </w:p>
    <w:p>
      <w:pPr>
        <w:pStyle w:val="Romanbodybullet"/>
        <w:rPr>
          <w:b/>
          <w:b/>
          <w:bCs/>
        </w:rPr>
      </w:pPr>
      <w:r>
        <w:rPr>
          <w:b/>
          <w:bCs/>
        </w:rPr>
        <w:t>Additional supplies:</w:t>
      </w:r>
    </w:p>
    <w:p>
      <w:pPr>
        <w:pStyle w:val="Romanbodybullet"/>
        <w:rPr>
          <w:b/>
          <w:b/>
          <w:bCs/>
        </w:rPr>
      </w:pPr>
      <w:r>
        <w:rPr>
          <w:b/>
          <w:bCs/>
        </w:rPr>
      </w:r>
    </w:p>
    <w:p>
      <w:pPr>
        <w:pStyle w:val="Romanbodybullet"/>
        <w:rPr/>
      </w:pPr>
      <w:r>
        <w:rPr>
          <w:rFonts w:eastAsia="Symbol" w:cs="Symbol" w:ascii="Symbol" w:hAnsi="Symbol"/>
        </w:rPr>
        <w:t></w:t>
      </w:r>
      <w:r>
        <w:rPr/>
        <w:tab/>
        <w:t>Specimen collection containers (Lab Safety cat #OR-29091 recommended)</w:t>
      </w:r>
    </w:p>
    <w:p>
      <w:pPr>
        <w:pStyle w:val="Romanbodybullet"/>
        <w:rPr/>
      </w:pPr>
      <w:r>
        <w:rPr>
          <w:rFonts w:eastAsia="Symbol" w:cs="Symbol" w:ascii="Symbol" w:hAnsi="Symbol"/>
        </w:rPr>
        <w:t></w:t>
      </w:r>
      <w:r>
        <w:rPr/>
        <w:tab/>
        <w:t>Sage Commode Specimen and Measuring System #2500 (optional)</w:t>
      </w:r>
    </w:p>
    <w:p>
      <w:pPr>
        <w:pStyle w:val="Romanbodybullet"/>
        <w:rPr/>
      </w:pPr>
      <w:r>
        <w:rPr>
          <w:rFonts w:eastAsia="Symbol" w:cs="Symbol" w:ascii="Symbol" w:hAnsi="Symbol"/>
        </w:rPr>
        <w:t></w:t>
      </w:r>
      <w:r>
        <w:rPr/>
        <w:tab/>
        <w:t>4x4-inch gauze pads</w:t>
      </w:r>
    </w:p>
    <w:p>
      <w:pPr>
        <w:pStyle w:val="Romanbodybullet"/>
        <w:rPr/>
      </w:pPr>
      <w:r>
        <w:rPr>
          <w:rFonts w:eastAsia="Symbol" w:cs="Symbol" w:ascii="Symbol" w:hAnsi="Symbol"/>
        </w:rPr>
        <w:t></w:t>
      </w:r>
      <w:r>
        <w:rPr/>
        <w:tab/>
        <w:t>10% solution of antiseptic soap</w:t>
      </w:r>
    </w:p>
    <w:p>
      <w:pPr>
        <w:pStyle w:val="Romanbodybullet"/>
        <w:rPr/>
      </w:pPr>
      <w:r>
        <w:rPr>
          <w:rFonts w:eastAsia="Symbol" w:cs="Symbol" w:ascii="Symbol" w:hAnsi="Symbol"/>
        </w:rPr>
        <w:t></w:t>
      </w:r>
      <w:r>
        <w:rPr/>
        <w:tab/>
        <w:t>Pipettes</w:t>
      </w:r>
    </w:p>
    <w:p>
      <w:pPr>
        <w:pStyle w:val="Romanbodybullet"/>
        <w:rPr/>
      </w:pPr>
      <w:r>
        <w:rPr>
          <w:rFonts w:eastAsia="Symbol" w:cs="Symbol" w:ascii="Symbol" w:hAnsi="Symbol"/>
        </w:rPr>
        <w:t></w:t>
      </w:r>
      <w:r>
        <w:rPr/>
        <w:tab/>
        <w:t>Wet ice</w:t>
      </w:r>
    </w:p>
    <w:p>
      <w:pPr>
        <w:pStyle w:val="Romanbodybullet"/>
        <w:rPr/>
      </w:pPr>
      <w:r>
        <w:rPr>
          <w:rFonts w:eastAsia="Symbol" w:cs="Symbol" w:ascii="Symbol" w:hAnsi="Symbol"/>
        </w:rPr>
        <w:t></w:t>
      </w:r>
      <w:r>
        <w:rPr/>
        <w:tab/>
        <w:t>Phlebotomy Form</w:t>
      </w:r>
    </w:p>
    <w:p>
      <w:pPr>
        <w:pStyle w:val="Romanbodybullet"/>
        <w:rPr/>
      </w:pPr>
      <w:r>
        <w:rPr>
          <w:rFonts w:eastAsia="Symbol" w:cs="Symbol" w:ascii="Symbol" w:hAnsi="Symbol"/>
        </w:rPr>
        <w:t></w:t>
      </w:r>
      <w:r>
        <w:rPr/>
        <w:tab/>
        <w:t>MESA Processing Form</w:t>
      </w:r>
    </w:p>
    <w:p>
      <w:pPr>
        <w:pStyle w:val="Romanbodybullet"/>
        <w:rPr/>
      </w:pPr>
      <w:r>
        <w:rPr>
          <w:rFonts w:eastAsia="Symbol" w:cs="Symbol" w:ascii="Symbol" w:hAnsi="Symbol"/>
        </w:rPr>
        <w:t></w:t>
      </w:r>
      <w:r>
        <w:rPr/>
        <w:tab/>
        <w:t>Spot Urine Collection Form</w:t>
      </w:r>
    </w:p>
    <w:p>
      <w:pPr>
        <w:pStyle w:val="Romanbodybullet"/>
        <w:rPr/>
      </w:pPr>
      <w:r>
        <w:rPr/>
      </w:r>
    </w:p>
    <w:p>
      <w:pPr>
        <w:pStyle w:val="Romanbold"/>
        <w:rPr/>
      </w:pPr>
      <w:r>
        <w:rPr/>
        <w:tab/>
        <w:t>III.</w:t>
        <w:tab/>
        <w:t>Definitions</w:t>
      </w:r>
    </w:p>
    <w:p>
      <w:pPr>
        <w:pStyle w:val="Romanbold"/>
        <w:rPr/>
      </w:pPr>
      <w:r>
        <w:rPr/>
      </w:r>
    </w:p>
    <w:p>
      <w:pPr>
        <w:pStyle w:val="Romanbold"/>
        <w:rPr/>
      </w:pPr>
      <w:r>
        <w:rPr/>
        <w:tab/>
        <w:t>IV.</w:t>
        <w:tab/>
        <w:t>methods</w:t>
      </w:r>
    </w:p>
    <w:p>
      <w:pPr>
        <w:pStyle w:val="Romanbold"/>
        <w:rPr/>
      </w:pPr>
      <w:r>
        <w:rPr/>
      </w:r>
    </w:p>
    <w:p>
      <w:pPr>
        <w:pStyle w:val="Number1"/>
        <w:rPr/>
      </w:pPr>
      <w:r>
        <w:rPr/>
        <w:tab/>
        <w:t>1.</w:t>
        <w:tab/>
        <w:t>Preparation</w:t>
      </w:r>
    </w:p>
    <w:p>
      <w:pPr>
        <w:pStyle w:val="Number1"/>
        <w:rPr/>
      </w:pPr>
      <w:r>
        <w:rPr/>
      </w:r>
    </w:p>
    <w:p>
      <w:pPr>
        <w:pStyle w:val="Number11"/>
        <w:rPr/>
      </w:pPr>
      <w:r>
        <w:rPr/>
        <w:tab/>
        <w:t>1.1</w:t>
        <w:tab/>
        <w:t xml:space="preserve">Collect urine as early in the visit as possible and </w:t>
      </w:r>
      <w:r>
        <w:rPr>
          <w:i/>
          <w:iCs/>
        </w:rPr>
        <w:t>before</w:t>
      </w:r>
      <w:r>
        <w:rPr/>
        <w:t xml:space="preserve"> venipuncture. Rarely, a participant will refuse to provide a urine sample. Please keep a list of the MESA enrollment ID numbers of any of these participants.</w:t>
      </w:r>
    </w:p>
    <w:p>
      <w:pPr>
        <w:pStyle w:val="Number11bodybullet"/>
        <w:rPr/>
      </w:pPr>
      <w:r>
        <w:rPr/>
      </w:r>
    </w:p>
    <w:p>
      <w:pPr>
        <w:pStyle w:val="Number11"/>
        <w:rPr>
          <w:b/>
          <w:b/>
        </w:rPr>
      </w:pPr>
      <w:r>
        <w:rPr/>
        <w:tab/>
        <w:t>1.2</w:t>
        <w:tab/>
        <w:t xml:space="preserve">Urine samples must be precisely labeled throughout the collection and processing stages to ensure they are correctly coded. Always pre-label form, collection containers, and cryovials prior to the participant's visit, and cross-check the labels with each participant’s ID number prior to specimen collection. </w:t>
      </w:r>
    </w:p>
    <w:p>
      <w:pPr>
        <w:pStyle w:val="Number11"/>
        <w:rPr>
          <w:b/>
          <w:b/>
          <w:bCs/>
        </w:rPr>
      </w:pPr>
      <w:r>
        <w:rPr>
          <w:b/>
          <w:bCs/>
        </w:rPr>
      </w:r>
    </w:p>
    <w:p>
      <w:pPr>
        <w:pStyle w:val="Number1"/>
        <w:rPr/>
      </w:pPr>
      <w:r>
        <w:rPr>
          <w:bCs/>
        </w:rPr>
        <w:tab/>
        <w:t>2.</w:t>
        <w:tab/>
      </w:r>
      <w:r>
        <w:rPr>
          <w:u w:val="single"/>
        </w:rPr>
        <w:t>Forms</w:t>
      </w:r>
    </w:p>
    <w:p>
      <w:pPr>
        <w:pStyle w:val="Normal"/>
        <w:rPr/>
      </w:pPr>
      <w:r>
        <w:rPr/>
      </w:r>
    </w:p>
    <w:p>
      <w:pPr>
        <w:pStyle w:val="Number11"/>
        <w:rPr/>
      </w:pPr>
      <w:r>
        <w:rPr/>
        <w:tab/>
        <w:t>2.1</w:t>
        <w:tab/>
        <w:t>The Phlebotomy Form, Spot Urine Collection Form, and MESA Processing Form provide a vital link between the sample ID number and the participant ID number and facilitate the efficient collection of urine samples.</w:t>
      </w:r>
    </w:p>
    <w:p>
      <w:pPr>
        <w:pStyle w:val="Number11"/>
        <w:rPr/>
      </w:pPr>
      <w:r>
        <w:rPr/>
        <w:t xml:space="preserve"> </w:t>
      </w:r>
    </w:p>
    <w:p>
      <w:pPr>
        <w:pStyle w:val="Number11"/>
        <w:rPr/>
      </w:pPr>
      <w:r>
        <w:rPr/>
        <w:tab/>
        <w:t>2.2</w:t>
        <w:tab/>
        <w:t>The Phlebotomy Form and Spot Urine Collection Form will be scanned, and the information will be electronically sent to the Coordinating Center and the CBAL. These completed forms, along with the MESA Processing Form will then be sent with the sample shipments to CBAL. Both forms must be labeled with the correct pre-printed barcode sample ID label. All forms must be completed in ink.</w:t>
      </w:r>
    </w:p>
    <w:p>
      <w:pPr>
        <w:pStyle w:val="Normal"/>
        <w:rPr>
          <w:b/>
          <w:b/>
          <w:bCs/>
        </w:rPr>
      </w:pPr>
      <w:r>
        <w:rPr>
          <w:b/>
          <w:bCs/>
        </w:rPr>
      </w:r>
    </w:p>
    <w:p>
      <w:pPr>
        <w:pStyle w:val="Number1"/>
        <w:rPr/>
      </w:pPr>
      <w:r>
        <w:rPr/>
        <w:tab/>
        <w:t>3.</w:t>
        <w:tab/>
      </w:r>
      <w:r>
        <w:rPr>
          <w:u w:val="single"/>
        </w:rPr>
        <w:t>Preparation of Participants for Urine Collection</w:t>
      </w:r>
    </w:p>
    <w:p>
      <w:pPr>
        <w:pStyle w:val="Normal"/>
        <w:rPr/>
      </w:pPr>
      <w:r>
        <w:rPr/>
      </w:r>
    </w:p>
    <w:p>
      <w:pPr>
        <w:pStyle w:val="Number11"/>
        <w:rPr/>
      </w:pPr>
      <w:r>
        <w:rPr/>
        <w:tab/>
        <w:t>3.1</w:t>
        <w:tab/>
        <w:t xml:space="preserve">Collect urine </w:t>
      </w:r>
      <w:r>
        <w:rPr>
          <w:i/>
          <w:iCs/>
        </w:rPr>
        <w:t xml:space="preserve">before </w:t>
      </w:r>
      <w:r>
        <w:rPr/>
        <w:t>venipuncture.</w:t>
      </w:r>
    </w:p>
    <w:p>
      <w:pPr>
        <w:pStyle w:val="Number11"/>
        <w:rPr/>
      </w:pPr>
      <w:r>
        <w:rPr/>
      </w:r>
    </w:p>
    <w:p>
      <w:pPr>
        <w:pStyle w:val="Number11"/>
        <w:rPr/>
      </w:pPr>
      <w:r>
        <w:rPr/>
        <w:tab/>
        <w:t>3.2</w:t>
        <w:tab/>
        <w:t>Collect urine from all participants whenever possible. Encourage participants to stay hydrated even while fasting for the visit. However, do not collect samples after acute fluid load (&gt;24 ounces) or after participant exertion. Collection will be random and, therefore, considered a ‘spot’ urine collection. Participants who have difficulty producing a urine specimen may be offered a glass of water, and subsequent urine specimens may be collected later in the visit to bring the volume up to the required amount.</w:t>
      </w:r>
    </w:p>
    <w:p>
      <w:pPr>
        <w:pStyle w:val="Number11"/>
        <w:rPr/>
      </w:pPr>
      <w:r>
        <w:rPr/>
      </w:r>
    </w:p>
    <w:p>
      <w:pPr>
        <w:pStyle w:val="Number11"/>
        <w:rPr/>
      </w:pPr>
      <w:r>
        <w:rPr/>
        <w:tab/>
        <w:t>3.3</w:t>
        <w:tab/>
        <w:t>Female participants may use the Sage Commode Specimen and Measuring System #2500 for urine collection (follow instructions provided), or they may urinate directly into a specimen collection container, if they prefer. Male participants should urinate directly into a specimen collection container.</w:t>
      </w:r>
    </w:p>
    <w:p>
      <w:pPr>
        <w:pStyle w:val="Number11"/>
        <w:rPr>
          <w:b/>
          <w:b/>
          <w:bCs/>
          <w:szCs w:val="20"/>
        </w:rPr>
      </w:pPr>
      <w:r>
        <w:rPr>
          <w:b/>
          <w:bCs/>
          <w:szCs w:val="20"/>
        </w:rPr>
      </w:r>
    </w:p>
    <w:p>
      <w:pPr>
        <w:pStyle w:val="Number1"/>
        <w:rPr/>
      </w:pPr>
      <w:r>
        <w:rPr>
          <w:b/>
          <w:bCs/>
          <w:szCs w:val="20"/>
        </w:rPr>
        <w:tab/>
      </w:r>
      <w:r>
        <w:rPr>
          <w:szCs w:val="20"/>
        </w:rPr>
        <w:t>4.</w:t>
        <w:tab/>
      </w:r>
      <w:r>
        <w:rPr>
          <w:u w:val="single"/>
        </w:rPr>
        <w:t>Urine Collection</w:t>
      </w:r>
    </w:p>
    <w:p>
      <w:pPr>
        <w:pStyle w:val="Number1"/>
        <w:rPr/>
      </w:pPr>
      <w:r>
        <w:rPr/>
      </w:r>
    </w:p>
    <w:p>
      <w:pPr>
        <w:pStyle w:val="Number11"/>
        <w:rPr/>
      </w:pPr>
      <w:r>
        <w:rPr/>
        <w:tab/>
        <w:t>4.1</w:t>
        <w:tab/>
        <w:t>Containers for routine random specimens should be chemically clean, should hold about 50 mL in volume, and must have a tight-fitting lid to prevent leakage during transportation.</w:t>
      </w:r>
    </w:p>
    <w:p>
      <w:pPr>
        <w:pStyle w:val="Number11"/>
        <w:rPr/>
      </w:pPr>
      <w:r>
        <w:rPr/>
      </w:r>
    </w:p>
    <w:p>
      <w:pPr>
        <w:pStyle w:val="Number11"/>
        <w:rPr/>
      </w:pPr>
      <w:r>
        <w:rPr/>
        <w:tab/>
        <w:t>4.2</w:t>
        <w:tab/>
        <w:t>Orient the participant to the supplies (antiseptic-soaked gauze pad, collection container) and explain the procedure.</w:t>
      </w:r>
    </w:p>
    <w:p>
      <w:pPr>
        <w:pStyle w:val="Number11"/>
        <w:rPr/>
      </w:pPr>
      <w:r>
        <w:rPr/>
      </w:r>
    </w:p>
    <w:p>
      <w:pPr>
        <w:pStyle w:val="Number11"/>
        <w:rPr/>
      </w:pPr>
      <w:r>
        <w:rPr/>
        <w:tab/>
        <w:t>4.3</w:t>
        <w:tab/>
        <w:t>The participant’s privacy should be assured.</w:t>
      </w:r>
    </w:p>
    <w:p>
      <w:pPr>
        <w:pStyle w:val="Number11"/>
        <w:rPr/>
      </w:pPr>
      <w:r>
        <w:rPr/>
      </w:r>
    </w:p>
    <w:p>
      <w:pPr>
        <w:pStyle w:val="Number11"/>
        <w:rPr/>
      </w:pPr>
      <w:r>
        <w:rPr/>
        <w:tab/>
        <w:t>4.4</w:t>
        <w:tab/>
      </w:r>
      <w:r>
        <w:rPr>
          <w:u w:val="single"/>
        </w:rPr>
        <w:t>Instructions for female participants</w:t>
      </w:r>
      <w:r>
        <w:rPr/>
        <w:t>:</w:t>
      </w:r>
    </w:p>
    <w:p>
      <w:pPr>
        <w:pStyle w:val="Number11"/>
        <w:rPr>
          <w:szCs w:val="20"/>
        </w:rPr>
      </w:pPr>
      <w:r>
        <w:rPr>
          <w:szCs w:val="20"/>
        </w:rPr>
      </w:r>
    </w:p>
    <w:p>
      <w:pPr>
        <w:pStyle w:val="Number111"/>
        <w:rPr/>
      </w:pPr>
      <w:r>
        <w:rPr/>
        <w:tab/>
        <w:t>4.41</w:t>
        <w:tab/>
        <w:t>Wash hands before and after voiding. Open or remove clothing to make voiding and collection easier. Remove the cap from the collection container and have at hand.</w:t>
      </w:r>
    </w:p>
    <w:p>
      <w:pPr>
        <w:pStyle w:val="Number111"/>
        <w:rPr/>
      </w:pPr>
      <w:r>
        <w:rPr/>
      </w:r>
    </w:p>
    <w:p>
      <w:pPr>
        <w:pStyle w:val="Number111"/>
        <w:rPr/>
      </w:pPr>
      <w:r>
        <w:rPr/>
        <w:tab/>
        <w:t>4.42</w:t>
        <w:tab/>
        <w:t>Void directly into the container, until half full.</w:t>
      </w:r>
    </w:p>
    <w:p>
      <w:pPr>
        <w:pStyle w:val="Normal"/>
        <w:rPr/>
      </w:pPr>
      <w:r>
        <w:rPr/>
      </w:r>
    </w:p>
    <w:p>
      <w:pPr>
        <w:pStyle w:val="Number111"/>
        <w:rPr/>
      </w:pPr>
      <w:r>
        <w:rPr/>
        <w:tab/>
        <w:t>4.43</w:t>
        <w:tab/>
        <w:t>Carefully seal the cap of the container so that it is tight and leak proof.</w:t>
      </w:r>
    </w:p>
    <w:p>
      <w:pPr>
        <w:pStyle w:val="Number111"/>
        <w:rPr/>
      </w:pPr>
      <w:r>
        <w:rPr/>
      </w:r>
    </w:p>
    <w:p>
      <w:pPr>
        <w:pStyle w:val="Number11"/>
        <w:rPr/>
      </w:pPr>
      <w:r>
        <w:rPr/>
        <w:tab/>
        <w:t>4.5</w:t>
        <w:tab/>
      </w:r>
      <w:r>
        <w:rPr>
          <w:u w:val="single"/>
        </w:rPr>
        <w:t>Instructions for male participants</w:t>
      </w:r>
      <w:r>
        <w:rPr/>
        <w:t>:</w:t>
      </w:r>
    </w:p>
    <w:p>
      <w:pPr>
        <w:pStyle w:val="Number11"/>
        <w:rPr/>
      </w:pPr>
      <w:r>
        <w:rPr/>
      </w:r>
    </w:p>
    <w:p>
      <w:pPr>
        <w:pStyle w:val="Number111"/>
        <w:rPr/>
      </w:pPr>
      <w:r>
        <w:rPr/>
        <w:tab/>
        <w:t>4.51</w:t>
        <w:tab/>
        <w:t>Wash hands before and after voiding. Open or remove clothing to make voiding and collection easier. Remove the cap from the collection container and have at hand.</w:t>
      </w:r>
    </w:p>
    <w:p>
      <w:pPr>
        <w:pStyle w:val="Number111"/>
        <w:rPr/>
      </w:pPr>
      <w:r>
        <w:rPr/>
      </w:r>
    </w:p>
    <w:p>
      <w:pPr>
        <w:pStyle w:val="Number111"/>
        <w:rPr/>
      </w:pPr>
      <w:r>
        <w:rPr/>
        <w:tab/>
        <w:t>4.52</w:t>
        <w:tab/>
        <w:t xml:space="preserve">Void directly into the container, until half full. </w:t>
      </w:r>
    </w:p>
    <w:p>
      <w:pPr>
        <w:pStyle w:val="Number111"/>
        <w:rPr/>
      </w:pPr>
      <w:r>
        <w:rPr/>
      </w:r>
    </w:p>
    <w:p>
      <w:pPr>
        <w:pStyle w:val="Number111"/>
        <w:rPr/>
      </w:pPr>
      <w:r>
        <w:rPr/>
        <w:tab/>
        <w:t>4.53</w:t>
        <w:tab/>
        <w:t>Carefully seal the cap of the container so that it is tight and leak proof.</w:t>
      </w:r>
    </w:p>
    <w:p>
      <w:pPr>
        <w:pStyle w:val="Number111"/>
        <w:rPr/>
      </w:pPr>
      <w:r>
        <w:rPr/>
      </w:r>
    </w:p>
    <w:p>
      <w:pPr>
        <w:pStyle w:val="Number1"/>
        <w:rPr/>
      </w:pPr>
      <w:r>
        <w:rPr/>
        <w:tab/>
        <w:t>5.0</w:t>
        <w:tab/>
      </w:r>
      <w:r>
        <w:rPr>
          <w:u w:val="single"/>
        </w:rPr>
        <w:t>Forms completion</w:t>
      </w:r>
      <w:r>
        <w:rPr/>
        <w:t xml:space="preserve"> </w:t>
      </w:r>
    </w:p>
    <w:p>
      <w:pPr>
        <w:pStyle w:val="Number1"/>
        <w:rPr/>
      </w:pPr>
      <w:r>
        <w:rPr/>
      </w:r>
    </w:p>
    <w:p>
      <w:pPr>
        <w:pStyle w:val="Number11"/>
        <w:rPr/>
      </w:pPr>
      <w:r>
        <w:rPr/>
        <w:tab/>
        <w:t>5.1</w:t>
        <w:tab/>
      </w:r>
      <w:r>
        <w:rPr>
          <w:u w:val="single"/>
        </w:rPr>
        <w:t>Spot Urine Collection form</w:t>
      </w:r>
      <w:r>
        <w:rPr/>
        <w:t>. Select “yes” or “no” for question 1. If “yes,” continue to question 2. If “no,” provide explanation and then skip to question 4. Provide “time of collection” and “time of last urination prior to collection” for questions 2 and 3, respectively. Specify a.m. (A) or p.m. (P).</w:t>
      </w:r>
    </w:p>
    <w:p>
      <w:pPr>
        <w:pStyle w:val="Number11"/>
        <w:rPr/>
      </w:pPr>
      <w:r>
        <w:rPr/>
      </w:r>
    </w:p>
    <w:p>
      <w:pPr>
        <w:pStyle w:val="Number11"/>
        <w:rPr/>
      </w:pPr>
      <w:r>
        <w:rPr/>
        <w:tab/>
        <w:t>5.2</w:t>
        <w:tab/>
      </w:r>
      <w:r>
        <w:rPr>
          <w:u w:val="single"/>
        </w:rPr>
        <w:t>Phlebotomy form</w:t>
      </w:r>
      <w:r>
        <w:rPr/>
        <w:t xml:space="preserve">. In form field 12 record amount of urine collected. </w:t>
      </w:r>
    </w:p>
    <w:p>
      <w:pPr>
        <w:pStyle w:val="Normal"/>
        <w:tabs>
          <w:tab w:val="clear" w:pos="720"/>
          <w:tab w:val="left" w:pos="576" w:leader="none"/>
          <w:tab w:val="left" w:pos="2040" w:leader="none"/>
          <w:tab w:val="left" w:pos="3480" w:leader="none"/>
          <w:tab w:val="left" w:pos="4920" w:leader="none"/>
          <w:tab w:val="left" w:pos="6360" w:leader="none"/>
          <w:tab w:val="left" w:pos="7800" w:leader="none"/>
        </w:tabs>
        <w:rPr>
          <w:sz w:val="22"/>
        </w:rPr>
      </w:pPr>
      <w:r>
        <w:rPr>
          <w:sz w:val="22"/>
        </w:rPr>
      </w:r>
    </w:p>
    <w:p>
      <w:pPr>
        <w:pStyle w:val="Number1"/>
        <w:rPr>
          <w:b/>
          <w:b/>
          <w:bCs/>
        </w:rPr>
      </w:pPr>
      <w:r>
        <w:rPr/>
        <w:tab/>
        <w:t>6.0</w:t>
        <w:tab/>
      </w:r>
      <w:r>
        <w:rPr>
          <w:u w:val="single"/>
        </w:rPr>
        <w:t>Urine Processing</w:t>
      </w:r>
    </w:p>
    <w:p>
      <w:pPr>
        <w:pStyle w:val="Normal"/>
        <w:ind w:left="1440" w:hanging="0"/>
        <w:rPr>
          <w:b/>
          <w:b/>
          <w:bCs/>
        </w:rPr>
      </w:pPr>
      <w:r>
        <w:rPr>
          <w:b/>
          <w:bCs/>
        </w:rPr>
      </w:r>
    </w:p>
    <w:p>
      <w:pPr>
        <w:pStyle w:val="Number1body"/>
        <w:rPr/>
      </w:pPr>
      <w:r>
        <w:rPr/>
        <w:t xml:space="preserve">For urine storage, you will prepare one 4.0 mL Sarstedt clear-topped tube (#63) and two10 mL white-topped tubes (#s 64 and 65). Process using the following instructions: </w:t>
      </w:r>
    </w:p>
    <w:p>
      <w:pPr>
        <w:pStyle w:val="Number1body"/>
        <w:rPr/>
      </w:pPr>
      <w:r>
        <w:rPr/>
      </w:r>
    </w:p>
    <w:p>
      <w:pPr>
        <w:pStyle w:val="Number1body"/>
        <w:rPr>
          <w:i/>
          <w:i/>
          <w:iCs/>
        </w:rPr>
      </w:pPr>
      <w:r>
        <w:rPr>
          <w:i/>
          <w:iCs/>
        </w:rPr>
        <w:t>Do not overfill the tubes. There must be room for the urine to expand when frozen.</w:t>
      </w:r>
    </w:p>
    <w:p>
      <w:pPr>
        <w:pStyle w:val="Number1body"/>
        <w:rPr>
          <w:i/>
          <w:i/>
          <w:iCs/>
        </w:rPr>
      </w:pPr>
      <w:r>
        <w:rPr>
          <w:i/>
          <w:iCs/>
        </w:rPr>
      </w:r>
    </w:p>
    <w:p>
      <w:pPr>
        <w:pStyle w:val="Number11"/>
        <w:rPr/>
      </w:pPr>
      <w:r>
        <w:rPr/>
        <w:tab/>
        <w:t>1.</w:t>
        <w:tab/>
        <w:t>Pipette a minimum of 3.0 mL urine into the clear-topped tube #63; pipette 9 mL urine into white-topped tube #64. Place both on ice.</w:t>
      </w:r>
    </w:p>
    <w:p>
      <w:pPr>
        <w:pStyle w:val="Number11"/>
        <w:rPr/>
      </w:pPr>
      <w:r>
        <w:rPr/>
        <w:tab/>
      </w:r>
    </w:p>
    <w:p>
      <w:pPr>
        <w:pStyle w:val="Number11"/>
        <w:rPr/>
      </w:pPr>
      <w:r>
        <w:rPr/>
        <w:tab/>
        <w:t>2.</w:t>
        <w:tab/>
        <w:t xml:space="preserve">Pipette </w:t>
      </w:r>
      <w:r>
        <w:rPr>
          <w:iCs/>
        </w:rPr>
        <w:t xml:space="preserve">9 mL urine into white-topped tube #65 and then add 230 </w:t>
      </w:r>
      <w:r>
        <w:rPr>
          <w:rFonts w:eastAsia="Symbol" w:cs="Symbol" w:ascii="Symbol" w:hAnsi="Symbol"/>
          <w:iCs/>
        </w:rPr>
        <w:t></w:t>
      </w:r>
      <w:r>
        <w:rPr>
          <w:iCs/>
        </w:rPr>
        <w:t>L (.230 mL) 1M acetic acid. Mix by inversion and place on ice.</w:t>
      </w:r>
    </w:p>
    <w:p>
      <w:pPr>
        <w:pStyle w:val="Number11"/>
        <w:rPr/>
      </w:pPr>
      <w:r>
        <w:rPr/>
      </w:r>
    </w:p>
    <w:p>
      <w:pPr>
        <w:pStyle w:val="Number11"/>
        <w:rPr/>
      </w:pPr>
      <w:r>
        <w:rPr/>
        <w:tab/>
        <w:t>3.</w:t>
        <w:tab/>
        <w:t>Double-check that cryovials have correct participant ID label.</w:t>
      </w:r>
    </w:p>
    <w:p>
      <w:pPr>
        <w:pStyle w:val="Number11"/>
        <w:rPr/>
      </w:pPr>
      <w:r>
        <w:rPr/>
      </w:r>
    </w:p>
    <w:p>
      <w:pPr>
        <w:pStyle w:val="Number11"/>
        <w:rPr/>
      </w:pPr>
      <w:r>
        <w:rPr/>
        <w:tab/>
        <w:t>4.</w:t>
        <w:tab/>
        <w:t>Check off on the MESA Processing form the number of urine aliquots made (#s 63–65).</w:t>
      </w:r>
    </w:p>
    <w:p>
      <w:pPr>
        <w:pStyle w:val="Number11"/>
        <w:rPr/>
      </w:pPr>
      <w:r>
        <w:rPr/>
      </w:r>
    </w:p>
    <w:p>
      <w:pPr>
        <w:pStyle w:val="Number11"/>
        <w:rPr/>
      </w:pPr>
      <w:r>
        <w:rPr/>
        <w:tab/>
        <w:t>5.</w:t>
        <w:tab/>
        <w:t>Discard any extra urine.</w:t>
      </w:r>
    </w:p>
    <w:p>
      <w:pPr>
        <w:pStyle w:val="Number11"/>
        <w:rPr/>
      </w:pPr>
      <w:r>
        <w:rPr/>
      </w:r>
    </w:p>
    <w:p>
      <w:pPr>
        <w:pStyle w:val="Number11"/>
        <w:rPr/>
      </w:pPr>
      <w:r>
        <w:rPr/>
        <w:tab/>
        <w:t>6.</w:t>
        <w:tab/>
        <w:t>Freeze cryovials in an upright position at -70</w:t>
      </w:r>
      <w:r>
        <w:rPr>
          <w:vertAlign w:val="superscript"/>
        </w:rPr>
        <w:t xml:space="preserve">o </w:t>
      </w:r>
      <w:r>
        <w:rPr/>
        <w:t>C.</w:t>
      </w:r>
    </w:p>
    <w:p>
      <w:pPr>
        <w:pStyle w:val="Number11"/>
        <w:rPr/>
      </w:pPr>
      <w:r>
        <w:rPr/>
      </w:r>
    </w:p>
    <w:p>
      <w:pPr>
        <w:pStyle w:val="Number11"/>
        <w:rPr/>
      </w:pPr>
      <w:r>
        <w:rPr/>
        <w:tab/>
        <w:t>7.</w:t>
        <w:tab/>
        <w:t xml:space="preserve">Blind Duplicate Urine Sample. Process a blind duplicate urine sample from all participants who are selected to provide a blind duplicate blood sample. Aliquot 4 mL urine into a tube similar to #63. Freeze </w:t>
      </w:r>
      <w:r>
        <w:rPr>
          <w:i/>
          <w:iCs/>
        </w:rPr>
        <w:t>separately</w:t>
      </w:r>
      <w:r>
        <w:rPr/>
        <w:t xml:space="preserve"> cryovials in an upright position at -70</w:t>
      </w:r>
      <w:r>
        <w:rPr>
          <w:vertAlign w:val="superscript"/>
        </w:rPr>
        <w:t xml:space="preserve">o </w:t>
      </w:r>
      <w:r>
        <w:rPr/>
        <w:t xml:space="preserve">C. Ship with blind duplicate blood samples, one week after shipping tubes 63–65 (see 6.77 in the following chapter of this manual, “Collection, Processing, and Shipping of Blood Samples”). </w:t>
      </w:r>
    </w:p>
    <w:p>
      <w:pPr>
        <w:pStyle w:val="Number11"/>
        <w:rPr/>
      </w:pPr>
      <w:r>
        <w:rPr/>
      </w:r>
    </w:p>
    <w:p>
      <w:pPr>
        <w:pStyle w:val="Number1"/>
        <w:rPr/>
      </w:pPr>
      <w:r>
        <w:rPr/>
        <w:tab/>
        <w:t>7.0</w:t>
        <w:tab/>
      </w:r>
      <w:r>
        <w:rPr>
          <w:u w:val="single"/>
        </w:rPr>
        <w:t>Packaging and shipping samples</w:t>
      </w:r>
    </w:p>
    <w:p>
      <w:pPr>
        <w:pStyle w:val="Number1"/>
        <w:rPr/>
      </w:pPr>
      <w:r>
        <w:rPr/>
      </w:r>
    </w:p>
    <w:p>
      <w:pPr>
        <w:pStyle w:val="Number1"/>
        <w:rPr/>
      </w:pPr>
      <w:r>
        <w:rPr/>
        <w:tab/>
        <w:tab/>
        <w:t>Package and ship frozen urine specimens according to the instructions in sections 6.92, 7.31, and 7.4 of the Manual of Operations chapter, “Collection, Processing, and Shipping of Blood Samples.”</w:t>
      </w:r>
    </w:p>
    <w:p>
      <w:pPr>
        <w:pStyle w:val="Number1"/>
        <w:rPr/>
      </w:pPr>
      <w:r>
        <w:rPr/>
      </w:r>
    </w:p>
    <w:p>
      <w:pPr>
        <w:pStyle w:val="Number1"/>
        <w:rPr/>
      </w:pPr>
      <w:r>
        <w:rPr/>
        <w:tab/>
        <w:t>8.0</w:t>
        <w:tab/>
      </w:r>
      <w:r>
        <w:rPr>
          <w:u w:val="single"/>
        </w:rPr>
        <w:t>Reagent Description</w:t>
      </w:r>
    </w:p>
    <w:p>
      <w:pPr>
        <w:pStyle w:val="Number1"/>
        <w:rPr/>
      </w:pPr>
      <w:r>
        <w:rPr/>
      </w:r>
    </w:p>
    <w:p>
      <w:pPr>
        <w:sectPr>
          <w:headerReference w:type="even" r:id="rId128"/>
          <w:headerReference w:type="default" r:id="rId129"/>
          <w:footerReference w:type="even" r:id="rId130"/>
          <w:footerReference w:type="default" r:id="rId131"/>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ab/>
        <w:t>Acetic acid, which is provided by CBAL, will be used for urine processing. A stock bottle of this solution will be shipped inside a metal “paint can.” Because acetic acid is corrosive, it is recommended that you store the stock bottle inside this metal container at room temperature. The shelf life is approximately three years.</w:t>
      </w:r>
    </w:p>
    <w:p>
      <w:pPr>
        <w:pStyle w:val="Normal"/>
        <w:tabs>
          <w:tab w:val="clear" w:pos="720"/>
          <w:tab w:val="center" w:pos="4680" w:leader="none"/>
        </w:tabs>
        <w:jc w:val="center"/>
        <w:rPr>
          <w:b/>
          <w:b/>
          <w:sz w:val="36"/>
          <w:u w:val="single"/>
        </w:rPr>
      </w:pPr>
      <w:r>
        <w:rPr>
          <w:b/>
          <w:sz w:val="36"/>
          <w:u w:val="single"/>
        </w:rPr>
      </w:r>
    </w:p>
    <w:p>
      <w:pPr>
        <w:pStyle w:val="Subsub"/>
        <w:rPr/>
      </w:pPr>
      <w:bookmarkStart w:id="31" w:name="__RefHeading___Toc503858987"/>
      <w:bookmarkEnd w:id="31"/>
      <w:r>
        <w:rPr/>
        <w:t>3.7.2  Collection, Processing, and Shipping of Blood Samples</w:t>
      </w:r>
    </w:p>
    <w:p>
      <w:pPr>
        <w:pStyle w:val="Romanbold"/>
        <w:rPr/>
      </w:pPr>
      <w:r>
        <w:rPr/>
      </w:r>
    </w:p>
    <w:p>
      <w:pPr>
        <w:pStyle w:val="Romanbold"/>
        <w:rPr/>
      </w:pPr>
      <w:r>
        <w:rPr/>
        <w:tab/>
        <w:t>I.</w:t>
        <w:tab/>
        <w:t>purpose</w:t>
      </w:r>
    </w:p>
    <w:p>
      <w:pPr>
        <w:pStyle w:val="Number1"/>
        <w:rPr/>
      </w:pPr>
      <w:r>
        <w:fldChar w:fldCharType="begin"/>
      </w:r>
      <w:r>
        <w:rPr/>
        <w:instrText xml:space="preserve"> TC "I.</w:instrText>
        <w:tab/>
        <w:instrText xml:space="preserve">Purpose" \l 1 </w:instrText>
      </w:r>
      <w:r>
        <w:rPr/>
        <w:fldChar w:fldCharType="separate"/>
      </w:r>
      <w:r>
        <w:rPr/>
      </w:r>
      <w:r>
        <w:rPr/>
        <w:fldChar w:fldCharType="end"/>
      </w:r>
    </w:p>
    <w:p>
      <w:pPr>
        <w:pStyle w:val="Number1"/>
        <w:rPr/>
      </w:pPr>
      <w:r>
        <w:rPr/>
        <w:tab/>
        <w:t>1.</w:t>
        <w:tab/>
        <w:t>The Central Blood Analysis Laboratory (CBAL) will be responsible for special blood collection and handling protocols as well as training and QC monitoring at the Clinical Centers. The laboratory will also be responsible for performing assays and reporting results.</w:t>
      </w:r>
    </w:p>
    <w:p>
      <w:pPr>
        <w:pStyle w:val="Number1"/>
        <w:rPr/>
      </w:pPr>
      <w:r>
        <w:rPr/>
      </w:r>
    </w:p>
    <w:p>
      <w:pPr>
        <w:pStyle w:val="Number1"/>
        <w:rPr/>
      </w:pPr>
      <w:r>
        <w:rPr/>
        <w:tab/>
        <w:t>2.</w:t>
        <w:tab/>
        <w:t>The blood samples (65.5 mL from participants at enrollment) that are collected and processed by Clinical Center technicians are the foundation for all of these tests. The most important step—and potentially the most variable—is the collection and processing of the blood samples. If samples are not correctly drawn and processed, the laboratory results may not be precise or valid.</w:t>
      </w:r>
    </w:p>
    <w:p>
      <w:pPr>
        <w:pStyle w:val="Normal"/>
        <w:rPr/>
      </w:pPr>
      <w:r>
        <w:rPr/>
      </w:r>
    </w:p>
    <w:p>
      <w:pPr>
        <w:pStyle w:val="Romanbold"/>
        <w:rPr/>
      </w:pPr>
      <w:r>
        <w:rPr/>
        <w:tab/>
        <w:t>II.</w:t>
        <w:tab/>
        <w:t>Equipment &amp; Supplies</w:t>
      </w:r>
    </w:p>
    <w:p>
      <w:pPr>
        <w:pStyle w:val="Number1"/>
        <w:rPr/>
      </w:pPr>
      <w:r>
        <w:rPr/>
      </w:r>
    </w:p>
    <w:p>
      <w:pPr>
        <w:pStyle w:val="Number1"/>
        <w:rPr>
          <w:b/>
          <w:b/>
          <w:bCs/>
        </w:rPr>
      </w:pPr>
      <w:r>
        <w:rPr/>
        <w:tab/>
        <w:t>1.</w:t>
        <w:tab/>
        <w:t>CBAL will provide the following supplies in bulk:</w:t>
      </w:r>
    </w:p>
    <w:p>
      <w:pPr>
        <w:pStyle w:val="Number1"/>
        <w:rPr>
          <w:b/>
          <w:b/>
          <w:bCs/>
        </w:rPr>
      </w:pPr>
      <w:r>
        <w:rPr>
          <w:b/>
          <w:bCs/>
        </w:rPr>
      </w:r>
    </w:p>
    <w:p>
      <w:pPr>
        <w:pStyle w:val="Number1bodybullet"/>
        <w:rPr/>
      </w:pPr>
      <w:r>
        <w:rPr>
          <w:rFonts w:eastAsia="Symbol" w:cs="Symbol" w:ascii="Symbol" w:hAnsi="Symbol"/>
        </w:rPr>
        <w:t></w:t>
      </w:r>
      <w:r>
        <w:rPr/>
        <w:tab/>
        <w:t xml:space="preserve"> 5 mL SCAT-I tubes (must be refrigerated until use)</w:t>
      </w:r>
    </w:p>
    <w:p>
      <w:pPr>
        <w:pStyle w:val="Number1bodybullet"/>
        <w:rPr/>
      </w:pPr>
      <w:r>
        <w:rPr>
          <w:rFonts w:eastAsia="Symbol" w:cs="Symbol" w:ascii="Symbol" w:hAnsi="Symbol"/>
        </w:rPr>
        <w:t></w:t>
      </w:r>
      <w:r>
        <w:rPr/>
        <w:tab/>
        <w:t xml:space="preserve"> 8 mL cell preparation tubes (CPT)</w:t>
      </w:r>
    </w:p>
    <w:p>
      <w:pPr>
        <w:pStyle w:val="Number1bodybullet"/>
        <w:rPr/>
      </w:pPr>
      <w:r>
        <w:rPr>
          <w:rFonts w:eastAsia="Symbol" w:cs="Symbol" w:ascii="Symbol" w:hAnsi="Symbol"/>
        </w:rPr>
        <w:t></w:t>
      </w:r>
      <w:r>
        <w:rPr/>
        <w:tab/>
        <w:t xml:space="preserve"> 15 mL centrifuge tubes</w:t>
      </w:r>
    </w:p>
    <w:p>
      <w:pPr>
        <w:pStyle w:val="Number1bodybullet"/>
        <w:ind w:left="1320" w:hanging="330"/>
        <w:rPr/>
      </w:pPr>
      <w:r>
        <w:rPr>
          <w:rFonts w:eastAsia="Symbol" w:cs="Symbol" w:ascii="Symbol" w:hAnsi="Symbol"/>
        </w:rPr>
        <w:t></w:t>
      </w:r>
      <w:r>
        <w:rPr/>
        <w:t xml:space="preserve"> </w:t>
      </w:r>
      <w:r>
        <w:rPr/>
        <w:tab/>
        <w:t>0.5, 2.0, 4.0, and 10.0 mL cryovials and tubes, with colored caps for coding</w:t>
      </w:r>
    </w:p>
    <w:p>
      <w:pPr>
        <w:pStyle w:val="Number1bodybullet"/>
        <w:rPr>
          <w:b/>
          <w:b/>
          <w:bCs/>
        </w:rPr>
      </w:pPr>
      <w:r>
        <w:rPr>
          <w:rFonts w:eastAsia="Symbol" w:cs="Symbol" w:ascii="Symbol" w:hAnsi="Symbol"/>
        </w:rPr>
        <w:t></w:t>
      </w:r>
      <w:r>
        <w:rPr/>
        <w:tab/>
        <w:t xml:space="preserve"> Dextran preservative (ACD solution)</w:t>
      </w:r>
    </w:p>
    <w:p>
      <w:pPr>
        <w:pStyle w:val="Number1bodybullet"/>
        <w:rPr/>
      </w:pPr>
      <w:r>
        <w:rPr>
          <w:rFonts w:eastAsia="Symbol" w:cs="Symbol" w:ascii="Symbol" w:hAnsi="Symbol"/>
        </w:rPr>
        <w:t></w:t>
      </w:r>
      <w:r>
        <w:rPr/>
        <w:tab/>
        <w:t xml:space="preserve"> Freezing Media A (must be stored at -20 C</w:t>
      </w:r>
      <w:r>
        <w:rPr>
          <w:rFonts w:eastAsia="Symbol" w:cs="Symbol" w:ascii="Symbol" w:hAnsi="Symbol"/>
        </w:rPr>
        <w:t></w:t>
      </w:r>
      <w:r>
        <w:rPr/>
        <w:t>)</w:t>
      </w:r>
    </w:p>
    <w:p>
      <w:pPr>
        <w:pStyle w:val="Number1bodybullet"/>
        <w:rPr/>
      </w:pPr>
      <w:r>
        <w:rPr>
          <w:rFonts w:eastAsia="Symbol" w:cs="Symbol" w:ascii="Symbol" w:hAnsi="Symbol"/>
        </w:rPr>
        <w:t></w:t>
      </w:r>
      <w:r>
        <w:rPr/>
        <w:tab/>
        <w:t xml:space="preserve"> Freezing Media B (must be stored at -20 C</w:t>
      </w:r>
      <w:r>
        <w:rPr>
          <w:rFonts w:eastAsia="Symbol" w:cs="Symbol" w:ascii="Symbol" w:hAnsi="Symbol"/>
        </w:rPr>
        <w:t></w:t>
      </w:r>
      <w:r>
        <w:rPr/>
        <w:t>)</w:t>
      </w:r>
    </w:p>
    <w:p>
      <w:pPr>
        <w:pStyle w:val="Number1bodybullet"/>
        <w:rPr/>
      </w:pPr>
      <w:r>
        <w:rPr>
          <w:rFonts w:eastAsia="Symbol" w:cs="Symbol" w:ascii="Symbol" w:hAnsi="Symbol"/>
        </w:rPr>
        <w:t></w:t>
      </w:r>
      <w:r>
        <w:rPr/>
        <w:tab/>
        <w:t xml:space="preserve"> PBS tablets</w:t>
      </w:r>
    </w:p>
    <w:p>
      <w:pPr>
        <w:pStyle w:val="Number1bodybullet"/>
        <w:rPr/>
      </w:pPr>
      <w:r>
        <w:rPr/>
      </w:r>
    </w:p>
    <w:p>
      <w:pPr>
        <w:pStyle w:val="Number1"/>
        <w:rPr/>
      </w:pPr>
      <w:r>
        <w:rPr/>
        <w:tab/>
        <w:t>2.</w:t>
        <w:tab/>
        <w:t>The blood collection area should have the following supplies:</w:t>
      </w:r>
    </w:p>
    <w:p>
      <w:pPr>
        <w:pStyle w:val="Normal"/>
        <w:ind w:left="900" w:hanging="900"/>
        <w:rPr/>
      </w:pPr>
      <w:r>
        <w:rPr/>
      </w:r>
    </w:p>
    <w:p>
      <w:pPr>
        <w:pStyle w:val="Number1bodybullet"/>
        <w:rPr/>
      </w:pPr>
      <w:r>
        <w:rPr>
          <w:rFonts w:eastAsia="Symbol" w:cs="Symbol" w:ascii="Symbol" w:hAnsi="Symbol"/>
        </w:rPr>
        <w:t></w:t>
      </w:r>
      <w:r>
        <w:rPr/>
        <w:tab/>
        <w:t>Lab coats and gloves</w:t>
      </w:r>
    </w:p>
    <w:p>
      <w:pPr>
        <w:pStyle w:val="Number1bodybullet"/>
        <w:rPr/>
      </w:pPr>
      <w:r>
        <w:rPr>
          <w:rFonts w:eastAsia="Symbol" w:cs="Symbol" w:ascii="Symbol" w:hAnsi="Symbol"/>
        </w:rPr>
        <w:t></w:t>
      </w:r>
      <w:r>
        <w:rPr/>
        <w:tab/>
        <w:t>Phlebotomy chair</w:t>
      </w:r>
    </w:p>
    <w:p>
      <w:pPr>
        <w:pStyle w:val="Number1bodybullet"/>
        <w:rPr/>
      </w:pPr>
      <w:r>
        <w:rPr>
          <w:rFonts w:eastAsia="Symbol" w:cs="Symbol" w:ascii="Symbol" w:hAnsi="Symbol"/>
        </w:rPr>
        <w:t></w:t>
      </w:r>
      <w:r>
        <w:rPr/>
        <w:tab/>
        <w:t>Plastic cart with wheels (or plastic tray with compartments) for supplies</w:t>
      </w:r>
    </w:p>
    <w:p>
      <w:pPr>
        <w:pStyle w:val="Number1bodybullet"/>
        <w:rPr/>
      </w:pPr>
      <w:r>
        <w:rPr>
          <w:rFonts w:eastAsia="Symbol" w:cs="Symbol" w:ascii="Symbol" w:hAnsi="Symbol"/>
        </w:rPr>
        <w:t></w:t>
      </w:r>
      <w:r>
        <w:rPr/>
        <w:tab/>
        <w:t>Ice bucket with crushed ice, filled 10 minutes before blood draw</w:t>
      </w:r>
    </w:p>
    <w:p>
      <w:pPr>
        <w:pStyle w:val="Number1bodybullet"/>
        <w:rPr/>
      </w:pPr>
      <w:r>
        <w:rPr>
          <w:rFonts w:eastAsia="Symbol" w:cs="Symbol" w:ascii="Symbol" w:hAnsi="Symbol"/>
        </w:rPr>
        <w:t></w:t>
      </w:r>
      <w:r>
        <w:rPr/>
        <w:tab/>
        <w:t>Blood tube racks</w:t>
      </w:r>
    </w:p>
    <w:p>
      <w:pPr>
        <w:pStyle w:val="Number1bodybullet"/>
        <w:rPr/>
      </w:pPr>
      <w:r>
        <w:rPr>
          <w:rFonts w:eastAsia="Symbol" w:cs="Symbol" w:ascii="Symbol" w:hAnsi="Symbol"/>
        </w:rPr>
        <w:t></w:t>
      </w:r>
      <w:r>
        <w:rPr/>
        <w:tab/>
        <w:t>Blood tube rocker</w:t>
      </w:r>
    </w:p>
    <w:p>
      <w:pPr>
        <w:pStyle w:val="Number1bodybullet"/>
        <w:rPr/>
      </w:pPr>
      <w:r>
        <w:rPr>
          <w:rFonts w:eastAsia="Symbol" w:cs="Symbol" w:ascii="Symbol" w:hAnsi="Symbol"/>
        </w:rPr>
        <w:t></w:t>
      </w:r>
      <w:r>
        <w:rPr/>
        <w:tab/>
        <w:t>Basin (just in case)</w:t>
      </w:r>
    </w:p>
    <w:p>
      <w:pPr>
        <w:pStyle w:val="Number1bodybullet"/>
        <w:rPr/>
      </w:pPr>
      <w:r>
        <w:rPr>
          <w:rFonts w:eastAsia="Symbol" w:cs="Symbol" w:ascii="Symbol" w:hAnsi="Symbol"/>
        </w:rPr>
        <w:t></w:t>
      </w:r>
      <w:r>
        <w:rPr/>
        <w:tab/>
        <w:t>Smelling salts</w:t>
      </w:r>
    </w:p>
    <w:p>
      <w:pPr>
        <w:pStyle w:val="Number1bodybullet"/>
        <w:rPr/>
      </w:pPr>
      <w:r>
        <w:rPr>
          <w:rFonts w:eastAsia="Symbol" w:cs="Symbol" w:ascii="Symbol" w:hAnsi="Symbol"/>
        </w:rPr>
        <w:t></w:t>
      </w:r>
      <w:r>
        <w:rPr/>
        <w:tab/>
        <w:t>Washcloths and towels</w:t>
      </w:r>
    </w:p>
    <w:p>
      <w:pPr>
        <w:pStyle w:val="Number1bodybullet"/>
        <w:rPr/>
      </w:pPr>
      <w:r>
        <w:rPr>
          <w:rFonts w:eastAsia="Symbol" w:cs="Symbol" w:ascii="Symbol" w:hAnsi="Symbol"/>
        </w:rPr>
        <w:t></w:t>
      </w:r>
      <w:r>
        <w:rPr/>
        <w:tab/>
        <w:t>Lab mats and wipes</w:t>
      </w:r>
    </w:p>
    <w:p>
      <w:pPr>
        <w:pStyle w:val="Number1bodybullet"/>
        <w:rPr/>
      </w:pPr>
      <w:r>
        <w:rPr>
          <w:rFonts w:eastAsia="Symbol" w:cs="Symbol" w:ascii="Symbol" w:hAnsi="Symbol"/>
        </w:rPr>
        <w:t></w:t>
      </w:r>
      <w:r>
        <w:rPr/>
        <w:tab/>
        <w:t>Participant ID labels</w:t>
      </w:r>
    </w:p>
    <w:p>
      <w:pPr>
        <w:pStyle w:val="Number1bodybullet"/>
        <w:rPr/>
      </w:pPr>
      <w:r>
        <w:rPr>
          <w:rFonts w:eastAsia="Symbol" w:cs="Symbol" w:ascii="Symbol" w:hAnsi="Symbol"/>
        </w:rPr>
        <w:t></w:t>
      </w:r>
      <w:r>
        <w:rPr/>
        <w:tab/>
        <w:t>Phlebotomy Form</w:t>
      </w:r>
    </w:p>
    <w:p>
      <w:pPr>
        <w:pStyle w:val="Number1bodybullet"/>
        <w:rPr/>
      </w:pPr>
      <w:r>
        <w:rPr>
          <w:rFonts w:eastAsia="Symbol" w:cs="Symbol" w:ascii="Symbol" w:hAnsi="Symbol"/>
        </w:rPr>
        <w:t></w:t>
      </w:r>
      <w:r>
        <w:rPr/>
        <w:tab/>
        <w:t>MESA Processing Form</w:t>
      </w:r>
    </w:p>
    <w:p>
      <w:pPr>
        <w:pStyle w:val="Number1bodybullet"/>
        <w:rPr/>
      </w:pPr>
      <w:r>
        <w:rPr>
          <w:rFonts w:eastAsia="Symbol" w:cs="Symbol" w:ascii="Symbol" w:hAnsi="Symbol"/>
        </w:rPr>
        <w:t></w:t>
      </w:r>
      <w:r>
        <w:rPr/>
        <w:tab/>
        <w:t>Pens</w:t>
      </w:r>
    </w:p>
    <w:p>
      <w:pPr>
        <w:pStyle w:val="Number1bodybullet"/>
        <w:rPr/>
      </w:pPr>
      <w:r>
        <w:rPr>
          <w:rFonts w:eastAsia="Symbol" w:cs="Symbol" w:ascii="Symbol" w:hAnsi="Symbol"/>
        </w:rPr>
        <w:t></w:t>
      </w:r>
      <w:r>
        <w:rPr/>
        <w:tab/>
        <w:t>Blood collection tubes:</w:t>
      </w:r>
    </w:p>
    <w:p>
      <w:pPr>
        <w:pStyle w:val="Number11bodybullet"/>
        <w:tabs>
          <w:tab w:val="clear" w:pos="1530"/>
          <w:tab w:val="right" w:pos="1350" w:leader="none"/>
        </w:tabs>
        <w:ind w:left="0" w:hanging="0"/>
        <w:rPr/>
      </w:pPr>
      <w:r>
        <w:rPr/>
        <w:tab/>
        <w:t>-</w:t>
        <w:tab/>
        <w:t>two 10 mL EDTA tubes (BD 366457)</w:t>
      </w:r>
    </w:p>
    <w:p>
      <w:pPr>
        <w:pStyle w:val="Number11bodybullet"/>
        <w:tabs>
          <w:tab w:val="clear" w:pos="1530"/>
          <w:tab w:val="right" w:pos="1350" w:leader="none"/>
        </w:tabs>
        <w:ind w:left="0" w:hanging="0"/>
        <w:rPr/>
      </w:pPr>
      <w:r>
        <w:rPr/>
        <w:tab/>
        <w:t>-</w:t>
        <w:tab/>
        <w:t>two 10 mL red-topped serum tubes (BD 366430)</w:t>
      </w:r>
    </w:p>
    <w:p>
      <w:pPr>
        <w:pStyle w:val="Number11bodybullet"/>
        <w:tabs>
          <w:tab w:val="clear" w:pos="1530"/>
          <w:tab w:val="right" w:pos="1350" w:leader="none"/>
        </w:tabs>
        <w:ind w:left="0" w:hanging="0"/>
        <w:rPr/>
      </w:pPr>
      <w:r>
        <w:rPr/>
        <w:tab/>
        <w:t>-</w:t>
        <w:tab/>
        <w:t>one 4.5 mL citrate tubes (BD 366415)</w:t>
      </w:r>
    </w:p>
    <w:p>
      <w:pPr>
        <w:pStyle w:val="Number11bodybullet"/>
        <w:tabs>
          <w:tab w:val="clear" w:pos="1530"/>
          <w:tab w:val="right" w:pos="1350" w:leader="none"/>
        </w:tabs>
        <w:ind w:left="0" w:hanging="0"/>
        <w:rPr/>
      </w:pPr>
      <w:r>
        <w:rPr/>
        <w:tab/>
        <w:t>-</w:t>
        <w:tab/>
        <w:t>one 5 mL SCAT-I (provided by CBAL)</w:t>
        <w:tab/>
      </w:r>
    </w:p>
    <w:p>
      <w:pPr>
        <w:pStyle w:val="Number11bodybullet"/>
        <w:tabs>
          <w:tab w:val="clear" w:pos="1530"/>
          <w:tab w:val="right" w:pos="1350" w:leader="none"/>
        </w:tabs>
        <w:ind w:left="0" w:hanging="0"/>
        <w:rPr/>
      </w:pPr>
      <w:r>
        <w:rPr/>
        <w:tab/>
        <w:t>-</w:t>
        <w:tab/>
        <w:t>two 8 mL CPT (provided by CBAL)</w:t>
      </w:r>
    </w:p>
    <w:p>
      <w:pPr>
        <w:pStyle w:val="Number1bodybullet"/>
        <w:rPr/>
      </w:pPr>
      <w:r>
        <w:rPr>
          <w:rFonts w:eastAsia="Symbol" w:cs="Symbol" w:ascii="Symbol" w:hAnsi="Symbol"/>
        </w:rPr>
        <w:t></w:t>
      </w:r>
      <w:r>
        <w:rPr/>
        <w:tab/>
        <w:t>For Blind Duplicate Samples: 5 mL serum (B-D 366534) and 5 mL EDTA (B-D 366452) tubes</w:t>
        <w:tab/>
      </w:r>
    </w:p>
    <w:p>
      <w:pPr>
        <w:pStyle w:val="Number1bodybullet"/>
        <w:rPr/>
      </w:pPr>
      <w:r>
        <w:rPr>
          <w:rFonts w:eastAsia="Symbol" w:cs="Symbol" w:ascii="Symbol" w:hAnsi="Symbol"/>
        </w:rPr>
        <w:t></w:t>
      </w:r>
      <w:r>
        <w:rPr/>
        <w:tab/>
        <w:t>Alcohol prep pads</w:t>
      </w:r>
    </w:p>
    <w:p>
      <w:pPr>
        <w:pStyle w:val="Number1bodybullet"/>
        <w:rPr/>
      </w:pPr>
      <w:r>
        <w:rPr>
          <w:rFonts w:eastAsia="Symbol" w:cs="Symbol" w:ascii="Symbol" w:hAnsi="Symbol"/>
        </w:rPr>
        <w:t></w:t>
      </w:r>
      <w:r>
        <w:rPr/>
        <w:tab/>
        <w:t>Tourniquets (quick-release tourniquet, supplied by the blood lab, is recommended; please do not use blood pressure cuff)</w:t>
        <w:tab/>
      </w:r>
    </w:p>
    <w:p>
      <w:pPr>
        <w:pStyle w:val="Number1bodybullet"/>
        <w:rPr/>
      </w:pPr>
      <w:r>
        <w:rPr>
          <w:rFonts w:eastAsia="Symbol" w:cs="Symbol" w:ascii="Symbol" w:hAnsi="Symbol"/>
        </w:rPr>
        <w:t></w:t>
      </w:r>
      <w:r>
        <w:rPr/>
        <w:tab/>
        <w:t>21 gauge Butterfly needles with luer adapter (BD #7251)</w:t>
      </w:r>
    </w:p>
    <w:p>
      <w:pPr>
        <w:pStyle w:val="Number1bodybullet"/>
        <w:rPr/>
      </w:pPr>
      <w:r>
        <w:rPr>
          <w:rFonts w:eastAsia="Symbol" w:cs="Symbol" w:ascii="Symbol" w:hAnsi="Symbol"/>
        </w:rPr>
        <w:t></w:t>
      </w:r>
      <w:r>
        <w:rPr/>
        <w:tab/>
        <w:t>Vacutainer barrels</w:t>
      </w:r>
    </w:p>
    <w:p>
      <w:pPr>
        <w:pStyle w:val="Number1bodybullet"/>
        <w:rPr/>
      </w:pPr>
      <w:r>
        <w:rPr>
          <w:rFonts w:eastAsia="Symbol" w:cs="Symbol" w:ascii="Symbol" w:hAnsi="Symbol"/>
        </w:rPr>
        <w:t></w:t>
      </w:r>
      <w:r>
        <w:rPr/>
        <w:tab/>
        <w:t>Timer/stopwatch</w:t>
      </w:r>
    </w:p>
    <w:p>
      <w:pPr>
        <w:pStyle w:val="Number1bodybullet"/>
        <w:rPr/>
      </w:pPr>
      <w:r>
        <w:rPr>
          <w:rFonts w:eastAsia="Symbol" w:cs="Symbol" w:ascii="Symbol" w:hAnsi="Symbol"/>
        </w:rPr>
        <w:t></w:t>
      </w:r>
      <w:r>
        <w:rPr/>
        <w:tab/>
        <w:t>Scissors</w:t>
      </w:r>
    </w:p>
    <w:p>
      <w:pPr>
        <w:pStyle w:val="Number1bodybullet"/>
        <w:rPr/>
      </w:pPr>
      <w:r>
        <w:rPr>
          <w:rFonts w:eastAsia="Symbol" w:cs="Symbol" w:ascii="Symbol" w:hAnsi="Symbol"/>
        </w:rPr>
        <w:t></w:t>
      </w:r>
      <w:r>
        <w:rPr/>
        <w:tab/>
        <w:t>Surgical tape/paper tape</w:t>
      </w:r>
    </w:p>
    <w:p>
      <w:pPr>
        <w:pStyle w:val="Number1bodybullet"/>
        <w:rPr/>
      </w:pPr>
      <w:r>
        <w:rPr>
          <w:rFonts w:eastAsia="Symbol" w:cs="Symbol" w:ascii="Symbol" w:hAnsi="Symbol"/>
        </w:rPr>
        <w:t></w:t>
      </w:r>
      <w:r>
        <w:rPr/>
        <w:tab/>
        <w:t>“Bandaids”</w:t>
      </w:r>
    </w:p>
    <w:p>
      <w:pPr>
        <w:pStyle w:val="Number1bodybullet"/>
        <w:rPr/>
      </w:pPr>
      <w:r>
        <w:rPr>
          <w:rFonts w:eastAsia="Symbol" w:cs="Symbol" w:ascii="Symbol" w:hAnsi="Symbol"/>
        </w:rPr>
        <w:t></w:t>
      </w:r>
      <w:r>
        <w:rPr/>
        <w:tab/>
        <w:t>Gauze (2x2-inch)</w:t>
      </w:r>
    </w:p>
    <w:p>
      <w:pPr>
        <w:pStyle w:val="Number1bodybullet"/>
        <w:rPr/>
      </w:pPr>
      <w:r>
        <w:rPr>
          <w:rFonts w:eastAsia="Symbol" w:cs="Symbol" w:ascii="Symbol" w:hAnsi="Symbol"/>
        </w:rPr>
        <w:t></w:t>
      </w:r>
      <w:r>
        <w:rPr/>
        <w:tab/>
        <w:t>Blood spill kit</w:t>
      </w:r>
    </w:p>
    <w:p>
      <w:pPr>
        <w:pStyle w:val="Number1bodybullet"/>
        <w:rPr/>
      </w:pPr>
      <w:r>
        <w:rPr>
          <w:rFonts w:eastAsia="Symbol" w:cs="Symbol" w:ascii="Symbol" w:hAnsi="Symbol"/>
        </w:rPr>
        <w:t></w:t>
      </w:r>
      <w:r>
        <w:rPr/>
        <w:t xml:space="preserve"> </w:t>
      </w:r>
      <w:r>
        <w:rPr/>
        <w:tab/>
        <w:t>Biohazards waste container</w:t>
      </w:r>
    </w:p>
    <w:p>
      <w:pPr>
        <w:pStyle w:val="Number1bodybullet"/>
        <w:rPr/>
      </w:pPr>
      <w:r>
        <w:rPr>
          <w:rFonts w:eastAsia="Symbol" w:cs="Symbol" w:ascii="Symbol" w:hAnsi="Symbol"/>
        </w:rPr>
        <w:t></w:t>
      </w:r>
      <w:r>
        <w:rPr/>
        <w:t xml:space="preserve"> </w:t>
      </w:r>
      <w:r>
        <w:rPr/>
        <w:tab/>
        <w:t>Needle/sharps container</w:t>
      </w:r>
    </w:p>
    <w:p>
      <w:pPr>
        <w:pStyle w:val="Number1bodybullet"/>
        <w:rPr/>
      </w:pPr>
      <w:r>
        <w:rPr>
          <w:rFonts w:eastAsia="Symbol" w:cs="Symbol" w:ascii="Symbol" w:hAnsi="Symbol"/>
        </w:rPr>
        <w:t></w:t>
      </w:r>
      <w:r>
        <w:rPr/>
        <w:tab/>
        <w:t>10% bleach solution or approved biohazard disinfectant</w:t>
      </w:r>
    </w:p>
    <w:p>
      <w:pPr>
        <w:pStyle w:val="Number1bodybullet"/>
        <w:rPr/>
      </w:pPr>
      <w:r>
        <w:rPr/>
      </w:r>
    </w:p>
    <w:p>
      <w:pPr>
        <w:pStyle w:val="Normal"/>
        <w:ind w:firstLine="2160"/>
        <w:rPr>
          <w:sz w:val="22"/>
        </w:rPr>
      </w:pPr>
      <w:r>
        <w:rPr/>
        <w:tab/>
      </w:r>
    </w:p>
    <w:p>
      <w:pPr>
        <w:pStyle w:val="Romanbold"/>
        <w:rPr/>
      </w:pPr>
      <w:r>
        <w:rPr/>
        <w:tab/>
        <w:t>III.</w:t>
        <w:tab/>
        <w:t>definitions</w:t>
      </w:r>
    </w:p>
    <w:p>
      <w:pPr>
        <w:pStyle w:val="Romanbold"/>
        <w:rPr/>
      </w:pPr>
      <w:r>
        <w:rPr/>
      </w:r>
    </w:p>
    <w:p>
      <w:pPr>
        <w:pStyle w:val="Romanbold"/>
        <w:rPr/>
      </w:pPr>
      <w:r>
        <w:rPr/>
        <w:tab/>
        <w:t>IV.</w:t>
        <w:tab/>
        <w:t>methods</w:t>
      </w:r>
    </w:p>
    <w:p>
      <w:pPr>
        <w:pStyle w:val="Normal"/>
        <w:rPr>
          <w:b/>
          <w:b/>
          <w:sz w:val="22"/>
        </w:rPr>
      </w:pPr>
      <w:r>
        <w:rPr>
          <w:b/>
          <w:sz w:val="22"/>
        </w:rPr>
      </w:r>
    </w:p>
    <w:p>
      <w:pPr>
        <w:pStyle w:val="Number1"/>
        <w:rPr/>
      </w:pPr>
      <w:r>
        <w:rPr/>
        <w:tab/>
        <w:t>1.</w:t>
        <w:tab/>
      </w:r>
      <w:r>
        <w:rPr>
          <w:u w:val="single"/>
        </w:rPr>
        <w:t>Safety Issues and Precautions for Handling Blood Specimens</w:t>
      </w:r>
      <w:r>
        <w:rPr/>
        <w:t>.</w:t>
      </w:r>
    </w:p>
    <w:p>
      <w:pPr>
        <w:pStyle w:val="Number1"/>
        <w:rPr/>
      </w:pPr>
      <w:r>
        <w:rPr/>
        <w:tab/>
      </w:r>
    </w:p>
    <w:p>
      <w:pPr>
        <w:pStyle w:val="Number1"/>
        <w:rPr/>
      </w:pPr>
      <w:r>
        <w:rPr/>
        <w:tab/>
        <w:tab/>
        <w:t>In accordance with the Occupational Safety and Health Administration (OSHA) regulations on bloodborne pathogens, the CBAL recommends the following laboratory safety protocol for the field center laboratories:</w:t>
      </w:r>
    </w:p>
    <w:p>
      <w:pPr>
        <w:pStyle w:val="Number11"/>
        <w:rPr/>
      </w:pPr>
      <w:r>
        <w:rPr/>
      </w:r>
    </w:p>
    <w:p>
      <w:pPr>
        <w:pStyle w:val="Number11"/>
        <w:rPr/>
      </w:pPr>
      <w:r>
        <w:rPr/>
        <w:tab/>
        <w:t>1.1</w:t>
        <w:tab/>
        <w:t>Use non-permeable lab coats, latex gloves, and face shields when handling any blood in any situation in which splashes, spray, spatter, or droplets of blood may be generated  and eye, nose, or mouth contamination can be reasonably anticipated.</w:t>
      </w:r>
    </w:p>
    <w:p>
      <w:pPr>
        <w:pStyle w:val="Number11"/>
        <w:rPr/>
      </w:pPr>
      <w:r>
        <w:rPr/>
      </w:r>
    </w:p>
    <w:p>
      <w:pPr>
        <w:pStyle w:val="Number11"/>
        <w:rPr/>
      </w:pPr>
      <w:r>
        <w:rPr/>
        <w:tab/>
        <w:t>1.2</w:t>
        <w:tab/>
        <w:t>Use aerosol containers in all centrifuges.</w:t>
      </w:r>
    </w:p>
    <w:p>
      <w:pPr>
        <w:pStyle w:val="Number11"/>
        <w:rPr>
          <w:sz w:val="22"/>
          <w:szCs w:val="20"/>
        </w:rPr>
      </w:pPr>
      <w:r>
        <w:rPr>
          <w:sz w:val="22"/>
          <w:szCs w:val="20"/>
        </w:rPr>
      </w:r>
    </w:p>
    <w:p>
      <w:pPr>
        <w:pStyle w:val="Number11"/>
        <w:rPr/>
      </w:pPr>
      <w:r>
        <w:rPr/>
        <w:tab/>
        <w:t>1.3</w:t>
        <w:tab/>
        <w:t>Follow 'Universal Precautions' when handling any blood products.</w:t>
      </w:r>
    </w:p>
    <w:p>
      <w:pPr>
        <w:pStyle w:val="Number11"/>
        <w:rPr>
          <w:sz w:val="22"/>
        </w:rPr>
      </w:pPr>
      <w:r>
        <w:rPr>
          <w:sz w:val="22"/>
        </w:rPr>
      </w:r>
    </w:p>
    <w:p>
      <w:pPr>
        <w:pStyle w:val="Number11"/>
        <w:rPr/>
      </w:pPr>
      <w:r>
        <w:rPr/>
        <w:tab/>
        <w:t>1.4</w:t>
        <w:tab/>
        <w:t>Immediately place contaminated needles and sharps in a puncture-resistant, leak-proof container. Never recap or break needles.</w:t>
      </w:r>
    </w:p>
    <w:p>
      <w:pPr>
        <w:pStyle w:val="Number11"/>
        <w:rPr/>
      </w:pPr>
      <w:r>
        <w:rPr/>
      </w:r>
    </w:p>
    <w:p>
      <w:pPr>
        <w:pStyle w:val="Number11"/>
        <w:rPr/>
      </w:pPr>
      <w:r>
        <w:rPr/>
        <w:tab/>
        <w:t>1.5</w:t>
        <w:tab/>
        <w:t>Offer Hepatitis B vaccine to all unvaccinated technicians who handle blood. Documentation of vaccination, or technician’s refusal to be vaccinated, should be kept on file at the Clinical Center.</w:t>
      </w:r>
    </w:p>
    <w:p>
      <w:pPr>
        <w:pStyle w:val="Number11"/>
        <w:rPr>
          <w:sz w:val="22"/>
        </w:rPr>
      </w:pPr>
      <w:r>
        <w:rPr>
          <w:sz w:val="22"/>
        </w:rPr>
      </w:r>
    </w:p>
    <w:p>
      <w:pPr>
        <w:pStyle w:val="Number1"/>
        <w:rPr>
          <w:i/>
          <w:i/>
        </w:rPr>
      </w:pPr>
      <w:r>
        <w:rPr/>
        <w:tab/>
        <w:t>2.</w:t>
        <w:tab/>
      </w:r>
      <w:r>
        <w:rPr>
          <w:u w:val="single"/>
        </w:rPr>
        <w:t>Participant ID Labels</w:t>
      </w:r>
    </w:p>
    <w:p>
      <w:pPr>
        <w:pStyle w:val="Normal"/>
        <w:rPr>
          <w:i/>
          <w:i/>
        </w:rPr>
      </w:pPr>
      <w:r>
        <w:rPr>
          <w:i/>
        </w:rPr>
      </w:r>
    </w:p>
    <w:p>
      <w:pPr>
        <w:pStyle w:val="Number11"/>
        <w:rPr/>
      </w:pPr>
      <w:r>
        <w:rPr/>
        <w:tab/>
        <w:t>2.1</w:t>
        <w:tab/>
        <w:t>The Coordinating Center will supply each field center with sheets of sample ID barcode labels to use for labeling draw tubes, working tubes, cryovials, and freezer boxes. There will be a total of 80 labels (some of which will be used for urine collection and processing):</w:t>
      </w:r>
    </w:p>
    <w:p>
      <w:pPr>
        <w:pStyle w:val="Number11bodybullet"/>
        <w:ind w:left="0" w:hanging="0"/>
        <w:rPr/>
      </w:pPr>
      <w:r>
        <w:rPr/>
      </w:r>
    </w:p>
    <w:p>
      <w:pPr>
        <w:pStyle w:val="Number11bodybullet"/>
        <w:rPr/>
      </w:pPr>
      <w:r>
        <w:rPr/>
        <w:tab/>
      </w:r>
      <w:r>
        <w:rPr>
          <w:rFonts w:eastAsia="Symbol" w:cs="Symbol" w:ascii="Symbol" w:hAnsi="Symbol"/>
        </w:rPr>
        <w:t></w:t>
      </w:r>
      <w:r>
        <w:rPr/>
        <w:tab/>
        <w:t>8 labels for the draw tubes</w:t>
      </w:r>
    </w:p>
    <w:p>
      <w:pPr>
        <w:pStyle w:val="Number11bodybullet"/>
        <w:rPr/>
      </w:pPr>
      <w:r>
        <w:rPr/>
        <w:tab/>
      </w:r>
      <w:r>
        <w:rPr>
          <w:rFonts w:eastAsia="Symbol" w:cs="Symbol" w:ascii="Symbol" w:hAnsi="Symbol"/>
        </w:rPr>
        <w:t></w:t>
      </w:r>
      <w:r>
        <w:rPr/>
        <w:tab/>
        <w:t>1 label for the freezer box</w:t>
      </w:r>
    </w:p>
    <w:p>
      <w:pPr>
        <w:pStyle w:val="Number11bodybullet"/>
        <w:rPr/>
      </w:pPr>
      <w:r>
        <w:rPr/>
        <w:tab/>
      </w:r>
      <w:r>
        <w:rPr>
          <w:rFonts w:eastAsia="Symbol" w:cs="Symbol" w:ascii="Symbol" w:hAnsi="Symbol"/>
        </w:rPr>
        <w:t></w:t>
      </w:r>
      <w:r>
        <w:rPr/>
        <w:tab/>
        <w:t>65 cryovial labels</w:t>
      </w:r>
    </w:p>
    <w:p>
      <w:pPr>
        <w:pStyle w:val="Number11bodybullet"/>
        <w:rPr/>
      </w:pPr>
      <w:r>
        <w:rPr/>
        <w:tab/>
      </w:r>
      <w:r>
        <w:rPr>
          <w:rFonts w:eastAsia="Symbol" w:cs="Symbol" w:ascii="Symbol" w:hAnsi="Symbol"/>
        </w:rPr>
        <w:t></w:t>
      </w:r>
      <w:r>
        <w:rPr/>
        <w:tab/>
        <w:t>6 extra labels</w:t>
      </w:r>
    </w:p>
    <w:p>
      <w:pPr>
        <w:pStyle w:val="Number11bodybullet"/>
        <w:rPr/>
      </w:pPr>
      <w:r>
        <w:rPr/>
      </w:r>
    </w:p>
    <w:p>
      <w:pPr>
        <w:pStyle w:val="Number11"/>
        <w:rPr/>
      </w:pPr>
      <w:r>
        <w:rPr/>
        <w:tab/>
        <w:t>2.2</w:t>
        <w:tab/>
        <w:t>Each set of participant barcode labels has the same 7-digit sample identification number. (The first digit identifies the clinic. Wake Forest  is 3, Columbia 4, John’s Hopkins 5, University of Minnesota 6, Northwestern 7, UCLA 8.) The cryovial labels also have a 2-digit extension (01 to 62) that uniquely identifies each cryovial within a sample ID and helps in tracking the repository. See Appendix for proper orientation of the barcode label on  the cryovial.</w:t>
      </w:r>
    </w:p>
    <w:p>
      <w:pPr>
        <w:pStyle w:val="Number11"/>
        <w:rPr/>
      </w:pPr>
      <w:r>
        <w:rPr/>
      </w:r>
    </w:p>
    <w:p>
      <w:pPr>
        <w:pStyle w:val="Number11"/>
        <w:rPr/>
      </w:pPr>
      <w:r>
        <w:rPr/>
        <w:tab/>
        <w:t>2.3</w:t>
        <w:tab/>
        <w:t xml:space="preserve">There will also be special QC ID labels for the blind duplicate samples. See section 6.7 for further information about this procedure. </w:t>
      </w:r>
    </w:p>
    <w:p>
      <w:pPr>
        <w:pStyle w:val="Normal"/>
        <w:tabs>
          <w:tab w:val="clear" w:pos="720"/>
          <w:tab w:val="right" w:pos="1620" w:leader="none"/>
        </w:tabs>
        <w:ind w:left="1530" w:hanging="1530"/>
        <w:rPr/>
      </w:pPr>
      <w:r>
        <w:rPr/>
      </w:r>
    </w:p>
    <w:p>
      <w:pPr>
        <w:pStyle w:val="Number11"/>
        <w:rPr>
          <w:b/>
          <w:b/>
        </w:rPr>
      </w:pPr>
      <w:r>
        <w:rPr/>
        <w:tab/>
        <w:t>2.4</w:t>
        <w:tab/>
        <w:t>Blood samples must be precisely labeled throughout the collection and processing stages to ensure they are correctly coded. Always pre-label sets of collection tubes and cryovials prior to the participant's visit, and cross-check the labels with each participant’s ID number prior to the phlebotomy.</w:t>
      </w:r>
    </w:p>
    <w:p>
      <w:pPr>
        <w:pStyle w:val="Normal"/>
        <w:rPr>
          <w:b/>
          <w:b/>
          <w:bCs/>
        </w:rPr>
      </w:pPr>
      <w:r>
        <w:rPr>
          <w:b/>
          <w:bCs/>
        </w:rPr>
      </w:r>
    </w:p>
    <w:p>
      <w:pPr>
        <w:pStyle w:val="Number1"/>
        <w:rPr/>
      </w:pPr>
      <w:r>
        <w:rPr>
          <w:bCs/>
        </w:rPr>
        <w:tab/>
        <w:t>3.</w:t>
        <w:tab/>
      </w:r>
      <w:r>
        <w:rPr>
          <w:u w:val="single"/>
        </w:rPr>
        <w:t>Forms</w:t>
      </w:r>
    </w:p>
    <w:p>
      <w:pPr>
        <w:pStyle w:val="Normal"/>
        <w:rPr/>
      </w:pPr>
      <w:r>
        <w:rPr/>
      </w:r>
    </w:p>
    <w:p>
      <w:pPr>
        <w:pStyle w:val="Number11"/>
        <w:rPr/>
      </w:pPr>
      <w:r>
        <w:rPr/>
        <w:tab/>
        <w:t>3.1</w:t>
        <w:tab/>
        <w:t>The Phlebotomy Form and MESA Processing Form provide a vital link between the sample ID number and the participant ID number and facilitate the efficient collection of plasma and serum samples. In addition, the Phlebotomy Form facilitates the monitoring of phlebotomy and other quality assurance parameters and provides information critical to the interpretation of the assay results.</w:t>
      </w:r>
    </w:p>
    <w:p>
      <w:pPr>
        <w:pStyle w:val="Number11"/>
        <w:rPr/>
      </w:pPr>
      <w:r>
        <w:rPr/>
      </w:r>
    </w:p>
    <w:p>
      <w:pPr>
        <w:pStyle w:val="Number11"/>
        <w:rPr/>
      </w:pPr>
      <w:r>
        <w:rPr/>
        <w:tab/>
        <w:t>3.2</w:t>
        <w:tab/>
        <w:t>The Phlebotomy Form will be scanned, and the information will be electronically sent to the Coordinating Center and the CBAL. The completed Phlebotomy Form and MESA Processing Form will then be sent with the sample shipments to CBAL. Both forms must be labeled with the correct pre-printed barcode sample ID label. All forms must be completed in ink.</w:t>
      </w:r>
    </w:p>
    <w:p>
      <w:pPr>
        <w:pStyle w:val="Number11"/>
        <w:rPr/>
      </w:pPr>
      <w:r>
        <w:rPr/>
      </w:r>
    </w:p>
    <w:p>
      <w:pPr>
        <w:pStyle w:val="Number11"/>
        <w:rPr/>
      </w:pPr>
      <w:r>
        <w:rPr/>
        <w:tab/>
        <w:t>3.3</w:t>
        <w:tab/>
        <w:t>Please note: Until further notice, continue to include the Phlebotomy Form in the sample shipment.</w:t>
      </w:r>
    </w:p>
    <w:p>
      <w:pPr>
        <w:pStyle w:val="Normal"/>
        <w:rPr/>
      </w:pPr>
      <w:r>
        <w:rPr/>
      </w:r>
    </w:p>
    <w:p>
      <w:pPr>
        <w:pStyle w:val="Number1"/>
        <w:rPr/>
      </w:pPr>
      <w:r>
        <w:rPr/>
        <w:tab/>
        <w:t>4.</w:t>
        <w:tab/>
      </w:r>
      <w:r>
        <w:rPr>
          <w:u w:val="single"/>
        </w:rPr>
        <w:t>Participant Refusal of Phlebotomy</w:t>
      </w:r>
    </w:p>
    <w:p>
      <w:pPr>
        <w:pStyle w:val="Number1"/>
        <w:rPr>
          <w:u w:val="single"/>
        </w:rPr>
      </w:pPr>
      <w:r>
        <w:rPr>
          <w:u w:val="single"/>
        </w:rPr>
      </w:r>
    </w:p>
    <w:p>
      <w:pPr>
        <w:pStyle w:val="Number1"/>
        <w:rPr/>
      </w:pPr>
      <w:r>
        <w:rPr/>
        <w:tab/>
        <w:tab/>
        <w:t>Rarely, a participant will refuse phlebotomy. Please keep a list of MESA Enrollment ID numbers of any of these participants and identify which test they refused.</w:t>
      </w:r>
    </w:p>
    <w:p>
      <w:pPr>
        <w:pStyle w:val="Number1"/>
        <w:rPr>
          <w:b/>
          <w:b/>
        </w:rPr>
      </w:pPr>
      <w:r>
        <w:rPr>
          <w:b/>
        </w:rPr>
      </w:r>
    </w:p>
    <w:p>
      <w:pPr>
        <w:pStyle w:val="Number1"/>
        <w:rPr/>
      </w:pPr>
      <w:r>
        <w:rPr/>
        <w:tab/>
        <w:t>5.</w:t>
        <w:tab/>
      </w:r>
      <w:r>
        <w:rPr>
          <w:u w:val="single"/>
        </w:rPr>
        <w:t>Venipuncture</w:t>
      </w:r>
    </w:p>
    <w:p>
      <w:pPr>
        <w:pStyle w:val="Normal"/>
        <w:rPr/>
      </w:pPr>
      <w:r>
        <w:rPr/>
      </w:r>
    </w:p>
    <w:p>
      <w:pPr>
        <w:pStyle w:val="Number11"/>
        <w:rPr/>
      </w:pPr>
      <w:r>
        <w:rPr/>
        <w:tab/>
        <w:t>5.1</w:t>
        <w:tab/>
        <w:t>Initial preparation for specimen collection. Prior to the arrival of participants:</w:t>
      </w:r>
    </w:p>
    <w:p>
      <w:pPr>
        <w:pStyle w:val="Number11bodybullet"/>
        <w:rPr/>
      </w:pPr>
      <w:r>
        <w:rPr/>
      </w:r>
    </w:p>
    <w:p>
      <w:pPr>
        <w:pStyle w:val="Number11bodybullet"/>
        <w:rPr/>
      </w:pPr>
      <w:r>
        <w:rPr/>
        <w:tab/>
      </w:r>
      <w:r>
        <w:rPr>
          <w:rFonts w:eastAsia="Symbol" w:cs="Symbol" w:ascii="Symbol" w:hAnsi="Symbol"/>
        </w:rPr>
        <w:t></w:t>
      </w:r>
      <w:r>
        <w:rPr/>
        <w:tab/>
        <w:t>Make sure venipuncture supplies are stocked. Have kits ready. Make sure tubes and cryovials are labeled.</w:t>
      </w:r>
    </w:p>
    <w:p>
      <w:pPr>
        <w:pStyle w:val="Number11bodybullet"/>
        <w:rPr/>
      </w:pPr>
      <w:r>
        <w:rPr/>
        <w:tab/>
      </w:r>
      <w:r>
        <w:rPr>
          <w:rFonts w:eastAsia="Symbol" w:cs="Symbol" w:ascii="Symbol" w:hAnsi="Symbol"/>
        </w:rPr>
        <w:t></w:t>
      </w:r>
      <w:r>
        <w:rPr/>
        <w:tab/>
        <w:t>Make sure the sample processing station is properly equipped. Every item on the checklist must be ready and in its proper position.</w:t>
      </w:r>
    </w:p>
    <w:p>
      <w:pPr>
        <w:pStyle w:val="Number11bodybullet"/>
        <w:rPr/>
      </w:pPr>
      <w:r>
        <w:rPr/>
        <w:tab/>
      </w:r>
      <w:r>
        <w:rPr>
          <w:rFonts w:eastAsia="Symbol" w:cs="Symbol" w:ascii="Symbol" w:hAnsi="Symbol"/>
        </w:rPr>
        <w:t></w:t>
      </w:r>
      <w:r>
        <w:rPr/>
        <w:tab/>
        <w:t>Make sure the phlebotomy room is tidy and stocked with extra smelling salts, basins, and wash cloths, and that the draw tube mixer is working.</w:t>
      </w:r>
    </w:p>
    <w:p>
      <w:pPr>
        <w:pStyle w:val="Number11bodybullet"/>
        <w:rPr/>
      </w:pPr>
      <w:r>
        <w:rPr/>
        <w:tab/>
      </w:r>
      <w:r>
        <w:rPr>
          <w:rFonts w:eastAsia="Symbol" w:cs="Symbol" w:ascii="Symbol" w:hAnsi="Symbol"/>
        </w:rPr>
        <w:t></w:t>
      </w:r>
      <w:r>
        <w:rPr/>
        <w:tab/>
        <w:t xml:space="preserve">Label the tubes and cryovials with the participant ID. </w:t>
      </w:r>
    </w:p>
    <w:p>
      <w:pPr>
        <w:pStyle w:val="Number11bodybullet"/>
        <w:rPr/>
      </w:pPr>
      <w:r>
        <w:rPr/>
        <w:tab/>
      </w:r>
      <w:r>
        <w:rPr>
          <w:rFonts w:eastAsia="Symbol" w:cs="Symbol" w:ascii="Symbol" w:hAnsi="Symbol"/>
        </w:rPr>
        <w:t></w:t>
      </w:r>
      <w:r>
        <w:rPr/>
        <w:tab/>
        <w:t>Approximately 10 minutes before scheduled blood specimen collection, fill Styrofoam ice bath 3/4 full with crushed ice.</w:t>
      </w:r>
    </w:p>
    <w:p>
      <w:pPr>
        <w:pStyle w:val="Normal"/>
        <w:tabs>
          <w:tab w:val="clear" w:pos="720"/>
          <w:tab w:val="right" w:pos="1170" w:leader="none"/>
        </w:tabs>
        <w:ind w:left="1260" w:hanging="1260"/>
        <w:rPr/>
      </w:pPr>
      <w:r>
        <w:rPr/>
      </w:r>
    </w:p>
    <w:p>
      <w:pPr>
        <w:pStyle w:val="Number11"/>
        <w:rPr/>
      </w:pPr>
      <w:r>
        <w:rPr/>
        <w:tab/>
        <w:t>5.2</w:t>
        <w:tab/>
        <w:t>Preparation of draw tubes and aliquot racks</w:t>
      </w:r>
    </w:p>
    <w:p>
      <w:pPr>
        <w:pStyle w:val="Number11"/>
        <w:rPr/>
      </w:pPr>
      <w:r>
        <w:rPr/>
      </w:r>
    </w:p>
    <w:p>
      <w:pPr>
        <w:pStyle w:val="Number11"/>
        <w:rPr/>
      </w:pPr>
      <w:r>
        <w:rPr/>
        <w:tab/>
        <w:tab/>
        <w:t>To facilitate accurate tracking of collected specimens, set up a blood collection tube rack with the set of draw tubes that are pre-labeled with the provided participant ID labels. The tubes should be in the rack according to the order in which they are to be drawn, as specified in section 5.3, below. Set up an aliquot rack, with pre-labeled cryovials, to correspond with each participant’s blood collection tube rack. It may be helpful to have the red cryovials in a separate rack, because the red serum collection tubes are generally centrifuged at a different time from the other tubes.</w:t>
      </w:r>
    </w:p>
    <w:p>
      <w:pPr>
        <w:pStyle w:val="Number11"/>
        <w:rPr/>
      </w:pPr>
      <w:r>
        <w:rPr/>
      </w:r>
    </w:p>
    <w:p>
      <w:pPr>
        <w:pStyle w:val="Number11"/>
        <w:rPr/>
      </w:pPr>
      <w:r>
        <w:rPr/>
        <w:tab/>
        <w:t>5.3</w:t>
        <w:tab/>
        <w:t>Priority of tubes</w:t>
      </w:r>
    </w:p>
    <w:p>
      <w:pPr>
        <w:pStyle w:val="Number11"/>
        <w:rPr/>
      </w:pPr>
      <w:r>
        <w:rPr/>
      </w:r>
    </w:p>
    <w:p>
      <w:pPr>
        <w:pStyle w:val="Number11"/>
        <w:rPr/>
      </w:pPr>
      <w:r>
        <w:rPr/>
        <w:tab/>
        <w:tab/>
        <w:t xml:space="preserve">Approximately 65.5 mL of blood will be drawn from each participant and collected into eight tubes. The order in which the tubes are collected is </w:t>
      </w:r>
      <w:r>
        <w:rPr>
          <w:i/>
          <w:iCs/>
        </w:rPr>
        <w:t xml:space="preserve">extremely important </w:t>
      </w:r>
      <w:r>
        <w:rPr/>
        <w:t>and must be done as follows:</w:t>
      </w:r>
    </w:p>
    <w:p>
      <w:pPr>
        <w:pStyle w:val="11bodyletter"/>
        <w:rPr/>
      </w:pPr>
      <w:r>
        <w:rPr/>
      </w:r>
    </w:p>
    <w:p>
      <w:pPr>
        <w:pStyle w:val="11bodyletter"/>
        <w:rPr/>
      </w:pPr>
      <w:r>
        <w:rPr/>
        <w:tab/>
        <w:t>1.</w:t>
        <w:tab/>
        <w:t>10 mL EDTA (purple top)</w:t>
      </w:r>
    </w:p>
    <w:p>
      <w:pPr>
        <w:pStyle w:val="11bodyletter"/>
        <w:rPr/>
      </w:pPr>
      <w:r>
        <w:rPr/>
        <w:tab/>
        <w:t>2.</w:t>
        <w:tab/>
        <w:t>10 mL serum (red top)</w:t>
      </w:r>
    </w:p>
    <w:p>
      <w:pPr>
        <w:pStyle w:val="11bodyletter"/>
        <w:rPr/>
      </w:pPr>
      <w:r>
        <w:rPr/>
        <w:tab/>
        <w:t>3.</w:t>
        <w:tab/>
        <w:t>8 mL cell prep tube (CPT) (blue &amp; black top)</w:t>
      </w:r>
    </w:p>
    <w:p>
      <w:pPr>
        <w:pStyle w:val="11bodyletter"/>
        <w:rPr/>
      </w:pPr>
      <w:r>
        <w:rPr/>
        <w:tab/>
        <w:t>4.</w:t>
        <w:tab/>
        <w:t>5 mL special coagulation tube (SCAT-I) (red top)</w:t>
      </w:r>
    </w:p>
    <w:p>
      <w:pPr>
        <w:pStyle w:val="11bodyletter"/>
        <w:rPr/>
      </w:pPr>
      <w:r>
        <w:rPr/>
        <w:tab/>
        <w:t>5.</w:t>
        <w:tab/>
        <w:t>4.5 mL citrate (blue top)</w:t>
      </w:r>
    </w:p>
    <w:p>
      <w:pPr>
        <w:pStyle w:val="11bodyletter"/>
        <w:rPr/>
      </w:pPr>
      <w:r>
        <w:rPr/>
        <w:tab/>
        <w:t>6.</w:t>
        <w:tab/>
        <w:t>10 mL EDTA (purple top)</w:t>
      </w:r>
    </w:p>
    <w:p>
      <w:pPr>
        <w:pStyle w:val="11bodyletter"/>
        <w:rPr/>
      </w:pPr>
      <w:r>
        <w:rPr/>
        <w:tab/>
        <w:t>7.</w:t>
        <w:tab/>
        <w:t>10 mL serum (red top)</w:t>
      </w:r>
    </w:p>
    <w:p>
      <w:pPr>
        <w:pStyle w:val="11bodyletter"/>
        <w:rPr/>
      </w:pPr>
      <w:r>
        <w:rPr/>
        <w:tab/>
        <w:t>8.</w:t>
        <w:tab/>
        <w:t>8 mL cell prep tube (CPT) (blue &amp; black top)</w:t>
      </w:r>
    </w:p>
    <w:p>
      <w:pPr>
        <w:pStyle w:val="11bodyletter"/>
        <w:rPr/>
      </w:pPr>
      <w:r>
        <w:rPr/>
      </w:r>
    </w:p>
    <w:p>
      <w:pPr>
        <w:pStyle w:val="Number11"/>
        <w:rPr/>
      </w:pPr>
      <w:r>
        <w:rPr/>
        <w:tab/>
        <w:t>5.4</w:t>
        <w:tab/>
        <w:t>Collection of Blind Duplicate Tube</w:t>
      </w:r>
    </w:p>
    <w:p>
      <w:pPr>
        <w:pStyle w:val="Number11"/>
        <w:rPr/>
      </w:pPr>
      <w:r>
        <w:rPr/>
      </w:r>
    </w:p>
    <w:p>
      <w:pPr>
        <w:pStyle w:val="Number11"/>
        <w:rPr/>
      </w:pPr>
      <w:r>
        <w:rPr/>
        <w:tab/>
        <w:tab/>
        <w:t xml:space="preserve">Twenty percent of participants will have an additional tube of blood collected, for a total of nine tubes/approximately 70 mL of blood. This sample is collected for quality control purposes. This sample is collected </w:t>
      </w:r>
      <w:r>
        <w:rPr>
          <w:i/>
          <w:iCs/>
        </w:rPr>
        <w:t xml:space="preserve">last </w:t>
      </w:r>
      <w:r>
        <w:rPr/>
        <w:t>into the Blind Duplicate Tube (#9), which may be purple, red, SCAT, or blue.</w:t>
      </w:r>
    </w:p>
    <w:p>
      <w:pPr>
        <w:pStyle w:val="Number11"/>
        <w:rPr/>
      </w:pPr>
      <w:r>
        <w:rPr/>
      </w:r>
    </w:p>
    <w:p>
      <w:pPr>
        <w:pStyle w:val="Number11"/>
        <w:rPr/>
      </w:pPr>
      <w:r>
        <w:rPr/>
        <w:tab/>
        <w:t>5.5</w:t>
        <w:tab/>
        <w:t xml:space="preserve"> Preparation of Phlebotomy Room</w:t>
      </w:r>
    </w:p>
    <w:p>
      <w:pPr>
        <w:pStyle w:val="Number11"/>
        <w:rPr/>
      </w:pPr>
      <w:r>
        <w:rPr/>
      </w:r>
    </w:p>
    <w:p>
      <w:pPr>
        <w:pStyle w:val="Number11"/>
        <w:rPr/>
      </w:pPr>
      <w:r>
        <w:rPr/>
        <w:tab/>
        <w:tab/>
        <w:t>The blood draw is done in an isolated room, or participants are separated by room dividers. The room is equipped with all of the necessary blood drawing supplies. A separate counter or work table is equipped with all of the materials and vials that are used in the blood handling and processing. The centrifuge, refrigerator, and freezer should be nearby.</w:t>
      </w:r>
    </w:p>
    <w:p>
      <w:pPr>
        <w:pStyle w:val="Number11"/>
        <w:rPr/>
      </w:pPr>
      <w:r>
        <w:rPr/>
      </w:r>
    </w:p>
    <w:p>
      <w:pPr>
        <w:pStyle w:val="Number11"/>
        <w:rPr/>
      </w:pPr>
      <w:r>
        <w:rPr/>
        <w:tab/>
        <w:t>5.6</w:t>
        <w:tab/>
        <w:t>Preparation of Participants</w:t>
      </w:r>
    </w:p>
    <w:p>
      <w:pPr>
        <w:pStyle w:val="Normal"/>
        <w:tabs>
          <w:tab w:val="clear" w:pos="720"/>
          <w:tab w:val="right" w:pos="1710" w:leader="none"/>
        </w:tabs>
        <w:ind w:left="1890" w:hanging="1890"/>
        <w:rPr/>
      </w:pPr>
      <w:r>
        <w:rPr/>
      </w:r>
    </w:p>
    <w:p>
      <w:pPr>
        <w:pStyle w:val="Number111"/>
        <w:rPr/>
      </w:pPr>
      <w:r>
        <w:rPr/>
        <w:tab/>
        <w:t>5.61</w:t>
        <w:tab/>
        <w:t xml:space="preserve">Ensure that informed consent has been obtained before drawing blood. This study depends on and requires the </w:t>
      </w:r>
      <w:r>
        <w:rPr>
          <w:i/>
          <w:iCs/>
        </w:rPr>
        <w:t>voluntary</w:t>
      </w:r>
      <w:r>
        <w:rPr/>
        <w:t xml:space="preserve"> cooperation of the participants. These people are </w:t>
      </w:r>
      <w:r>
        <w:rPr>
          <w:i/>
          <w:iCs/>
        </w:rPr>
        <w:t>giving</w:t>
      </w:r>
      <w:r>
        <w:rPr/>
        <w:t xml:space="preserve"> their time—and precious bodily fluids—and their only reward is the knowledge that they are contributing to progress in medicine. Thus, the experience must be as pleasant as possible. Give the participant enough time to feel comfortable, both before and after the blood collection. In many cases the most memorable part of the experience for the participant will be the contact with, and the attitude and competence of, the technician who draws the blood. Do </w:t>
      </w:r>
      <w:r>
        <w:rPr>
          <w:i/>
          <w:iCs/>
        </w:rPr>
        <w:t xml:space="preserve">not </w:t>
      </w:r>
      <w:r>
        <w:rPr/>
        <w:t>under any circumstances force or coerce the participant to have blood drawn.</w:t>
      </w:r>
    </w:p>
    <w:p>
      <w:pPr>
        <w:pStyle w:val="Number11"/>
        <w:tabs>
          <w:tab w:val="right" w:pos="1260" w:leader="none"/>
          <w:tab w:val="right" w:pos="1620" w:leader="none"/>
          <w:tab w:val="right" w:pos="1710" w:leader="none"/>
        </w:tabs>
        <w:ind w:left="1890" w:hanging="1890"/>
        <w:rPr/>
      </w:pPr>
      <w:r>
        <w:rPr/>
        <w:t xml:space="preserve"> </w:t>
      </w:r>
    </w:p>
    <w:p>
      <w:pPr>
        <w:pStyle w:val="Number111"/>
        <w:rPr/>
      </w:pPr>
      <w:r>
        <w:rPr/>
        <w:tab/>
        <w:t>5.62</w:t>
        <w:tab/>
        <w:t>Eight (or nine—see 5.4, above) tubes of blood of various sizes are collected, each containing about 1–2 teaspoons (5–10 ml) of blood. Participants who are concerned about the volume of blood should be reassured that the total amount of blood drawn is about 5 tablespoons, although it may look like more. The phlebotomist may also assure participants that more than six times as much blood (450 ml) is collected when they donate a unit of blood.</w:t>
      </w:r>
    </w:p>
    <w:p>
      <w:pPr>
        <w:pStyle w:val="Normal"/>
        <w:rPr/>
      </w:pPr>
      <w:r>
        <w:rPr/>
      </w:r>
    </w:p>
    <w:p>
      <w:pPr>
        <w:pStyle w:val="Number11"/>
        <w:rPr/>
      </w:pPr>
      <w:r>
        <w:rPr/>
        <w:tab/>
        <w:t xml:space="preserve">5.7  </w:t>
        <w:tab/>
        <w:t>Venipuncture Procedure</w:t>
      </w:r>
    </w:p>
    <w:p>
      <w:pPr>
        <w:pStyle w:val="Number11body"/>
        <w:rPr/>
      </w:pPr>
      <w:r>
        <w:rPr/>
      </w:r>
    </w:p>
    <w:p>
      <w:pPr>
        <w:pStyle w:val="Number11body"/>
        <w:rPr/>
      </w:pPr>
      <w:r>
        <w:rPr>
          <w:b/>
          <w:sz w:val="22"/>
        </w:rPr>
        <w:t>ALWAYS WEAR LATEX GLOVES AND LAB</w:t>
      </w:r>
      <w:r>
        <w:rPr>
          <w:sz w:val="22"/>
        </w:rPr>
        <w:t xml:space="preserve"> </w:t>
      </w:r>
      <w:r>
        <w:rPr>
          <w:b/>
          <w:sz w:val="22"/>
        </w:rPr>
        <w:t>COAT</w:t>
      </w:r>
    </w:p>
    <w:p>
      <w:pPr>
        <w:pStyle w:val="Number11body"/>
        <w:rPr/>
      </w:pPr>
      <w:r>
        <w:rPr/>
        <w:t xml:space="preserve"> </w:t>
      </w:r>
    </w:p>
    <w:p>
      <w:pPr>
        <w:pStyle w:val="Number11"/>
        <w:rPr>
          <w:b/>
          <w:b/>
        </w:rPr>
      </w:pPr>
      <w:r>
        <w:rPr/>
        <w:tab/>
        <w:tab/>
        <w:t>Blood drawing is standardized for the sitting position. You may have participants clench their fists (moderately) during phlebotomy, for up to two minutes. Venipuncture is performed with a 21-gauge butterfly needle with 12 inches of plastic tubing between the venipuncture site and the blood collection tubes. The butterfly has a small, thin walled needle that minimizes trauma to the skin and vein. Using 12 inches of tubing allows tubes to be changed without any movement of the needle in the vein. It also allows the collection of non-sterile SCAT-I tubes by eliminating the possibility of blood back-washing from tube to participant. Step-by-step procedures are as follows:</w:t>
      </w:r>
    </w:p>
    <w:p>
      <w:pPr>
        <w:pStyle w:val="Normal"/>
        <w:widowControl/>
        <w:tabs>
          <w:tab w:val="clear" w:pos="720"/>
          <w:tab w:val="left" w:pos="576" w:leader="none"/>
        </w:tabs>
        <w:rPr>
          <w:b/>
          <w:b/>
          <w:sz w:val="22"/>
        </w:rPr>
      </w:pPr>
      <w:r>
        <w:rPr>
          <w:b/>
          <w:sz w:val="22"/>
        </w:rPr>
      </w:r>
    </w:p>
    <w:p>
      <w:pPr>
        <w:pStyle w:val="11bodyletter"/>
        <w:rPr/>
      </w:pPr>
      <w:r>
        <w:rPr/>
        <w:tab/>
        <w:t>1.</w:t>
        <w:tab/>
        <w:t>Arrange draw tubes in order of draw on the table top or in the tube rack within easy reach. Assemble butterfly apparatus and vacutainer holders, gauze, and alcohol prep prior to tourniquet application.</w:t>
      </w:r>
    </w:p>
    <w:p>
      <w:pPr>
        <w:pStyle w:val="11bodyletter"/>
        <w:rPr/>
      </w:pPr>
      <w:r>
        <w:rPr/>
      </w:r>
    </w:p>
    <w:p>
      <w:pPr>
        <w:pStyle w:val="11bodyletter"/>
        <w:rPr/>
      </w:pPr>
      <w:r>
        <w:rPr/>
        <w:tab/>
        <w:t>2.</w:t>
        <w:tab/>
        <w:t>Apply tourniquet (quick-release tourniquet, supplied by the blood lab, is recommended; please do not use a blood pressure cuff).</w:t>
      </w:r>
    </w:p>
    <w:p>
      <w:pPr>
        <w:pStyle w:val="11bodyletter"/>
        <w:rPr/>
      </w:pPr>
      <w:r>
        <w:rPr/>
        <w:t xml:space="preserve"> </w:t>
      </w:r>
    </w:p>
    <w:p>
      <w:pPr>
        <w:pStyle w:val="11bodyletter"/>
        <w:rPr/>
      </w:pPr>
      <w:r>
        <w:rPr/>
        <w:tab/>
        <w:t>3.</w:t>
        <w:tab/>
        <w:t>Examine participant's arms for the best site for venipuncture. Release tourniquet.</w:t>
      </w:r>
    </w:p>
    <w:p>
      <w:pPr>
        <w:pStyle w:val="11bodyletter"/>
        <w:rPr/>
      </w:pPr>
      <w:r>
        <w:rPr/>
      </w:r>
    </w:p>
    <w:p>
      <w:pPr>
        <w:pStyle w:val="11bodyletter"/>
        <w:rPr/>
      </w:pPr>
      <w:r>
        <w:rPr/>
        <w:tab/>
        <w:t>4.</w:t>
        <w:tab/>
        <w:t>Cleanse venipuncture site by wiping with alcohol prep pad in a circular motion from center to periphery. Allow area to dry.</w:t>
      </w:r>
    </w:p>
    <w:p>
      <w:pPr>
        <w:pStyle w:val="11bodyletter"/>
        <w:rPr/>
      </w:pPr>
      <w:r>
        <w:rPr/>
      </w:r>
    </w:p>
    <w:p>
      <w:pPr>
        <w:pStyle w:val="11bodyletter"/>
        <w:rPr/>
      </w:pPr>
      <w:r>
        <w:rPr/>
        <w:tab/>
        <w:t>5.</w:t>
        <w:tab/>
        <w:t xml:space="preserve">Re-apply tourniquet and start timer. Document start time. (It is best to </w:t>
      </w:r>
      <w:r>
        <w:rPr>
          <w:i/>
          <w:iCs/>
        </w:rPr>
        <w:t>release the tourniquet as soon as possible</w:t>
      </w:r>
      <w:r>
        <w:rPr/>
        <w:t xml:space="preserve"> after flow has been established. The tightened tourniquet should be on no longer than two minutes; if it is necessary to have it on longer than two minutes, loosen the  tourniquet and then re-apply. However, this may result in cessation of blood flow, especially in sick and/or elderly participants, and may result in the need for a second venipuncture.)</w:t>
      </w:r>
    </w:p>
    <w:p>
      <w:pPr>
        <w:pStyle w:val="11bodyletter"/>
        <w:rPr/>
      </w:pPr>
      <w:r>
        <w:rPr/>
      </w:r>
    </w:p>
    <w:p>
      <w:pPr>
        <w:pStyle w:val="11bodyletter"/>
        <w:rPr/>
      </w:pPr>
      <w:r>
        <w:rPr/>
        <w:tab/>
        <w:t>6.</w:t>
        <w:tab/>
        <w:t>Grasp the participant's arm firmly, using your thumb to draw the skin taut to anchor the vein. The thumb should be one or two inches below the venipuncture site.</w:t>
      </w:r>
    </w:p>
    <w:p>
      <w:pPr>
        <w:pStyle w:val="11bodyletter"/>
        <w:rPr/>
      </w:pPr>
      <w:r>
        <w:rPr/>
      </w:r>
    </w:p>
    <w:p>
      <w:pPr>
        <w:pStyle w:val="11bodyletter"/>
        <w:rPr/>
      </w:pPr>
      <w:r>
        <w:rPr/>
        <w:tab/>
        <w:t>7.</w:t>
        <w:tab/>
        <w:t>With the needle bevel upward, enter the vein in a smooth continuous motion.</w:t>
      </w:r>
    </w:p>
    <w:p>
      <w:pPr>
        <w:pStyle w:val="11bodyletter"/>
        <w:rPr/>
      </w:pPr>
      <w:r>
        <w:rPr/>
      </w:r>
    </w:p>
    <w:p>
      <w:pPr>
        <w:pStyle w:val="11bodyletter"/>
        <w:rPr/>
      </w:pPr>
      <w:r>
        <w:rPr/>
        <w:tab/>
        <w:t>8.</w:t>
        <w:tab/>
        <w:t>Make sure the participant's arm is in a flat or downward position while maintaining the tube below the site when the needle is in the vein. It may be helpful to have the participant make a fist with the opposite hand and place it under the elbow for support.</w:t>
      </w:r>
    </w:p>
    <w:p>
      <w:pPr>
        <w:pStyle w:val="11bodyletter"/>
        <w:rPr/>
      </w:pPr>
      <w:r>
        <w:rPr/>
      </w:r>
    </w:p>
    <w:p>
      <w:pPr>
        <w:pStyle w:val="11bodyletter"/>
        <w:rPr/>
      </w:pPr>
      <w:r>
        <w:rPr/>
        <w:tab/>
        <w:t>9.</w:t>
        <w:tab/>
        <w:t>Grasp the flange of the vacutainer holder and gently push the tube forward until the butt end of the needle punctures the stopper, exposing the full lumen of the needle. (</w:t>
      </w:r>
      <w:r>
        <w:rPr>
          <w:i/>
          <w:iCs/>
        </w:rPr>
        <w:t xml:space="preserve">Minimize turbulence </w:t>
      </w:r>
      <w:r>
        <w:rPr/>
        <w:t>whenever possible. Small steps, such as slanting the needle in the vacutainer to have the blood run down the side of the tube instead of shooting all the way to the bottom, may result in significant improvement.)</w:t>
      </w:r>
    </w:p>
    <w:p>
      <w:pPr>
        <w:pStyle w:val="11bodyletter"/>
        <w:rPr/>
      </w:pPr>
      <w:r>
        <w:rPr/>
      </w:r>
    </w:p>
    <w:p>
      <w:pPr>
        <w:pStyle w:val="11bodyletter"/>
        <w:rPr/>
      </w:pPr>
      <w:r>
        <w:rPr/>
        <w:tab/>
        <w:t>10.</w:t>
        <w:tab/>
        <w:t>Note the blood flow into the first collection tube. If blood is flowing freely, the butterfly needle can be taped to the participant's arm for the duration of the draw. If the flow rate is very slow, the needle may not be positioned correctly. Try moving the needle slightly without causing discomfort to the participant.</w:t>
      </w:r>
    </w:p>
    <w:p>
      <w:pPr>
        <w:pStyle w:val="11bodyletter"/>
        <w:rPr/>
      </w:pPr>
      <w:r>
        <w:rPr/>
      </w:r>
    </w:p>
    <w:p>
      <w:pPr>
        <w:pStyle w:val="11bodyletter"/>
        <w:rPr/>
      </w:pPr>
      <w:r>
        <w:rPr/>
        <w:tab/>
        <w:t>11.</w:t>
        <w:tab/>
        <w:t>If the collection tube does not fill, try another tube of the same type. (Partially-filled plasma tubes are not acceptable if less than two-thirds full. Partially-filled serum tubes are okay but will result in a reduced number of aliquots. If a tube is not completely filled, clearly note on Phlebotomy Form.)</w:t>
      </w:r>
    </w:p>
    <w:p>
      <w:pPr>
        <w:pStyle w:val="11bodyletter"/>
        <w:rPr/>
      </w:pPr>
      <w:r>
        <w:rPr/>
      </w:r>
    </w:p>
    <w:p>
      <w:pPr>
        <w:pStyle w:val="11bodyletter"/>
        <w:rPr/>
      </w:pPr>
      <w:r>
        <w:rPr/>
        <w:tab/>
        <w:t>12.</w:t>
        <w:tab/>
        <w:t>Keep a constant, slight forward pressure (in the direction of the needle) on the end of the tube. This prevents release of the shut-off valve and cessation of blood flow. Do not vary pressure or reintroduce pressure after completion of the draw.</w:t>
      </w:r>
    </w:p>
    <w:p>
      <w:pPr>
        <w:pStyle w:val="11bodyletter"/>
        <w:rPr/>
      </w:pPr>
      <w:r>
        <w:rPr/>
      </w:r>
    </w:p>
    <w:p>
      <w:pPr>
        <w:pStyle w:val="11bodyletter"/>
        <w:rPr/>
      </w:pPr>
      <w:r>
        <w:rPr/>
        <w:tab/>
        <w:t>13.</w:t>
        <w:tab/>
        <w:t>Fill each vacutainer until the vacuum is exhausted and blood flow ceases. If a vacutainer tube fills only partially, remove the tube and attach another without removing the needle from vein. Tubes &lt;½ full are not acceptable</w:t>
      </w:r>
    </w:p>
    <w:p>
      <w:pPr>
        <w:pStyle w:val="11bodyletter"/>
        <w:rPr/>
      </w:pPr>
      <w:r>
        <w:rPr/>
        <w:t xml:space="preserve"> </w:t>
      </w:r>
    </w:p>
    <w:p>
      <w:pPr>
        <w:pStyle w:val="11bodyletter"/>
        <w:rPr/>
      </w:pPr>
      <w:r>
        <w:rPr/>
        <w:tab/>
        <w:t>14.</w:t>
        <w:tab/>
        <w:t xml:space="preserve">When the blood flow ceases, remove the tube from the vacutainer holder.  The shut-off valve re-covers the point and stops blood flow until the next tube is inserted (if necessary). </w:t>
      </w:r>
    </w:p>
    <w:p>
      <w:pPr>
        <w:pStyle w:val="11bodyletter"/>
        <w:rPr/>
      </w:pPr>
      <w:r>
        <w:rPr/>
      </w:r>
    </w:p>
    <w:p>
      <w:pPr>
        <w:pStyle w:val="11bodyletter"/>
        <w:rPr/>
      </w:pPr>
      <w:r>
        <w:rPr/>
        <w:tab/>
        <w:t>15.</w:t>
        <w:tab/>
        <w:t>Release tourniquet, if still applied.</w:t>
      </w:r>
    </w:p>
    <w:p>
      <w:pPr>
        <w:pStyle w:val="11bodyletter"/>
        <w:rPr/>
      </w:pPr>
      <w:r>
        <w:rPr/>
      </w:r>
    </w:p>
    <w:p>
      <w:pPr>
        <w:pStyle w:val="11bodyletter"/>
        <w:rPr/>
      </w:pPr>
      <w:r>
        <w:rPr/>
        <w:tab/>
        <w:t>16.</w:t>
        <w:tab/>
        <w:t>To remove the needle, lightly place clean gauze over venipuncture site.  Remove the needle quickly and immediately apply pressure to the site with a gauze pad. Have the participant hold the gauze pad firmly for one to two minutes to prevent formation of a  hematoma. Discard needle into puncture-proof sharps container. Record on Phlebotomy Form the duration the tourniquet was applied and length of venipuncture.</w:t>
      </w:r>
    </w:p>
    <w:p>
      <w:pPr>
        <w:pStyle w:val="11bodyletter"/>
        <w:rPr/>
      </w:pPr>
      <w:r>
        <w:rPr/>
      </w:r>
    </w:p>
    <w:p>
      <w:pPr>
        <w:pStyle w:val="11bodyletter"/>
        <w:rPr/>
      </w:pPr>
      <w:r>
        <w:rPr/>
        <w:tab/>
        <w:t>17.</w:t>
        <w:tab/>
        <w:t xml:space="preserve">Place all tubes, except serum and CPT, on the tube mixer for a minimum of 30 seconds. CPTs are to be </w:t>
      </w:r>
      <w:r>
        <w:rPr>
          <w:i/>
          <w:iCs/>
        </w:rPr>
        <w:t>gently</w:t>
      </w:r>
      <w:r>
        <w:rPr/>
        <w:t xml:space="preserve"> inverted several times after being drawn.</w:t>
      </w:r>
    </w:p>
    <w:p>
      <w:pPr>
        <w:pStyle w:val="11bodyletter"/>
        <w:rPr/>
      </w:pPr>
      <w:r>
        <w:rPr/>
      </w:r>
    </w:p>
    <w:p>
      <w:pPr>
        <w:pStyle w:val="11bodyletter"/>
        <w:rPr/>
      </w:pPr>
      <w:r>
        <w:rPr/>
        <w:tab/>
        <w:t>18.</w:t>
        <w:tab/>
        <w:t>If the participant continues to bleed, apply pressure to the site with a gauze pad. Keep the arm elevated until the bleeding stops. If necessary, tightly wrap a gauze bandage around the pad and leave in place for at least 15 minutes.</w:t>
      </w:r>
    </w:p>
    <w:p>
      <w:pPr>
        <w:pStyle w:val="11bodyletter"/>
        <w:rPr/>
      </w:pPr>
      <w:r>
        <w:rPr/>
      </w:r>
    </w:p>
    <w:p>
      <w:pPr>
        <w:pStyle w:val="11bodyletter"/>
        <w:rPr/>
      </w:pPr>
      <w:r>
        <w:rPr/>
        <w:tab/>
        <w:t>19.</w:t>
        <w:tab/>
        <w:t>Place the citrate, EDTA, and SCAT-I  tubes on wet ice. Hold the serum and CPT tubes at room temperature.</w:t>
      </w:r>
    </w:p>
    <w:p>
      <w:pPr>
        <w:pStyle w:val="11bodyletter"/>
        <w:rPr/>
      </w:pPr>
      <w:r>
        <w:rPr/>
      </w:r>
    </w:p>
    <w:p>
      <w:pPr>
        <w:pStyle w:val="11bodyletter"/>
        <w:rPr/>
      </w:pPr>
      <w:r>
        <w:rPr/>
        <w:tab/>
        <w:t>20.</w:t>
        <w:tab/>
        <w:t>Clean up the venipuncture area (if necessary). Dispose of needle and tubing in the appropriate biohazard needle sharps containers. Complete the Phlebotomy Form.</w:t>
      </w:r>
    </w:p>
    <w:p>
      <w:pPr>
        <w:pStyle w:val="11bodyletter"/>
        <w:rPr/>
      </w:pPr>
      <w:r>
        <w:rPr/>
      </w:r>
    </w:p>
    <w:p>
      <w:pPr>
        <w:pStyle w:val="11bodyletter"/>
        <w:rPr/>
      </w:pPr>
      <w:r>
        <w:rPr/>
        <w:tab/>
        <w:t>20.</w:t>
        <w:tab/>
        <w:t>Take the filled blood collection tubes to the processing area, keeping the EDTA, citrate and SCAT-I tubes on ice and the serum and CPT tubes at room temperature.</w:t>
      </w:r>
    </w:p>
    <w:p>
      <w:pPr>
        <w:pStyle w:val="11bodyletter"/>
        <w:rPr/>
      </w:pPr>
      <w:r>
        <w:rPr/>
      </w:r>
    </w:p>
    <w:p>
      <w:pPr>
        <w:pStyle w:val="Number11"/>
        <w:rPr/>
      </w:pPr>
      <w:r>
        <w:rPr/>
        <w:tab/>
        <w:t>5.8</w:t>
        <w:tab/>
        <w:t>Summary of Blood Mixing During Venipuncture</w:t>
      </w:r>
    </w:p>
    <w:p>
      <w:pPr>
        <w:pStyle w:val="Heading9"/>
        <w:ind w:left="0" w:hanging="0"/>
        <w:rPr>
          <w:sz w:val="22"/>
        </w:rPr>
      </w:pPr>
      <w:r>
        <w:rPr>
          <w:sz w:val="22"/>
        </w:rPr>
      </w:r>
    </w:p>
    <w:p>
      <w:pPr>
        <w:pStyle w:val="Number11bodybullet"/>
        <w:rPr/>
      </w:pPr>
      <w:r>
        <w:rPr/>
        <w:tab/>
      </w:r>
      <w:r>
        <w:rPr>
          <w:rFonts w:eastAsia="Symbol" w:cs="Symbol" w:ascii="Symbol" w:hAnsi="Symbol"/>
        </w:rPr>
        <w:t></w:t>
      </w:r>
      <w:r>
        <w:rPr/>
        <w:tab/>
      </w:r>
      <w:r>
        <w:rPr>
          <w:u w:val="single"/>
        </w:rPr>
        <w:t>Tubes 1, 6, and 9</w:t>
      </w:r>
      <w:r>
        <w:rPr/>
        <w:t xml:space="preserve"> (EDTA): place on mixer for ~30 seconds, then place in ice bath.</w:t>
      </w:r>
    </w:p>
    <w:p>
      <w:pPr>
        <w:pStyle w:val="Number11bodybullet"/>
        <w:rPr/>
      </w:pPr>
      <w:r>
        <w:rPr/>
        <w:tab/>
      </w:r>
      <w:r>
        <w:rPr>
          <w:rFonts w:eastAsia="Symbol" w:cs="Symbol" w:ascii="Symbol" w:hAnsi="Symbol"/>
        </w:rPr>
        <w:t></w:t>
      </w:r>
      <w:r>
        <w:rPr/>
        <w:tab/>
      </w:r>
      <w:r>
        <w:rPr>
          <w:u w:val="single"/>
        </w:rPr>
        <w:t>Tubes 3 and 8</w:t>
      </w:r>
      <w:r>
        <w:rPr/>
        <w:t xml:space="preserve"> (CPT): </w:t>
      </w:r>
      <w:r>
        <w:rPr>
          <w:i/>
          <w:iCs/>
        </w:rPr>
        <w:t>gently</w:t>
      </w:r>
      <w:r>
        <w:rPr/>
        <w:t xml:space="preserve"> invert several times before placing in rack at room temperature; process within 3 hours.</w:t>
      </w:r>
    </w:p>
    <w:p>
      <w:pPr>
        <w:pStyle w:val="Number11bodybullet"/>
        <w:rPr/>
      </w:pPr>
      <w:r>
        <w:rPr/>
        <w:tab/>
      </w:r>
      <w:r>
        <w:rPr>
          <w:rFonts w:eastAsia="Symbol" w:cs="Symbol" w:ascii="Symbol" w:hAnsi="Symbol"/>
        </w:rPr>
        <w:t></w:t>
      </w:r>
      <w:r>
        <w:rPr/>
        <w:tab/>
      </w:r>
      <w:r>
        <w:rPr>
          <w:u w:val="single"/>
        </w:rPr>
        <w:t>Tube 4</w:t>
      </w:r>
      <w:r>
        <w:rPr/>
        <w:t xml:space="preserve"> (SCAT-I): place on mixer for </w:t>
      </w:r>
      <w:r>
        <w:rPr>
          <w:i/>
          <w:iCs/>
        </w:rPr>
        <w:t>at least</w:t>
      </w:r>
      <w:r>
        <w:rPr/>
        <w:t xml:space="preserve"> 30 seconds, then place in ice bath.</w:t>
      </w:r>
    </w:p>
    <w:p>
      <w:pPr>
        <w:pStyle w:val="Number11bodybullet"/>
        <w:rPr/>
      </w:pPr>
      <w:r>
        <w:rPr/>
        <w:tab/>
      </w:r>
      <w:r>
        <w:rPr>
          <w:rFonts w:eastAsia="Symbol" w:cs="Symbol" w:ascii="Symbol" w:hAnsi="Symbol"/>
        </w:rPr>
        <w:t></w:t>
      </w:r>
      <w:r>
        <w:rPr/>
        <w:tab/>
      </w:r>
      <w:r>
        <w:rPr>
          <w:u w:val="single"/>
        </w:rPr>
        <w:t>Tube 5</w:t>
      </w:r>
      <w:r>
        <w:rPr/>
        <w:t xml:space="preserve"> (Citrate): place on mixer for ~30 seconds, then place in ice bath.</w:t>
      </w:r>
    </w:p>
    <w:p>
      <w:pPr>
        <w:pStyle w:val="Number11bodybullet"/>
        <w:rPr/>
      </w:pPr>
      <w:r>
        <w:rPr/>
        <w:tab/>
      </w:r>
      <w:r>
        <w:rPr>
          <w:rFonts w:eastAsia="Symbol" w:cs="Symbol" w:ascii="Symbol" w:hAnsi="Symbol"/>
        </w:rPr>
        <w:t></w:t>
      </w:r>
      <w:r>
        <w:rPr/>
        <w:tab/>
      </w:r>
      <w:r>
        <w:rPr>
          <w:u w:val="single"/>
        </w:rPr>
        <w:t>Tube 2 and 7</w:t>
      </w:r>
      <w:r>
        <w:rPr/>
        <w:t xml:space="preserve"> (serum): do </w:t>
      </w:r>
      <w:r>
        <w:rPr>
          <w:i/>
          <w:iCs/>
        </w:rPr>
        <w:t>not</w:t>
      </w:r>
      <w:r>
        <w:rPr/>
        <w:t xml:space="preserve"> mix; place in rack at room temperature for </w:t>
      </w:r>
      <w:r>
        <w:rPr>
          <w:i/>
          <w:iCs/>
        </w:rPr>
        <w:t>at least</w:t>
      </w:r>
      <w:r>
        <w:rPr/>
        <w:t xml:space="preserve"> 40 minutes.</w:t>
      </w:r>
    </w:p>
    <w:p>
      <w:pPr>
        <w:pStyle w:val="Number11bodybullet"/>
        <w:rPr>
          <w:bCs/>
        </w:rPr>
      </w:pPr>
      <w:r>
        <w:rPr>
          <w:bCs/>
        </w:rPr>
      </w:r>
    </w:p>
    <w:p>
      <w:pPr>
        <w:pStyle w:val="Number11"/>
        <w:rPr>
          <w:u w:val="single"/>
        </w:rPr>
      </w:pPr>
      <w:r>
        <w:rPr/>
        <w:tab/>
        <w:t>5.9</w:t>
        <w:tab/>
        <w:t>Guidelines for Difficulties</w:t>
      </w:r>
    </w:p>
    <w:p>
      <w:pPr>
        <w:pStyle w:val="Number111"/>
        <w:rPr>
          <w:u w:val="single"/>
        </w:rPr>
      </w:pPr>
      <w:r>
        <w:rPr>
          <w:u w:val="single"/>
        </w:rPr>
      </w:r>
    </w:p>
    <w:p>
      <w:pPr>
        <w:pStyle w:val="Number111"/>
        <w:rPr/>
      </w:pPr>
      <w:r>
        <w:rPr/>
        <w:tab/>
        <w:t>5.91</w:t>
        <w:tab/>
      </w:r>
      <w:r>
        <w:rPr>
          <w:u w:val="single"/>
        </w:rPr>
        <w:t>Assisting participants who are extremely apprehensive about giving blood</w:t>
      </w:r>
      <w:r>
        <w:rPr/>
        <w:t>. Explain to the participant that the blood draw is designed to be as painless as possible. Have the participant relax in the blood drawing chair just so the phlebotomist can check the veins in the participant's arms, without actually drawing blood. If the participant has "good veins," reassuringly say, "Oh, you have good veins; there should be no problem." It may help to let the participant go on with another part of the visit and return later for the blood draw. Do not, under any circumstances, force the participant to have blood drawn.</w:t>
      </w:r>
    </w:p>
    <w:p>
      <w:pPr>
        <w:pStyle w:val="Number111"/>
        <w:rPr/>
      </w:pPr>
      <w:r>
        <w:rPr/>
      </w:r>
    </w:p>
    <w:p>
      <w:pPr>
        <w:pStyle w:val="Number111"/>
        <w:rPr/>
      </w:pPr>
      <w:r>
        <w:rPr/>
        <w:tab/>
        <w:t>5.92</w:t>
        <w:tab/>
      </w:r>
      <w:r>
        <w:rPr>
          <w:u w:val="single"/>
        </w:rPr>
        <w:t>Procedures for a difficult draw</w:t>
      </w:r>
      <w:r>
        <w:rPr/>
        <w:t>. If a blood sample is not forthcoming, the following manipulations may be helpful:</w:t>
      </w:r>
    </w:p>
    <w:p>
      <w:pPr>
        <w:pStyle w:val="Number111"/>
        <w:rPr/>
      </w:pPr>
      <w:r>
        <w:rPr/>
      </w:r>
    </w:p>
    <w:p>
      <w:pPr>
        <w:pStyle w:val="Number111bodybullet"/>
        <w:rPr/>
      </w:pPr>
      <w:r>
        <w:rPr/>
        <w:tab/>
      </w:r>
      <w:r>
        <w:rPr>
          <w:rFonts w:eastAsia="Symbol" w:cs="Symbol" w:ascii="Symbol" w:hAnsi="Symbol"/>
        </w:rPr>
        <w:t></w:t>
      </w:r>
      <w:r>
        <w:rPr/>
        <w:tab/>
        <w:t>If there is a sucking sound, turn needle slightly or lift the holder in an effort to move the bevel away from the wall of the vein.</w:t>
      </w:r>
    </w:p>
    <w:p>
      <w:pPr>
        <w:pStyle w:val="Number111bodybullet"/>
        <w:rPr/>
      </w:pPr>
      <w:r>
        <w:rPr/>
        <w:tab/>
      </w:r>
      <w:r>
        <w:rPr>
          <w:rFonts w:eastAsia="Symbol" w:cs="Symbol" w:ascii="Symbol" w:hAnsi="Symbol"/>
        </w:rPr>
        <w:t></w:t>
      </w:r>
      <w:r>
        <w:rPr/>
        <w:tab/>
        <w:t>If no blood appears, move needle slightly in hope of entering vein. Do not probe.  If not successful, release tourniquet and remove needle. A second attempt can be made on the other arm.</w:t>
      </w:r>
    </w:p>
    <w:p>
      <w:pPr>
        <w:pStyle w:val="Number111bodybullet"/>
        <w:rPr/>
      </w:pPr>
      <w:r>
        <w:rPr/>
        <w:tab/>
      </w:r>
      <w:r>
        <w:rPr>
          <w:rFonts w:eastAsia="Symbol" w:cs="Symbol" w:ascii="Symbol" w:hAnsi="Symbol"/>
        </w:rPr>
        <w:t></w:t>
      </w:r>
      <w:r>
        <w:rPr/>
        <w:tab/>
        <w:t>Loosen the tourniquet. It may have been applied too tightly, thereby stopping the blood flow. Reapply the tourniquet loosely. If the tourniquet is a Velcro type, quickly release and press back together. Be sure, however, that the tourniquet remains on for no longer than two minutes at a time.</w:t>
      </w:r>
    </w:p>
    <w:p>
      <w:pPr>
        <w:pStyle w:val="Number111bodybullet"/>
        <w:rPr/>
      </w:pPr>
      <w:r>
        <w:rPr/>
        <w:tab/>
      </w:r>
      <w:r>
        <w:rPr>
          <w:rFonts w:eastAsia="Symbol" w:cs="Symbol" w:ascii="Symbol" w:hAnsi="Symbol"/>
        </w:rPr>
        <w:t></w:t>
      </w:r>
      <w:r>
        <w:rPr/>
        <w:tab/>
        <w:t>Do not attempt a venipuncture more than twice.</w:t>
      </w:r>
    </w:p>
    <w:p>
      <w:pPr>
        <w:pStyle w:val="Number111bodybullet"/>
        <w:rPr/>
      </w:pPr>
      <w:r>
        <w:rPr/>
        <w:tab/>
      </w:r>
      <w:r>
        <w:rPr>
          <w:rFonts w:eastAsia="Symbol" w:cs="Symbol" w:ascii="Symbol" w:hAnsi="Symbol"/>
        </w:rPr>
        <w:t></w:t>
      </w:r>
      <w:r>
        <w:rPr/>
        <w:tab/>
        <w:t>Reassure the participants that your inability to obtain a clean venipuncture is not any sign of a medical problem on their part.</w:t>
      </w:r>
    </w:p>
    <w:p>
      <w:pPr>
        <w:pStyle w:val="Number111bodybullet"/>
        <w:rPr/>
      </w:pPr>
      <w:r>
        <w:rPr/>
        <w:tab/>
      </w:r>
      <w:r>
        <w:rPr>
          <w:rFonts w:eastAsia="Symbol" w:cs="Symbol" w:ascii="Symbol" w:hAnsi="Symbol"/>
        </w:rPr>
        <w:t></w:t>
      </w:r>
      <w:r>
        <w:rPr/>
        <w:tab/>
        <w:t>If venipuncture is unsuccessful, note on the Phlebotomy Form.</w:t>
      </w:r>
    </w:p>
    <w:p>
      <w:pPr>
        <w:pStyle w:val="Number111bodybullet"/>
        <w:rPr/>
      </w:pPr>
      <w:r>
        <w:rPr/>
      </w:r>
    </w:p>
    <w:p>
      <w:pPr>
        <w:pStyle w:val="Number111"/>
        <w:rPr/>
      </w:pPr>
      <w:r>
        <w:rPr/>
        <w:tab/>
        <w:t>5.93</w:t>
        <w:tab/>
      </w:r>
      <w:r>
        <w:rPr>
          <w:u w:val="single"/>
        </w:rPr>
        <w:t>Assisting participants who look or feel faint</w:t>
      </w:r>
      <w:r>
        <w:rPr/>
        <w:t>.</w:t>
      </w:r>
    </w:p>
    <w:p>
      <w:pPr>
        <w:pStyle w:val="Number111"/>
        <w:tabs>
          <w:tab w:val="right" w:pos="1800" w:leader="none"/>
          <w:tab w:val="right" w:pos="2070" w:leader="none"/>
        </w:tabs>
        <w:ind w:left="2160" w:hanging="2430"/>
        <w:rPr/>
      </w:pPr>
      <w:r>
        <w:rPr/>
      </w:r>
    </w:p>
    <w:p>
      <w:pPr>
        <w:pStyle w:val="Number111bodybullet"/>
        <w:rPr/>
      </w:pPr>
      <w:r>
        <w:rPr/>
        <w:tab/>
      </w:r>
      <w:r>
        <w:rPr>
          <w:rFonts w:eastAsia="Symbol" w:cs="Symbol" w:ascii="Symbol" w:hAnsi="Symbol"/>
        </w:rPr>
        <w:t></w:t>
      </w:r>
      <w:r>
        <w:rPr/>
        <w:tab/>
        <w:t xml:space="preserve">Have the participant remain in the chair and sit, if necessary, with head between knees until his/her color returns and he/she feels better. </w:t>
      </w:r>
    </w:p>
    <w:p>
      <w:pPr>
        <w:pStyle w:val="Number111bodybullet"/>
        <w:rPr/>
      </w:pPr>
      <w:r>
        <w:rPr/>
        <w:tab/>
      </w:r>
      <w:r>
        <w:rPr>
          <w:rFonts w:eastAsia="Symbol" w:cs="Symbol" w:ascii="Symbol" w:hAnsi="Symbol"/>
        </w:rPr>
        <w:t></w:t>
      </w:r>
      <w:r>
        <w:rPr/>
        <w:tab/>
        <w:t>Provide a basin if the participant feels nauseated.</w:t>
      </w:r>
    </w:p>
    <w:p>
      <w:pPr>
        <w:pStyle w:val="Number111bodybullet"/>
        <w:rPr/>
      </w:pPr>
      <w:r>
        <w:rPr/>
        <w:tab/>
      </w:r>
      <w:r>
        <w:rPr>
          <w:rFonts w:eastAsia="Symbol" w:cs="Symbol" w:ascii="Symbol" w:hAnsi="Symbol"/>
        </w:rPr>
        <w:t></w:t>
      </w:r>
      <w:r>
        <w:rPr/>
        <w:tab/>
        <w:t>Place a cold wet cloth on the back of the neck.</w:t>
      </w:r>
    </w:p>
    <w:p>
      <w:pPr>
        <w:pStyle w:val="Number111bodybullet"/>
        <w:rPr/>
      </w:pPr>
      <w:r>
        <w:rPr/>
        <w:tab/>
      </w:r>
      <w:r>
        <w:rPr>
          <w:rFonts w:eastAsia="Symbol" w:cs="Symbol" w:ascii="Symbol" w:hAnsi="Symbol"/>
        </w:rPr>
        <w:t></w:t>
      </w:r>
      <w:r>
        <w:rPr/>
        <w:tab/>
        <w:t>If the participant faints, use smelling salts to revive by crushing the ampoule and waving it under the nose for a few seconds.</w:t>
      </w:r>
    </w:p>
    <w:p>
      <w:pPr>
        <w:pStyle w:val="Number111bodybullet"/>
        <w:rPr/>
      </w:pPr>
      <w:r>
        <w:rPr/>
        <w:tab/>
      </w:r>
      <w:r>
        <w:rPr>
          <w:rFonts w:eastAsia="Symbol" w:cs="Symbol" w:ascii="Symbol" w:hAnsi="Symbol"/>
        </w:rPr>
        <w:t></w:t>
      </w:r>
      <w:r>
        <w:rPr/>
        <w:tab/>
        <w:t>If the person continues to feel ill, contact a medical staff member for advice.</w:t>
      </w:r>
    </w:p>
    <w:p>
      <w:pPr>
        <w:pStyle w:val="Heading5"/>
        <w:numPr>
          <w:ilvl w:val="0"/>
          <w:numId w:val="0"/>
        </w:numPr>
        <w:tabs>
          <w:tab w:val="left" w:pos="-1440" w:leader="none"/>
          <w:tab w:val="right" w:pos="1980" w:leader="none"/>
        </w:tabs>
        <w:ind w:left="2070" w:hanging="2340"/>
        <w:rPr/>
      </w:pPr>
      <w:r>
        <w:rPr/>
      </w:r>
    </w:p>
    <w:p>
      <w:pPr>
        <w:pStyle w:val="Number111"/>
        <w:rPr/>
      </w:pPr>
      <w:r>
        <w:rPr/>
        <w:tab/>
        <w:t>5.94</w:t>
        <w:tab/>
        <w:t>If a collection tube does not fill, try another tube of the same type. Partially-filled plasma tubes are not acceptable, and should be discarded, if less than ½ full. Serum tubes less than ½ full are acceptable but will yield a reduced number of aliquots. If the tube is not completely filled, note this on the Processing Form, as this can affect future assays</w:t>
      </w:r>
    </w:p>
    <w:p>
      <w:pPr>
        <w:pStyle w:val="Number111"/>
        <w:rPr/>
      </w:pPr>
      <w:r>
        <w:rPr/>
      </w:r>
    </w:p>
    <w:p>
      <w:pPr>
        <w:pStyle w:val="Number111"/>
        <w:rPr/>
      </w:pPr>
      <w:r>
        <w:rPr/>
        <w:tab/>
        <w:t>5.95</w:t>
        <w:tab/>
        <w:t xml:space="preserve">If all tubes are not collected (blood flow ceases, difficult venipuncture, etc.), make a note of the difficulties on the Phlebotomy/Processing Form. </w:t>
      </w:r>
      <w:r>
        <w:rPr>
          <w:i/>
          <w:iCs/>
        </w:rPr>
        <w:t>Always fill collection tubes in the order specified, except as noted, below.</w:t>
      </w:r>
      <w:r>
        <w:rPr/>
        <w:t xml:space="preserve"> If the participant is willing, another attempt should be made to complete the draw, collecting </w:t>
      </w:r>
      <w:r>
        <w:rPr>
          <w:i/>
          <w:iCs/>
        </w:rPr>
        <w:t xml:space="preserve">only </w:t>
      </w:r>
      <w:r>
        <w:rPr/>
        <w:t xml:space="preserve">those tubes that were not filled in the first attempt. If you will be re-starting at tube #4 (SCAT-I), </w:t>
      </w:r>
      <w:r>
        <w:rPr>
          <w:i/>
          <w:iCs/>
        </w:rPr>
        <w:t xml:space="preserve">first collect tube #5, </w:t>
      </w:r>
      <w:r>
        <w:rPr/>
        <w:t>followed by #’s 4, 6, 7, 8 (and 9, if applicable).</w:t>
      </w:r>
    </w:p>
    <w:p>
      <w:pPr>
        <w:pStyle w:val="Heading5"/>
        <w:numPr>
          <w:ilvl w:val="0"/>
          <w:numId w:val="0"/>
        </w:numPr>
        <w:ind w:left="432" w:hanging="0"/>
        <w:rPr/>
      </w:pPr>
      <w:r>
        <w:rPr/>
      </w:r>
    </w:p>
    <w:p>
      <w:pPr>
        <w:pStyle w:val="Number1"/>
        <w:rPr/>
      </w:pPr>
      <w:r>
        <w:rPr/>
        <w:tab/>
        <w:t>6.</w:t>
        <w:tab/>
      </w:r>
      <w:r>
        <w:rPr>
          <w:u w:val="single"/>
        </w:rPr>
        <w:t>Processing Specimens</w:t>
      </w:r>
    </w:p>
    <w:p>
      <w:pPr>
        <w:pStyle w:val="Normal"/>
        <w:tabs>
          <w:tab w:val="clear" w:pos="720"/>
          <w:tab w:val="left" w:pos="-1440" w:leader="none"/>
          <w:tab w:val="right" w:pos="360" w:leader="none"/>
        </w:tabs>
        <w:ind w:left="540" w:hanging="540"/>
        <w:rPr>
          <w:b/>
          <w:b/>
          <w:sz w:val="22"/>
          <w:u w:val="single"/>
        </w:rPr>
      </w:pPr>
      <w:r>
        <w:rPr>
          <w:b/>
          <w:sz w:val="22"/>
          <w:u w:val="single"/>
        </w:rPr>
      </w:r>
    </w:p>
    <w:p>
      <w:pPr>
        <w:pStyle w:val="Number11"/>
        <w:rPr/>
      </w:pPr>
      <w:r>
        <w:rPr/>
        <w:tab/>
        <w:t>6.1</w:t>
        <w:tab/>
        <w:t>Overview</w:t>
      </w:r>
    </w:p>
    <w:p>
      <w:pPr>
        <w:pStyle w:val="Number11"/>
        <w:rPr/>
      </w:pPr>
      <w:r>
        <w:rPr/>
      </w:r>
    </w:p>
    <w:p>
      <w:pPr>
        <w:pStyle w:val="Number11"/>
        <w:rPr/>
      </w:pPr>
      <w:r>
        <w:rPr/>
        <w:tab/>
        <w:tab/>
        <w:t xml:space="preserve">Initiate processing as soon as possible (15–30 minutes) following venipuncture. You </w:t>
      </w:r>
      <w:r>
        <w:rPr>
          <w:i/>
          <w:iCs/>
        </w:rPr>
        <w:t xml:space="preserve">must </w:t>
      </w:r>
      <w:r>
        <w:rPr/>
        <w:t>wear personal protective equipment (non-permeable lab coats, double-gloves with at least one latex pair, splatter shields) during processing.</w:t>
      </w:r>
    </w:p>
    <w:p>
      <w:pPr>
        <w:pStyle w:val="Normal"/>
        <w:rPr/>
      </w:pPr>
      <w:r>
        <w:rPr/>
      </w:r>
    </w:p>
    <w:p>
      <w:pPr>
        <w:pStyle w:val="Number11"/>
        <w:rPr/>
      </w:pPr>
      <w:r>
        <w:rPr/>
        <w:tab/>
        <w:t>6.2</w:t>
        <w:tab/>
        <w:t>Daily Preparation</w:t>
      </w:r>
    </w:p>
    <w:p>
      <w:pPr>
        <w:pStyle w:val="Number11body"/>
        <w:rPr/>
      </w:pPr>
      <w:r>
        <w:rPr/>
      </w:r>
    </w:p>
    <w:p>
      <w:pPr>
        <w:pStyle w:val="Number11body"/>
        <w:rPr/>
      </w:pPr>
      <w:r>
        <w:rPr/>
        <w:t>The following items should be on hand before beginning to process specimens:</w:t>
      </w:r>
    </w:p>
    <w:p>
      <w:pPr>
        <w:pStyle w:val="Number111"/>
        <w:rPr/>
      </w:pPr>
      <w:r>
        <w:rPr/>
      </w:r>
    </w:p>
    <w:p>
      <w:pPr>
        <w:pStyle w:val="Number11bodybullet"/>
        <w:rPr/>
      </w:pPr>
      <w:r>
        <w:rPr/>
        <w:tab/>
      </w:r>
      <w:r>
        <w:rPr>
          <w:rFonts w:eastAsia="Symbol" w:cs="Symbol" w:ascii="Symbol" w:hAnsi="Symbol"/>
        </w:rPr>
        <w:t></w:t>
      </w:r>
      <w:r>
        <w:rPr/>
        <w:tab/>
        <w:t>Lab coat, ample supply of latex gloves, splash shield</w:t>
      </w:r>
    </w:p>
    <w:p>
      <w:pPr>
        <w:pStyle w:val="Number11bodybullet"/>
        <w:rPr/>
      </w:pPr>
      <w:r>
        <w:rPr/>
        <w:tab/>
      </w:r>
      <w:r>
        <w:rPr>
          <w:rFonts w:eastAsia="Symbol" w:cs="Symbol" w:ascii="Symbol" w:hAnsi="Symbol"/>
        </w:rPr>
        <w:t></w:t>
      </w:r>
      <w:r>
        <w:rPr/>
        <w:tab/>
        <w:t>Emergency eye wash station</w:t>
      </w:r>
    </w:p>
    <w:p>
      <w:pPr>
        <w:pStyle w:val="Number11bodybullet"/>
        <w:rPr/>
      </w:pPr>
      <w:r>
        <w:rPr/>
        <w:tab/>
      </w:r>
      <w:r>
        <w:rPr>
          <w:rFonts w:eastAsia="Symbol" w:cs="Symbol" w:ascii="Symbol" w:hAnsi="Symbol"/>
        </w:rPr>
        <w:t></w:t>
      </w:r>
      <w:r>
        <w:rPr/>
        <w:tab/>
        <w:t>Biohazards waste disposal container</w:t>
      </w:r>
    </w:p>
    <w:p>
      <w:pPr>
        <w:pStyle w:val="Number11bodybullet"/>
        <w:rPr/>
      </w:pPr>
      <w:r>
        <w:rPr/>
        <w:tab/>
      </w:r>
      <w:r>
        <w:rPr>
          <w:rFonts w:eastAsia="Symbol" w:cs="Symbol" w:ascii="Symbol" w:hAnsi="Symbol"/>
        </w:rPr>
        <w:t></w:t>
      </w:r>
      <w:r>
        <w:rPr/>
        <w:tab/>
        <w:t>10% bleach solution or approved biohazard disinfectant</w:t>
      </w:r>
    </w:p>
    <w:p>
      <w:pPr>
        <w:pStyle w:val="Number11bodybullet"/>
        <w:rPr/>
      </w:pPr>
      <w:r>
        <w:rPr/>
        <w:tab/>
      </w:r>
      <w:r>
        <w:rPr>
          <w:rFonts w:eastAsia="Symbol" w:cs="Symbol" w:ascii="Symbol" w:hAnsi="Symbol"/>
        </w:rPr>
        <w:t></w:t>
      </w:r>
      <w:r>
        <w:rPr/>
        <w:tab/>
        <w:t>Freezer (-70</w:t>
      </w:r>
      <w:r>
        <w:rPr>
          <w:rFonts w:eastAsia="Symbol" w:cs="Symbol" w:ascii="Symbol" w:hAnsi="Symbol"/>
        </w:rPr>
        <w:t></w:t>
      </w:r>
      <w:r>
        <w:rPr/>
        <w:t>C  or colder)</w:t>
      </w:r>
    </w:p>
    <w:p>
      <w:pPr>
        <w:pStyle w:val="Number11bodybullet"/>
        <w:rPr/>
      </w:pPr>
      <w:r>
        <w:rPr/>
        <w:tab/>
      </w:r>
      <w:r>
        <w:rPr>
          <w:rFonts w:eastAsia="Symbol" w:cs="Symbol" w:ascii="Symbol" w:hAnsi="Symbol"/>
        </w:rPr>
        <w:t></w:t>
      </w:r>
      <w:r>
        <w:rPr/>
        <w:tab/>
        <w:t>Refrigerator for storage of special blood tubes, freezing media, and tubes #18 and #19 (may be a household refrigerator but may not be used for food storage)</w:t>
      </w:r>
    </w:p>
    <w:p>
      <w:pPr>
        <w:pStyle w:val="Number11bodybullet"/>
        <w:rPr/>
      </w:pPr>
      <w:r>
        <w:rPr/>
        <w:tab/>
      </w:r>
      <w:r>
        <w:rPr>
          <w:rFonts w:eastAsia="Symbol" w:cs="Symbol" w:ascii="Symbol" w:hAnsi="Symbol"/>
        </w:rPr>
        <w:t></w:t>
      </w:r>
      <w:r>
        <w:rPr/>
        <w:tab/>
        <w:t xml:space="preserve">Fixed-volume pipettes with tips (MLA) and adjustable pipettes (Rainin, Finn, etc.) with tips. Volumes needed: 230 </w:t>
      </w:r>
      <w:r>
        <w:rPr>
          <w:rFonts w:eastAsia="Symbol" w:cs="Symbol" w:ascii="Symbol" w:hAnsi="Symbol"/>
        </w:rPr>
        <w:t></w:t>
      </w:r>
      <w:r>
        <w:rPr/>
        <w:t xml:space="preserve">L, 0.5 mL, 1.0 mL (200-1000 </w:t>
      </w:r>
      <w:r>
        <w:rPr>
          <w:rFonts w:eastAsia="Symbol" w:cs="Symbol" w:ascii="Symbol" w:hAnsi="Symbol"/>
        </w:rPr>
        <w:t></w:t>
      </w:r>
      <w:r>
        <w:rPr/>
        <w:t>L), 3–5 mL, 9 mL, and 14 mL.</w:t>
      </w:r>
    </w:p>
    <w:p>
      <w:pPr>
        <w:pStyle w:val="Number11bodybullet"/>
        <w:rPr/>
      </w:pPr>
      <w:r>
        <w:rPr/>
        <w:tab/>
      </w:r>
      <w:r>
        <w:rPr>
          <w:rFonts w:eastAsia="Symbol" w:cs="Symbol" w:ascii="Symbol" w:hAnsi="Symbol"/>
        </w:rPr>
        <w:t></w:t>
      </w:r>
      <w:r>
        <w:rPr/>
        <w:tab/>
        <w:t>Transfer pipette</w:t>
      </w:r>
    </w:p>
    <w:p>
      <w:pPr>
        <w:pStyle w:val="Number11bodybullet"/>
        <w:rPr/>
      </w:pPr>
      <w:r>
        <w:rPr/>
        <w:tab/>
      </w:r>
      <w:r>
        <w:rPr>
          <w:rFonts w:eastAsia="Symbol" w:cs="Symbol" w:ascii="Symbol" w:hAnsi="Symbol"/>
        </w:rPr>
        <w:t></w:t>
      </w:r>
      <w:r>
        <w:rPr/>
        <w:tab/>
        <w:t>Cryovial/freezer box  labels (provided by the CC)</w:t>
      </w:r>
    </w:p>
    <w:p>
      <w:pPr>
        <w:pStyle w:val="Number11bodybullet"/>
        <w:rPr/>
      </w:pPr>
      <w:r>
        <w:rPr/>
        <w:tab/>
      </w:r>
      <w:r>
        <w:rPr>
          <w:rFonts w:eastAsia="Symbol" w:cs="Symbol" w:ascii="Symbol" w:hAnsi="Symbol"/>
        </w:rPr>
        <w:t></w:t>
      </w:r>
      <w:r>
        <w:rPr/>
        <w:tab/>
        <w:t>Cryovial and test tube racks</w:t>
      </w:r>
    </w:p>
    <w:p>
      <w:pPr>
        <w:pStyle w:val="Number11bodybullet"/>
        <w:rPr/>
      </w:pPr>
      <w:r>
        <w:rPr/>
        <w:tab/>
      </w:r>
      <w:r>
        <w:rPr>
          <w:rFonts w:eastAsia="Symbol" w:cs="Symbol" w:ascii="Symbol" w:hAnsi="Symbol"/>
        </w:rPr>
        <w:t></w:t>
      </w:r>
      <w:r>
        <w:rPr/>
        <w:tab/>
        <w:t>Cryovials (0.5 mL, 2.0 mL, 4.0 mL, 10.0 mL) (provided by CBAL)</w:t>
      </w:r>
    </w:p>
    <w:p>
      <w:pPr>
        <w:pStyle w:val="Number11bodybullet"/>
        <w:rPr/>
      </w:pPr>
      <w:r>
        <w:rPr/>
        <w:tab/>
      </w:r>
      <w:r>
        <w:rPr>
          <w:rFonts w:eastAsia="Symbol" w:cs="Symbol" w:ascii="Symbol" w:hAnsi="Symbol"/>
        </w:rPr>
        <w:t></w:t>
      </w:r>
      <w:r>
        <w:rPr/>
        <w:tab/>
        <w:t>15 mL tubes for pooling sample</w:t>
      </w:r>
    </w:p>
    <w:p>
      <w:pPr>
        <w:pStyle w:val="Number11bodybullet"/>
        <w:rPr/>
      </w:pPr>
      <w:r>
        <w:rPr/>
        <w:tab/>
      </w:r>
      <w:r>
        <w:rPr>
          <w:rFonts w:eastAsia="Symbol" w:cs="Symbol" w:ascii="Symbol" w:hAnsi="Symbol"/>
        </w:rPr>
        <w:t></w:t>
      </w:r>
      <w:r>
        <w:rPr/>
        <w:tab/>
        <w:t>15 mL centrifuge tubes for cell prep (provided by CBAL</w:t>
      </w:r>
    </w:p>
    <w:p>
      <w:pPr>
        <w:pStyle w:val="Number11bodybullet"/>
        <w:rPr/>
      </w:pPr>
      <w:r>
        <w:rPr/>
        <w:tab/>
      </w:r>
      <w:r>
        <w:rPr>
          <w:rFonts w:eastAsia="Symbol" w:cs="Symbol" w:ascii="Symbol" w:hAnsi="Symbol"/>
        </w:rPr>
        <w:t></w:t>
      </w:r>
      <w:r>
        <w:rPr/>
        <w:tab/>
        <w:t>Freezing media A (provided by CBAL)</w:t>
      </w:r>
    </w:p>
    <w:p>
      <w:pPr>
        <w:pStyle w:val="Number11bodybullet"/>
        <w:rPr/>
      </w:pPr>
      <w:r>
        <w:rPr/>
        <w:tab/>
      </w:r>
      <w:r>
        <w:rPr>
          <w:rFonts w:eastAsia="Symbol" w:cs="Symbol" w:ascii="Symbol" w:hAnsi="Symbol"/>
        </w:rPr>
        <w:t></w:t>
      </w:r>
      <w:r>
        <w:rPr/>
        <w:tab/>
        <w:t>Freezing media B (provided by CBAL)</w:t>
      </w:r>
    </w:p>
    <w:p>
      <w:pPr>
        <w:pStyle w:val="Number11bodybullet"/>
        <w:rPr/>
      </w:pPr>
      <w:r>
        <w:rPr/>
        <w:tab/>
      </w:r>
      <w:r>
        <w:rPr>
          <w:rFonts w:eastAsia="Symbol" w:cs="Symbol" w:ascii="Symbol" w:hAnsi="Symbol"/>
        </w:rPr>
        <w:t></w:t>
      </w:r>
      <w:r>
        <w:rPr/>
        <w:tab/>
        <w:t>Materials for cell prep procedure:</w:t>
      </w:r>
    </w:p>
    <w:p>
      <w:pPr>
        <w:pStyle w:val="Number11bodybullet"/>
        <w:rPr/>
      </w:pPr>
      <w:r>
        <w:rPr/>
        <w:tab/>
        <w:t>-</w:t>
        <w:tab/>
        <w:t>PBS (phosphate buffered saline) (provided by CBAL)</w:t>
      </w:r>
    </w:p>
    <w:p>
      <w:pPr>
        <w:pStyle w:val="Number11bodybullet"/>
        <w:rPr/>
      </w:pPr>
      <w:r>
        <w:rPr/>
        <w:tab/>
        <w:t>-</w:t>
        <w:tab/>
        <w:t>distilled water</w:t>
      </w:r>
    </w:p>
    <w:p>
      <w:pPr>
        <w:pStyle w:val="Number11bodybullet"/>
        <w:rPr/>
      </w:pPr>
      <w:r>
        <w:rPr/>
        <w:tab/>
        <w:t>-</w:t>
        <w:tab/>
        <w:t>graduated cylinder</w:t>
      </w:r>
    </w:p>
    <w:p>
      <w:pPr>
        <w:pStyle w:val="Number11bodybullet"/>
        <w:rPr/>
      </w:pPr>
      <w:r>
        <w:rPr/>
        <w:tab/>
        <w:t>-</w:t>
        <w:tab/>
        <w:t>reagent bottle</w:t>
      </w:r>
    </w:p>
    <w:p>
      <w:pPr>
        <w:pStyle w:val="Number11bodybullet"/>
        <w:rPr/>
      </w:pPr>
      <w:r>
        <w:rPr/>
        <w:tab/>
      </w:r>
      <w:r>
        <w:rPr>
          <w:rFonts w:eastAsia="Symbol" w:cs="Symbol" w:ascii="Symbol" w:hAnsi="Symbol"/>
        </w:rPr>
        <w:t></w:t>
      </w:r>
      <w:r>
        <w:rPr/>
        <w:tab/>
        <w:t>ACD/dextran solution (for red cell membranes) (provided by CBAL)</w:t>
      </w:r>
    </w:p>
    <w:p>
      <w:pPr>
        <w:pStyle w:val="Number11bodybullet"/>
        <w:rPr/>
      </w:pPr>
      <w:r>
        <w:rPr/>
        <w:tab/>
      </w:r>
      <w:r>
        <w:rPr>
          <w:rFonts w:eastAsia="Symbol" w:cs="Symbol" w:ascii="Symbol" w:hAnsi="Symbol"/>
        </w:rPr>
        <w:t></w:t>
      </w:r>
      <w:r>
        <w:rPr/>
        <w:tab/>
        <w:t>Reagent bottles/containers for daily use</w:t>
      </w:r>
    </w:p>
    <w:p>
      <w:pPr>
        <w:pStyle w:val="Number11bodybullet"/>
        <w:rPr/>
      </w:pPr>
      <w:r>
        <w:rPr/>
        <w:tab/>
      </w:r>
      <w:r>
        <w:rPr>
          <w:rFonts w:eastAsia="Symbol" w:cs="Symbol" w:ascii="Symbol" w:hAnsi="Symbol"/>
        </w:rPr>
        <w:t></w:t>
      </w:r>
      <w:r>
        <w:rPr/>
        <w:tab/>
        <w:t>Labels/lab tape for reagent bottles</w:t>
      </w:r>
    </w:p>
    <w:p>
      <w:pPr>
        <w:pStyle w:val="Number11bodybullet"/>
        <w:rPr/>
      </w:pPr>
      <w:r>
        <w:rPr/>
        <w:tab/>
      </w:r>
      <w:r>
        <w:rPr>
          <w:rFonts w:eastAsia="Symbol" w:cs="Symbol" w:ascii="Symbol" w:hAnsi="Symbol"/>
        </w:rPr>
        <w:t></w:t>
      </w:r>
      <w:r>
        <w:rPr/>
        <w:tab/>
        <w:t>Sharpie pens</w:t>
      </w:r>
    </w:p>
    <w:p>
      <w:pPr>
        <w:pStyle w:val="Number11bodybullet"/>
        <w:rPr/>
      </w:pPr>
      <w:r>
        <w:rPr/>
        <w:tab/>
      </w:r>
      <w:r>
        <w:rPr>
          <w:rFonts w:eastAsia="Symbol" w:cs="Symbol" w:ascii="Symbol" w:hAnsi="Symbol"/>
        </w:rPr>
        <w:t></w:t>
      </w:r>
      <w:r>
        <w:rPr/>
        <w:tab/>
        <w:t>Refrigerated centrifuge: 2000 g-force minimum, 4</w:t>
      </w:r>
      <w:r>
        <w:rPr>
          <w:rFonts w:eastAsia="Symbol" w:cs="Symbol" w:ascii="Symbol" w:hAnsi="Symbol"/>
        </w:rPr>
        <w:t></w:t>
      </w:r>
      <w:r>
        <w:rPr/>
        <w:t>C, swinging bucket</w:t>
      </w:r>
    </w:p>
    <w:p>
      <w:pPr>
        <w:pStyle w:val="Number11bodybullet"/>
        <w:rPr/>
      </w:pPr>
      <w:r>
        <w:rPr/>
        <w:tab/>
      </w:r>
      <w:r>
        <w:rPr>
          <w:rFonts w:eastAsia="Symbol" w:cs="Symbol" w:ascii="Symbol" w:hAnsi="Symbol"/>
        </w:rPr>
        <w:t></w:t>
      </w:r>
      <w:r>
        <w:rPr/>
        <w:tab/>
        <w:t>Test tube holder (adapters) for centrifuge</w:t>
      </w:r>
    </w:p>
    <w:p>
      <w:pPr>
        <w:pStyle w:val="Number11bodybullet"/>
        <w:rPr/>
      </w:pPr>
      <w:r>
        <w:rPr/>
        <w:tab/>
      </w:r>
      <w:r>
        <w:rPr>
          <w:rFonts w:eastAsia="Symbol" w:cs="Symbol" w:ascii="Symbol" w:hAnsi="Symbol"/>
        </w:rPr>
        <w:t></w:t>
      </w:r>
      <w:r>
        <w:rPr/>
        <w:tab/>
        <w:t>Harvard Trip balance/Pan balance</w:t>
      </w:r>
    </w:p>
    <w:p>
      <w:pPr>
        <w:pStyle w:val="Number11bodybullet"/>
        <w:rPr/>
      </w:pPr>
      <w:r>
        <w:rPr/>
        <w:tab/>
      </w:r>
      <w:r>
        <w:rPr>
          <w:rFonts w:eastAsia="Symbol" w:cs="Symbol" w:ascii="Symbol" w:hAnsi="Symbol"/>
        </w:rPr>
        <w:t></w:t>
      </w:r>
      <w:r>
        <w:rPr/>
        <w:tab/>
        <w:t>Water bottles for balance</w:t>
      </w:r>
    </w:p>
    <w:p>
      <w:pPr>
        <w:pStyle w:val="Number11bodybullet"/>
        <w:rPr/>
      </w:pPr>
      <w:r>
        <w:rPr/>
        <w:tab/>
      </w:r>
      <w:r>
        <w:rPr>
          <w:rFonts w:eastAsia="Symbol" w:cs="Symbol" w:ascii="Symbol" w:hAnsi="Symbol"/>
        </w:rPr>
        <w:t></w:t>
      </w:r>
      <w:r>
        <w:rPr/>
        <w:tab/>
        <w:t>Revco boxes and dividers (10 x 10 and 7 x 7 grids)</w:t>
      </w:r>
    </w:p>
    <w:p>
      <w:pPr>
        <w:pStyle w:val="Number11bodybullet"/>
        <w:rPr/>
      </w:pPr>
      <w:r>
        <w:rPr/>
        <w:tab/>
      </w:r>
      <w:r>
        <w:rPr>
          <w:rFonts w:eastAsia="Symbol" w:cs="Symbol" w:ascii="Symbol" w:hAnsi="Symbol"/>
        </w:rPr>
        <w:t></w:t>
      </w:r>
      <w:r>
        <w:rPr/>
        <w:tab/>
        <w:t>Styrofoam/insulated shipping boxes</w:t>
      </w:r>
    </w:p>
    <w:p>
      <w:pPr>
        <w:pStyle w:val="Number11bodybullet"/>
        <w:rPr/>
      </w:pPr>
      <w:r>
        <w:rPr/>
        <w:tab/>
      </w:r>
      <w:r>
        <w:rPr>
          <w:rFonts w:eastAsia="Symbol" w:cs="Symbol" w:ascii="Symbol" w:hAnsi="Symbol"/>
        </w:rPr>
        <w:t></w:t>
      </w:r>
      <w:r>
        <w:rPr/>
        <w:tab/>
        <w:t>Nalgene #5100-001 freezing container “Mr. Frosty” (3) (provided by CBAL)</w:t>
      </w:r>
    </w:p>
    <w:p>
      <w:pPr>
        <w:pStyle w:val="Number11bodybullet"/>
        <w:rPr/>
      </w:pPr>
      <w:r>
        <w:rPr/>
        <w:tab/>
      </w:r>
      <w:r>
        <w:rPr>
          <w:rFonts w:eastAsia="Symbol" w:cs="Symbol" w:ascii="Symbol" w:hAnsi="Symbol"/>
        </w:rPr>
        <w:t></w:t>
      </w:r>
      <w:r>
        <w:rPr/>
        <w:tab/>
        <w:t xml:space="preserve">100% isopropyl alcohol </w:t>
      </w:r>
    </w:p>
    <w:p>
      <w:pPr>
        <w:pStyle w:val="Number111"/>
        <w:ind w:left="0" w:hanging="0"/>
        <w:rPr/>
      </w:pPr>
      <w:r>
        <w:rPr/>
      </w:r>
    </w:p>
    <w:p>
      <w:pPr>
        <w:pStyle w:val="Number11"/>
        <w:rPr/>
      </w:pPr>
      <w:r>
        <w:rPr/>
        <w:tab/>
        <w:t>6.3</w:t>
        <w:tab/>
        <w:t>Instructions for centrifuging EDTA, SCAT-I, citrate, and serum tubes</w:t>
      </w:r>
    </w:p>
    <w:p>
      <w:pPr>
        <w:pStyle w:val="Number11"/>
        <w:rPr>
          <w:sz w:val="22"/>
        </w:rPr>
      </w:pPr>
      <w:r>
        <w:rPr>
          <w:sz w:val="22"/>
        </w:rPr>
      </w:r>
    </w:p>
    <w:p>
      <w:pPr>
        <w:pStyle w:val="Number111"/>
        <w:rPr/>
      </w:pPr>
      <w:r>
        <w:rPr/>
        <w:tab/>
        <w:t>6.31</w:t>
        <w:tab/>
      </w:r>
      <w:r>
        <w:rPr>
          <w:u w:val="single"/>
        </w:rPr>
        <w:t>EDTA, SCAT-I, and citrate tubes</w:t>
      </w:r>
      <w:r>
        <w:rPr/>
        <w:t xml:space="preserve"> (#s 1, 6, 4, and 5, respectively) should be stored upright on wet ice for </w:t>
      </w:r>
      <w:r>
        <w:rPr>
          <w:i/>
          <w:iCs/>
        </w:rPr>
        <w:t xml:space="preserve">no longer than 30 minutes, </w:t>
      </w:r>
      <w:r>
        <w:rPr/>
        <w:t xml:space="preserve">if centrifugation cannot be done immediately. Allow </w:t>
      </w:r>
      <w:r>
        <w:rPr>
          <w:u w:val="single"/>
        </w:rPr>
        <w:t>serum tubes</w:t>
      </w:r>
      <w:r>
        <w:rPr/>
        <w:t xml:space="preserve"> (#s 2 and 7) to clot for at least 40 minutes (but no longer than 90 minutes) at room temperature. Please note all start times on the Processing Forms.</w:t>
      </w:r>
    </w:p>
    <w:p>
      <w:pPr>
        <w:pStyle w:val="Number111"/>
        <w:rPr/>
      </w:pPr>
      <w:r>
        <w:rPr/>
      </w:r>
    </w:p>
    <w:p>
      <w:pPr>
        <w:pStyle w:val="Number111"/>
        <w:rPr/>
      </w:pPr>
      <w:r>
        <w:rPr/>
        <w:tab/>
        <w:t>6.32</w:t>
        <w:tab/>
        <w:t>Centrifuge tubes at 4</w:t>
      </w:r>
      <w:r>
        <w:rPr>
          <w:rFonts w:eastAsia="Symbol" w:cs="Symbol" w:ascii="Symbol" w:hAnsi="Symbol"/>
        </w:rPr>
        <w:t></w:t>
      </w:r>
      <w:r>
        <w:rPr/>
        <w:t xml:space="preserve"> C at at least 2000 g for 15 minutes or 3000 g for 10 minutes, for a total of 30,000 g-minutes. Once centrifugation is complete, carefully place tubes on ice in preparation for pooling and aliquoting.</w:t>
      </w:r>
    </w:p>
    <w:p>
      <w:pPr>
        <w:pStyle w:val="Number111"/>
        <w:rPr/>
      </w:pPr>
      <w:r>
        <w:rPr/>
      </w:r>
    </w:p>
    <w:p>
      <w:pPr>
        <w:pStyle w:val="Number11"/>
        <w:rPr/>
      </w:pPr>
      <w:r>
        <w:rPr/>
        <w:tab/>
        <w:t>6.4</w:t>
        <w:tab/>
        <w:t>Guidelines for aliquoting</w:t>
      </w:r>
    </w:p>
    <w:p>
      <w:pPr>
        <w:pStyle w:val="Number11"/>
        <w:rPr/>
      </w:pPr>
      <w:r>
        <w:rPr/>
      </w:r>
    </w:p>
    <w:p>
      <w:pPr>
        <w:pStyle w:val="Number111"/>
        <w:rPr/>
      </w:pPr>
      <w:r>
        <w:rPr/>
        <w:tab/>
        <w:t>6.41</w:t>
        <w:tab/>
        <w:t xml:space="preserve">Aliquoting involves removing the serum or plasma in small amounts (e.g., 0.5 mL) by pipette and placing it into the appropriate color-coded cryovials (provided). Color-coding is predetermined and used to identify sample type. </w:t>
      </w:r>
    </w:p>
    <w:p>
      <w:pPr>
        <w:pStyle w:val="Number111"/>
        <w:rPr/>
      </w:pPr>
      <w:r>
        <w:rPr/>
        <w:tab/>
        <w:t>6.42</w:t>
        <w:tab/>
        <w:t>This process must be done while the tubes and cryovials are on ice (unless otherwise noted).</w:t>
      </w:r>
    </w:p>
    <w:p>
      <w:pPr>
        <w:pStyle w:val="Number111"/>
        <w:rPr/>
      </w:pPr>
      <w:r>
        <w:rPr/>
      </w:r>
    </w:p>
    <w:p>
      <w:pPr>
        <w:pStyle w:val="Number111"/>
        <w:rPr/>
      </w:pPr>
      <w:r>
        <w:rPr/>
        <w:tab/>
        <w:t>6.43</w:t>
        <w:tab/>
        <w:t>When aliquoting serum and plasma, be careful not to disturb the top of the cell pellet with the pipette tip, as this will result in platelet, white cell, and red cell contamination.</w:t>
      </w:r>
    </w:p>
    <w:p>
      <w:pPr>
        <w:pStyle w:val="Number111"/>
        <w:rPr/>
      </w:pPr>
      <w:r>
        <w:rPr/>
      </w:r>
    </w:p>
    <w:p>
      <w:pPr>
        <w:pStyle w:val="Number111"/>
        <w:rPr/>
      </w:pPr>
      <w:r>
        <w:rPr/>
        <w:tab/>
        <w:t>6.44</w:t>
        <w:tab/>
        <w:t>Use a new pipette tip for each draw tube.</w:t>
        <w:tab/>
      </w:r>
    </w:p>
    <w:p>
      <w:pPr>
        <w:pStyle w:val="Number111"/>
        <w:rPr/>
      </w:pPr>
      <w:r>
        <w:rPr/>
      </w:r>
    </w:p>
    <w:p>
      <w:pPr>
        <w:pStyle w:val="Number111"/>
        <w:rPr/>
      </w:pPr>
      <w:r>
        <w:rPr/>
        <w:tab/>
        <w:t>6.45</w:t>
        <w:tab/>
        <w:t>Pool plasma or serum of like tubes from the same participant (e.g., plasma from tubes 1 and 6; serum from tubes 2 and 7).</w:t>
      </w:r>
    </w:p>
    <w:p>
      <w:pPr>
        <w:pStyle w:val="Number111"/>
        <w:rPr/>
      </w:pPr>
      <w:r>
        <w:rPr/>
      </w:r>
    </w:p>
    <w:p>
      <w:pPr>
        <w:pStyle w:val="Number111"/>
        <w:rPr/>
      </w:pPr>
      <w:r>
        <w:rPr/>
        <w:tab/>
        <w:t>6.46</w:t>
        <w:tab/>
        <w:t>If any tubes are accidentally mixed during pipetting, so that plasma is contaminated with red cells, they may be recentrifuged.</w:t>
      </w:r>
    </w:p>
    <w:p>
      <w:pPr>
        <w:pStyle w:val="Number111"/>
        <w:rPr/>
      </w:pPr>
      <w:r>
        <w:rPr/>
      </w:r>
    </w:p>
    <w:p>
      <w:pPr>
        <w:pStyle w:val="Number111"/>
        <w:rPr/>
      </w:pPr>
      <w:r>
        <w:rPr/>
        <w:tab/>
        <w:t>6.47</w:t>
        <w:tab/>
        <w:t>If there is insufficient sample of a tube type to make the full set of aliquots, fill the cryovial that is marked with an asterisk (*) on the Processing Form for that tube type first. Any partially-filled (less than the specified volume) cryovial should be marked with a dot on the cap and a “P” in the comment field of the Processing Form next to that cryovial number.</w:t>
      </w:r>
    </w:p>
    <w:p>
      <w:pPr>
        <w:pStyle w:val="Number111"/>
        <w:ind w:left="0" w:hanging="0"/>
        <w:rPr/>
      </w:pPr>
      <w:r>
        <w:rPr/>
      </w:r>
    </w:p>
    <w:p>
      <w:pPr>
        <w:pStyle w:val="Number111"/>
        <w:rPr/>
      </w:pPr>
      <w:r>
        <w:rPr/>
        <w:tab/>
        <w:t>6.48</w:t>
        <w:tab/>
        <w:t>Discard tubes after pooling and aliquoting are completed.</w:t>
      </w:r>
    </w:p>
    <w:p>
      <w:pPr>
        <w:pStyle w:val="Number111"/>
        <w:rPr/>
      </w:pPr>
      <w:r>
        <w:rPr/>
      </w:r>
    </w:p>
    <w:p>
      <w:pPr>
        <w:pStyle w:val="Number11"/>
        <w:rPr/>
      </w:pPr>
      <w:r>
        <w:rPr/>
        <w:tab/>
        <w:t>6.5</w:t>
        <w:tab/>
        <w:t>Instructions for aliquoting EDTA, SCAT-I, citrate, and serum tubes</w:t>
      </w:r>
    </w:p>
    <w:p>
      <w:pPr>
        <w:pStyle w:val="Number11"/>
        <w:rPr/>
      </w:pPr>
      <w:r>
        <w:rPr/>
      </w:r>
    </w:p>
    <w:p>
      <w:pPr>
        <w:pStyle w:val="Number111"/>
        <w:rPr/>
      </w:pPr>
      <w:r>
        <w:rPr/>
        <w:tab/>
        <w:t>6.51</w:t>
        <w:tab/>
        <w:t>Description of aliquots</w:t>
      </w:r>
    </w:p>
    <w:p>
      <w:pPr>
        <w:pStyle w:val="Normal"/>
        <w:rPr/>
      </w:pPr>
      <w:r>
        <w:rPr/>
        <w:tab/>
        <w:tab/>
      </w:r>
    </w:p>
    <w:tbl>
      <w:tblPr>
        <w:tblW w:w="6408" w:type="dxa"/>
        <w:jc w:val="left"/>
        <w:tblInd w:w="1965" w:type="dxa"/>
        <w:tblLayout w:type="fixed"/>
        <w:tblCellMar>
          <w:top w:w="0" w:type="dxa"/>
          <w:left w:w="108" w:type="dxa"/>
          <w:bottom w:w="0" w:type="dxa"/>
          <w:right w:w="108" w:type="dxa"/>
        </w:tblCellMar>
      </w:tblPr>
      <w:tblGrid>
        <w:gridCol w:w="806"/>
        <w:gridCol w:w="1374"/>
        <w:gridCol w:w="1546"/>
        <w:gridCol w:w="1080"/>
        <w:gridCol w:w="1602"/>
      </w:tblGrid>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Tubes</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Type</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Number of Cryovials</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Color Code</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b/>
                <w:b/>
                <w:bCs/>
                <w:sz w:val="20"/>
              </w:rPr>
            </w:pPr>
            <w:r>
              <w:rPr>
                <w:rFonts w:cs="Arial;Arial" w:ascii="Arial;Arial" w:hAnsi="Arial;Arial"/>
                <w:b/>
                <w:bCs/>
                <w:sz w:val="20"/>
              </w:rPr>
              <w:t>Volume per Cryovial</w:t>
            </w:r>
          </w:p>
        </w:tc>
      </w:tr>
      <w:tr>
        <w:trPr/>
        <w:tc>
          <w:tcPr>
            <w:tcW w:w="806" w:type="dxa"/>
            <w:tcBorders>
              <w:top w:val="single" w:sz="12" w:space="0" w:color="000000"/>
              <w:left w:val="single" w:sz="12"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1, 6</w:t>
            </w:r>
          </w:p>
        </w:tc>
        <w:tc>
          <w:tcPr>
            <w:tcW w:w="1374"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 mL EDTA</w:t>
            </w:r>
          </w:p>
        </w:tc>
        <w:tc>
          <w:tcPr>
            <w:tcW w:w="1546"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16 (#s 1–16)</w:t>
            </w:r>
          </w:p>
        </w:tc>
        <w:tc>
          <w:tcPr>
            <w:tcW w:w="108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tc>
      </w:tr>
      <w:tr>
        <w:trPr/>
        <w:tc>
          <w:tcPr>
            <w:tcW w:w="806" w:type="dxa"/>
            <w:tcBorders>
              <w:top w:val="single" w:sz="4" w:space="0" w:color="000000"/>
              <w:left w:val="single" w:sz="12" w:space="0" w:color="000000"/>
              <w:bottom w:val="single" w:sz="4" w:space="0" w:color="000000"/>
              <w:right w:val="single" w:sz="4" w:space="0" w:color="000000"/>
            </w:tcBorders>
          </w:tcPr>
          <w:p>
            <w:pPr>
              <w:pStyle w:val="Normal"/>
              <w:snapToGrid w:val="false"/>
              <w:jc w:val="center"/>
              <w:rPr>
                <w:rFonts w:ascii="Arial;Arial" w:hAnsi="Arial;Arial" w:cs="Arial;Arial"/>
                <w:b/>
                <w:b/>
                <w:bCs/>
                <w:sz w:val="20"/>
              </w:rPr>
            </w:pPr>
            <w:r>
              <w:rPr>
                <w:rFonts w:cs="Arial;Arial" w:ascii="Arial;Arial" w:hAnsi="Arial;Arial"/>
                <w:b/>
                <w:bCs/>
                <w:sz w:val="20"/>
              </w:rPr>
            </w:r>
          </w:p>
        </w:tc>
        <w:tc>
          <w:tcPr>
            <w:tcW w:w="137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20"/>
              </w:rPr>
            </w:pPr>
            <w:r>
              <w:rPr>
                <w:rFonts w:cs="Arial;Arial" w:ascii="Arial;Arial" w:hAnsi="Arial;Arial"/>
                <w:sz w:val="20"/>
              </w:rPr>
            </w:r>
          </w:p>
        </w:tc>
        <w:tc>
          <w:tcPr>
            <w:tcW w:w="1546"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 (#17)</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4"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1.0 mL</w:t>
            </w:r>
          </w:p>
        </w:tc>
      </w:tr>
      <w:tr>
        <w:trPr/>
        <w:tc>
          <w:tcPr>
            <w:tcW w:w="806" w:type="dxa"/>
            <w:tcBorders>
              <w:top w:val="single" w:sz="4" w:space="0" w:color="000000"/>
              <w:left w:val="single" w:sz="12" w:space="0" w:color="000000"/>
              <w:bottom w:val="single" w:sz="12" w:space="0" w:color="000000"/>
              <w:right w:val="single" w:sz="4" w:space="0" w:color="000000"/>
            </w:tcBorders>
          </w:tcPr>
          <w:p>
            <w:pPr>
              <w:pStyle w:val="Normal"/>
              <w:snapToGrid w:val="false"/>
              <w:jc w:val="center"/>
              <w:rPr>
                <w:rFonts w:ascii="Arial;Arial" w:hAnsi="Arial;Arial" w:cs="Arial;Arial"/>
                <w:b/>
                <w:b/>
                <w:bCs/>
                <w:sz w:val="20"/>
              </w:rPr>
            </w:pPr>
            <w:r>
              <w:rPr>
                <w:rFonts w:cs="Arial;Arial" w:ascii="Arial;Arial" w:hAnsi="Arial;Arial"/>
                <w:b/>
                <w:bCs/>
                <w:sz w:val="20"/>
              </w:rPr>
            </w:r>
          </w:p>
        </w:tc>
        <w:tc>
          <w:tcPr>
            <w:tcW w:w="1374" w:type="dxa"/>
            <w:tcBorders>
              <w:top w:val="single" w:sz="4" w:space="0" w:color="000000"/>
              <w:left w:val="single" w:sz="4" w:space="0" w:color="000000"/>
              <w:bottom w:val="single" w:sz="12" w:space="0" w:color="000000"/>
              <w:right w:val="single" w:sz="4" w:space="0" w:color="000000"/>
            </w:tcBorders>
          </w:tcPr>
          <w:p>
            <w:pPr>
              <w:pStyle w:val="Normal"/>
              <w:snapToGrid w:val="false"/>
              <w:jc w:val="center"/>
              <w:rPr>
                <w:rFonts w:ascii="Arial;Arial" w:hAnsi="Arial;Arial" w:cs="Arial;Arial"/>
                <w:sz w:val="20"/>
              </w:rPr>
            </w:pPr>
            <w:r>
              <w:rPr>
                <w:rFonts w:cs="Arial;Arial" w:ascii="Arial;Arial" w:hAnsi="Arial;Arial"/>
                <w:sz w:val="20"/>
              </w:rPr>
            </w:r>
          </w:p>
        </w:tc>
        <w:tc>
          <w:tcPr>
            <w:tcW w:w="1546" w:type="dxa"/>
            <w:tcBorders>
              <w:top w:val="single" w:sz="4"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 (#s 18 &amp; 19)</w:t>
            </w:r>
          </w:p>
        </w:tc>
        <w:tc>
          <w:tcPr>
            <w:tcW w:w="1080" w:type="dxa"/>
            <w:tcBorders>
              <w:top w:val="single" w:sz="4"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4"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3–5 mL packed red blood cells</w:t>
            </w:r>
          </w:p>
        </w:tc>
      </w:tr>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 mL SCAT-I</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 (#s 20–23)</w:t>
            </w:r>
          </w:p>
          <w:p>
            <w:pPr>
              <w:pStyle w:val="Normal"/>
              <w:jc w:val="center"/>
              <w:rPr>
                <w:rFonts w:ascii="Arial;Arial" w:hAnsi="Arial;Arial" w:cs="Arial;Arial"/>
                <w:sz w:val="20"/>
              </w:rPr>
            </w:pPr>
            <w:r>
              <w:rPr>
                <w:rFonts w:cs="Arial;Arial" w:ascii="Arial;Arial" w:hAnsi="Arial;Arial"/>
                <w:sz w:val="20"/>
              </w:rPr>
              <w:t>[1 (#18)]</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yellow</w:t>
            </w:r>
          </w:p>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p>
            <w:pPr>
              <w:pStyle w:val="Normal"/>
              <w:jc w:val="center"/>
              <w:rPr>
                <w:rFonts w:ascii="Arial;Arial" w:hAnsi="Arial;Arial" w:cs="Arial;Arial"/>
                <w:sz w:val="20"/>
              </w:rPr>
            </w:pPr>
            <w:r>
              <w:rPr>
                <w:rFonts w:cs="Arial;Arial" w:ascii="Arial;Arial" w:hAnsi="Arial;Arial"/>
                <w:sz w:val="20"/>
              </w:rPr>
              <w:t>[pRBCs]</w:t>
            </w:r>
          </w:p>
        </w:tc>
      </w:tr>
      <w:tr>
        <w:trPr/>
        <w:tc>
          <w:tcPr>
            <w:tcW w:w="806" w:type="dxa"/>
            <w:tcBorders>
              <w:top w:val="single" w:sz="12" w:space="0" w:color="000000"/>
              <w:left w:val="single" w:sz="12"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w:t>
            </w:r>
          </w:p>
        </w:tc>
        <w:tc>
          <w:tcPr>
            <w:tcW w:w="1374"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 mL citrate</w:t>
            </w:r>
          </w:p>
        </w:tc>
        <w:tc>
          <w:tcPr>
            <w:tcW w:w="1546"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 (#s 24–27)</w:t>
            </w:r>
          </w:p>
          <w:p>
            <w:pPr>
              <w:pStyle w:val="Normal"/>
              <w:jc w:val="center"/>
              <w:rPr>
                <w:rFonts w:ascii="Arial;Arial" w:hAnsi="Arial;Arial" w:cs="Arial;Arial"/>
                <w:sz w:val="20"/>
              </w:rPr>
            </w:pPr>
            <w:r>
              <w:rPr>
                <w:rFonts w:cs="Arial;Arial" w:ascii="Arial;Arial" w:hAnsi="Arial;Arial"/>
                <w:sz w:val="20"/>
              </w:rPr>
              <w:t>[1 (#19)]</w:t>
            </w:r>
          </w:p>
        </w:tc>
        <w:tc>
          <w:tcPr>
            <w:tcW w:w="108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blue</w:t>
            </w:r>
          </w:p>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p>
            <w:pPr>
              <w:pStyle w:val="Normal"/>
              <w:jc w:val="center"/>
              <w:rPr>
                <w:rFonts w:ascii="Arial;Arial" w:hAnsi="Arial;Arial" w:cs="Arial;Arial"/>
                <w:sz w:val="20"/>
              </w:rPr>
            </w:pPr>
            <w:r>
              <w:rPr>
                <w:rFonts w:cs="Arial;Arial" w:ascii="Arial;Arial" w:hAnsi="Arial;Arial"/>
                <w:sz w:val="20"/>
              </w:rPr>
              <w:t>[pRBCs]</w:t>
            </w:r>
          </w:p>
        </w:tc>
      </w:tr>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2, 7</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 mL serum</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17 (#s 28–44)</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red</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tc>
      </w:tr>
    </w:tbl>
    <w:p>
      <w:pPr>
        <w:pStyle w:val="Number111"/>
        <w:ind w:left="0" w:hanging="0"/>
        <w:rPr/>
      </w:pPr>
      <w:r>
        <w:rPr/>
      </w:r>
    </w:p>
    <w:p>
      <w:pPr>
        <w:pStyle w:val="Number111"/>
        <w:rPr/>
      </w:pPr>
      <w:r>
        <w:rPr/>
        <w:tab/>
        <w:t>6.52</w:t>
        <w:tab/>
      </w:r>
      <w:r>
        <w:rPr>
          <w:u w:val="single"/>
        </w:rPr>
        <w:t>EDTA plasma→cryovials 1–17</w:t>
      </w:r>
      <w:r>
        <w:rPr/>
        <w:t>. Pool plasma from tubes #1 and #6 in a 15 ml tube. Aliquot, by volumes specified in the table above, into white-topped cryovials 1–17. Freeze cryovials in an upright position at -70</w:t>
      </w:r>
      <w:r>
        <w:rPr>
          <w:vertAlign w:val="superscript"/>
        </w:rPr>
        <w:t xml:space="preserve">o </w:t>
      </w:r>
      <w:r>
        <w:rPr/>
        <w:t>C.</w:t>
      </w:r>
    </w:p>
    <w:p>
      <w:pPr>
        <w:pStyle w:val="Number111"/>
        <w:rPr/>
      </w:pPr>
      <w:r>
        <w:rPr/>
      </w:r>
    </w:p>
    <w:p>
      <w:pPr>
        <w:pStyle w:val="Number111"/>
        <w:rPr/>
      </w:pPr>
      <w:r>
        <w:rPr/>
        <w:tab/>
        <w:t>6.54</w:t>
        <w:tab/>
      </w:r>
      <w:r>
        <w:rPr>
          <w:u w:val="single"/>
        </w:rPr>
        <w:t>EDTA packed red blood cells (pRBCs)→vial 18</w:t>
      </w:r>
      <w:r>
        <w:rPr/>
        <w:t xml:space="preserve">. Transfer all (usually ~ 3–5 mL) of the EDTA pRBCs from tube #1 to vial 18. Also add the pRBCs from the SCAT-I and citrate tubes to vial 18. </w:t>
      </w:r>
      <w:r>
        <w:rPr>
          <w:i/>
          <w:iCs/>
        </w:rPr>
        <w:t>Refrigerate.</w:t>
      </w:r>
    </w:p>
    <w:p>
      <w:pPr>
        <w:pStyle w:val="Number111"/>
        <w:rPr/>
      </w:pPr>
      <w:r>
        <w:rPr/>
        <w:tab/>
      </w:r>
    </w:p>
    <w:p>
      <w:pPr>
        <w:pStyle w:val="Number111"/>
        <w:rPr/>
      </w:pPr>
      <w:r>
        <w:rPr/>
        <w:tab/>
        <w:t>6.55</w:t>
        <w:tab/>
      </w:r>
      <w:r>
        <w:rPr>
          <w:u w:val="single"/>
        </w:rPr>
        <w:t>EDTA packed red blood cells (pRBCs)→vial 19</w:t>
      </w:r>
      <w:r>
        <w:rPr/>
        <w:t xml:space="preserve">. Transfer all (usually ~ 3–5 mL) of the EDTA pRBCs from tube #6 to vial 19. Carefully add an equal volume of  ACD solution (90% dextran preservative). Invert the vial several times to mix. </w:t>
      </w:r>
      <w:r>
        <w:rPr>
          <w:i/>
          <w:iCs/>
        </w:rPr>
        <w:t>Refrigerate.</w:t>
      </w:r>
    </w:p>
    <w:p>
      <w:pPr>
        <w:pStyle w:val="Number111"/>
        <w:rPr/>
      </w:pPr>
      <w:r>
        <w:rPr/>
      </w:r>
    </w:p>
    <w:p>
      <w:pPr>
        <w:pStyle w:val="Number111"/>
        <w:rPr/>
      </w:pPr>
      <w:r>
        <w:rPr/>
        <w:tab/>
        <w:t>6.56</w:t>
        <w:tab/>
      </w:r>
      <w:r>
        <w:rPr>
          <w:u w:val="single"/>
        </w:rPr>
        <w:t>SCAT-I→cryovials 20–23</w:t>
      </w:r>
      <w:r>
        <w:rPr/>
        <w:t>. Aliquot 0.5 mL of the plasma from tube #4 into each of yellow-capped cryovials 20–23. The remaining pRBCs are added to cryovial 18 (see 6.54, above). Freeze cryovials in an upright position at -70</w:t>
      </w:r>
      <w:r>
        <w:rPr>
          <w:vertAlign w:val="superscript"/>
        </w:rPr>
        <w:t xml:space="preserve">o </w:t>
      </w:r>
      <w:r>
        <w:rPr/>
        <w:t>C.</w:t>
      </w:r>
    </w:p>
    <w:p>
      <w:pPr>
        <w:pStyle w:val="Number111"/>
        <w:ind w:left="0" w:hanging="0"/>
        <w:rPr/>
      </w:pPr>
      <w:r>
        <w:rPr/>
      </w:r>
    </w:p>
    <w:p>
      <w:pPr>
        <w:pStyle w:val="Number111"/>
        <w:rPr/>
      </w:pPr>
      <w:r>
        <w:rPr/>
        <w:tab/>
        <w:t>6.57</w:t>
        <w:tab/>
      </w:r>
      <w:r>
        <w:rPr>
          <w:u w:val="single"/>
        </w:rPr>
        <w:t>Citrate→cryovials 24–27</w:t>
      </w:r>
      <w:r>
        <w:rPr/>
        <w:t>. Aliquot 0.5 mL of the plasma from tube #5 into each of blue-capped cryovials 24–27. The remaining pRBCs are added to cryovial 18 (see 6.54, above). Freeze cryovials in an upright position at -70</w:t>
      </w:r>
      <w:r>
        <w:rPr>
          <w:vertAlign w:val="superscript"/>
        </w:rPr>
        <w:t xml:space="preserve">o </w:t>
      </w:r>
      <w:r>
        <w:rPr/>
        <w:t>C.</w:t>
      </w:r>
    </w:p>
    <w:p>
      <w:pPr>
        <w:pStyle w:val="Number111"/>
        <w:ind w:left="0" w:hanging="0"/>
        <w:rPr/>
      </w:pPr>
      <w:r>
        <w:rPr/>
      </w:r>
    </w:p>
    <w:p>
      <w:pPr>
        <w:pStyle w:val="Number111"/>
        <w:rPr/>
      </w:pPr>
      <w:r>
        <w:rPr/>
        <w:tab/>
        <w:t>6.58</w:t>
        <w:tab/>
      </w:r>
      <w:r>
        <w:rPr>
          <w:u w:val="single"/>
        </w:rPr>
        <w:t>Serum→cryovials 28–44</w:t>
      </w:r>
      <w:r>
        <w:rPr/>
        <w:t>. Pool and aliquot serum at room temperature. Carefully pipette 0.5 mL of pooled serum into each of red-capped cryovials 28–44. Freeze cryovials in an upright position at -70</w:t>
      </w:r>
      <w:r>
        <w:rPr>
          <w:vertAlign w:val="superscript"/>
        </w:rPr>
        <w:t xml:space="preserve">o </w:t>
      </w:r>
      <w:r>
        <w:rPr/>
        <w:t>C.</w:t>
      </w:r>
    </w:p>
    <w:p>
      <w:pPr>
        <w:pStyle w:val="Number111"/>
        <w:ind w:left="0" w:hanging="0"/>
        <w:rPr>
          <w:b/>
          <w:b/>
          <w:color w:val="FF0000"/>
          <w:sz w:val="22"/>
          <w:u w:val="single"/>
        </w:rPr>
      </w:pPr>
      <w:r>
        <w:rPr>
          <w:b/>
          <w:color w:val="FF0000"/>
          <w:sz w:val="22"/>
          <w:u w:val="single"/>
        </w:rPr>
      </w:r>
    </w:p>
    <w:p>
      <w:pPr>
        <w:pStyle w:val="Number11"/>
        <w:rPr/>
      </w:pPr>
      <w:r>
        <w:rPr>
          <w:color w:val="FF0000"/>
        </w:rPr>
        <w:tab/>
      </w:r>
      <w:r>
        <w:rPr/>
        <w:t>6.6</w:t>
        <w:tab/>
        <w:t>Processing cell preparation tubes (CPT)</w:t>
      </w:r>
    </w:p>
    <w:p>
      <w:pPr>
        <w:pStyle w:val="Number111"/>
        <w:rPr/>
      </w:pPr>
      <w:r>
        <w:rPr/>
      </w:r>
    </w:p>
    <w:p>
      <w:pPr>
        <w:pStyle w:val="Number111"/>
        <w:rPr/>
      </w:pPr>
      <w:r>
        <w:rPr/>
        <w:tab/>
        <w:t>6.61</w:t>
        <w:tab/>
        <w:t>Description of aliquots</w:t>
      </w:r>
    </w:p>
    <w:p>
      <w:pPr>
        <w:pStyle w:val="Number111"/>
        <w:ind w:left="0" w:hanging="0"/>
        <w:rPr/>
      </w:pPr>
      <w:r>
        <w:rPr/>
      </w:r>
    </w:p>
    <w:tbl>
      <w:tblPr>
        <w:tblW w:w="6408" w:type="dxa"/>
        <w:jc w:val="left"/>
        <w:tblInd w:w="1965" w:type="dxa"/>
        <w:tblLayout w:type="fixed"/>
        <w:tblCellMar>
          <w:top w:w="0" w:type="dxa"/>
          <w:left w:w="108" w:type="dxa"/>
          <w:bottom w:w="0" w:type="dxa"/>
          <w:right w:w="108" w:type="dxa"/>
        </w:tblCellMar>
      </w:tblPr>
      <w:tblGrid>
        <w:gridCol w:w="810"/>
        <w:gridCol w:w="1350"/>
        <w:gridCol w:w="1620"/>
        <w:gridCol w:w="1080"/>
        <w:gridCol w:w="1548"/>
      </w:tblGrid>
      <w:tr>
        <w:trPr/>
        <w:tc>
          <w:tcPr>
            <w:tcW w:w="810" w:type="dxa"/>
            <w:tcBorders>
              <w:top w:val="single" w:sz="12" w:space="0" w:color="000000"/>
              <w:left w:val="single" w:sz="12"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Tubes</w:t>
            </w:r>
          </w:p>
        </w:tc>
        <w:tc>
          <w:tcPr>
            <w:tcW w:w="135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Type</w:t>
            </w:r>
          </w:p>
        </w:tc>
        <w:tc>
          <w:tcPr>
            <w:tcW w:w="162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Number of Cryovials</w:t>
            </w:r>
          </w:p>
        </w:tc>
        <w:tc>
          <w:tcPr>
            <w:tcW w:w="108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Color Code</w:t>
            </w:r>
          </w:p>
        </w:tc>
        <w:tc>
          <w:tcPr>
            <w:tcW w:w="1548" w:type="dxa"/>
            <w:tcBorders>
              <w:top w:val="single" w:sz="12" w:space="0" w:color="000000"/>
              <w:left w:val="single" w:sz="6" w:space="0" w:color="000000"/>
              <w:bottom w:val="single" w:sz="8" w:space="0" w:color="000000"/>
              <w:right w:val="single" w:sz="12" w:space="0" w:color="000000"/>
            </w:tcBorders>
          </w:tcPr>
          <w:p>
            <w:pPr>
              <w:pStyle w:val="Normal"/>
              <w:jc w:val="center"/>
              <w:rPr>
                <w:rFonts w:ascii="Arial;Arial" w:hAnsi="Arial;Arial" w:cs="Arial;Arial"/>
                <w:b/>
                <w:b/>
                <w:bCs/>
                <w:sz w:val="20"/>
              </w:rPr>
            </w:pPr>
            <w:r>
              <w:rPr>
                <w:rFonts w:cs="Arial;Arial" w:ascii="Arial;Arial" w:hAnsi="Arial;Arial"/>
                <w:b/>
                <w:bCs/>
                <w:sz w:val="20"/>
              </w:rPr>
              <w:t>Volume per Cryovial</w:t>
            </w:r>
          </w:p>
        </w:tc>
      </w:tr>
      <w:tr>
        <w:trPr/>
        <w:tc>
          <w:tcPr>
            <w:tcW w:w="810" w:type="dxa"/>
            <w:tcBorders>
              <w:top w:val="single" w:sz="8" w:space="0" w:color="000000"/>
              <w:left w:val="single" w:sz="12" w:space="0" w:color="000000"/>
              <w:bottom w:val="single" w:sz="12" w:space="0" w:color="000000"/>
              <w:right w:val="single" w:sz="6" w:space="0" w:color="000000"/>
            </w:tcBorders>
          </w:tcPr>
          <w:p>
            <w:pPr>
              <w:pStyle w:val="Normal"/>
              <w:jc w:val="center"/>
              <w:rPr>
                <w:rFonts w:ascii="Arial;Arial" w:hAnsi="Arial;Arial" w:cs="Arial;Arial"/>
                <w:sz w:val="20"/>
                <w:vertAlign w:val="superscript"/>
              </w:rPr>
            </w:pPr>
            <w:r>
              <w:rPr>
                <w:rFonts w:cs="Arial;Arial" w:ascii="Arial;Arial" w:hAnsi="Arial;Arial"/>
                <w:sz w:val="20"/>
              </w:rPr>
              <w:t>3, 8</w:t>
            </w:r>
          </w:p>
        </w:tc>
        <w:tc>
          <w:tcPr>
            <w:tcW w:w="135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8 mL CPT</w:t>
            </w:r>
          </w:p>
        </w:tc>
        <w:tc>
          <w:tcPr>
            <w:tcW w:w="162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16 (#s 45–60)</w:t>
            </w:r>
          </w:p>
          <w:p>
            <w:pPr>
              <w:pStyle w:val="Normal"/>
              <w:jc w:val="center"/>
              <w:rPr>
                <w:rFonts w:ascii="Arial;Arial" w:hAnsi="Arial;Arial" w:cs="Arial;Arial"/>
                <w:sz w:val="20"/>
              </w:rPr>
            </w:pPr>
            <w:r>
              <w:rPr>
                <w:rFonts w:cs="Arial;Arial" w:ascii="Arial;Arial" w:hAnsi="Arial;Arial"/>
                <w:sz w:val="20"/>
              </w:rPr>
              <w:t>2 (#s 61 &amp; 62)</w:t>
            </w:r>
          </w:p>
        </w:tc>
        <w:tc>
          <w:tcPr>
            <w:tcW w:w="108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green</w:t>
            </w:r>
          </w:p>
          <w:p>
            <w:pPr>
              <w:pStyle w:val="Normal"/>
              <w:jc w:val="center"/>
              <w:rPr>
                <w:rFonts w:ascii="Arial;Arial" w:hAnsi="Arial;Arial" w:cs="Arial;Arial"/>
                <w:sz w:val="20"/>
              </w:rPr>
            </w:pPr>
            <w:r>
              <w:rPr>
                <w:rFonts w:cs="Arial;Arial" w:ascii="Arial;Arial" w:hAnsi="Arial;Arial"/>
                <w:sz w:val="20"/>
              </w:rPr>
              <w:t>clear</w:t>
            </w:r>
          </w:p>
        </w:tc>
        <w:tc>
          <w:tcPr>
            <w:tcW w:w="1548" w:type="dxa"/>
            <w:tcBorders>
              <w:top w:val="single" w:sz="8" w:space="0" w:color="000000"/>
              <w:left w:val="single" w:sz="6" w:space="0" w:color="000000"/>
              <w:bottom w:val="single" w:sz="12" w:space="0" w:color="000000"/>
              <w:right w:val="single" w:sz="12" w:space="0" w:color="000000"/>
            </w:tcBorders>
          </w:tcPr>
          <w:p>
            <w:pPr>
              <w:pStyle w:val="Normal"/>
              <w:jc w:val="center"/>
              <w:rPr/>
            </w:pPr>
            <w:r>
              <w:rPr>
                <w:rFonts w:cs="Arial;Arial" w:ascii="Arial;Arial" w:hAnsi="Arial;Arial"/>
                <w:sz w:val="20"/>
              </w:rPr>
              <w:t>0.5 mL PRP</w:t>
            </w:r>
            <w:r>
              <w:rPr>
                <w:rFonts w:cs="Arial;Arial" w:ascii="Arial;Arial" w:hAnsi="Arial;Arial"/>
                <w:sz w:val="20"/>
                <w:vertAlign w:val="superscript"/>
              </w:rPr>
              <w:t>1</w:t>
            </w:r>
          </w:p>
          <w:p>
            <w:pPr>
              <w:pStyle w:val="Normal"/>
              <w:jc w:val="center"/>
              <w:rPr>
                <w:rFonts w:ascii="Arial;Arial" w:hAnsi="Arial;Arial" w:cs="Arial;Arial"/>
                <w:sz w:val="20"/>
              </w:rPr>
            </w:pPr>
            <w:r>
              <w:rPr>
                <w:rFonts w:cs="Arial;Arial" w:ascii="Arial;Arial" w:hAnsi="Arial;Arial"/>
                <w:sz w:val="20"/>
              </w:rPr>
              <w:t>2.0 mL (cells)</w:t>
            </w:r>
          </w:p>
        </w:tc>
      </w:tr>
    </w:tbl>
    <w:p>
      <w:pPr>
        <w:pStyle w:val="Number111"/>
        <w:rPr>
          <w:color w:val="FF0000"/>
        </w:rPr>
      </w:pPr>
      <w:r>
        <w:rPr>
          <w:color w:val="FF0000"/>
        </w:rPr>
        <w:tab/>
        <w:tab/>
      </w:r>
      <w:r>
        <w:rPr>
          <w:rFonts w:cs="Arial;Arial" w:ascii="Arial;Arial" w:hAnsi="Arial;Arial"/>
          <w:vertAlign w:val="superscript"/>
        </w:rPr>
        <w:t xml:space="preserve">1 </w:t>
        <w:tab/>
      </w:r>
      <w:r>
        <w:rPr>
          <w:rFonts w:cs="Arial;Arial" w:ascii="Arial;Arial" w:hAnsi="Arial;Arial"/>
          <w:sz w:val="16"/>
        </w:rPr>
        <w:t>PRP = Platelet Rich Plasma from the citrated CP tube.</w:t>
      </w:r>
    </w:p>
    <w:p>
      <w:pPr>
        <w:pStyle w:val="Number111"/>
        <w:ind w:left="0" w:hanging="0"/>
        <w:rPr>
          <w:color w:val="FF0000"/>
        </w:rPr>
      </w:pPr>
      <w:r>
        <w:rPr>
          <w:color w:val="FF0000"/>
        </w:rPr>
      </w:r>
    </w:p>
    <w:p>
      <w:pPr>
        <w:pStyle w:val="Number111"/>
        <w:rPr/>
      </w:pPr>
      <w:r>
        <w:rPr/>
        <w:tab/>
        <w:t>6.62</w:t>
        <w:tab/>
      </w:r>
      <w:r>
        <w:rPr>
          <w:u w:val="single"/>
        </w:rPr>
        <w:t>Separation of cells (buffy coat)</w:t>
      </w:r>
      <w:r>
        <w:rPr/>
        <w:t xml:space="preserve">. Tubes #3 and #8 may be held at room temperature for up to three hours to allow batching of CP tubes from several participants. If samples from several participants are run at once, however, it is </w:t>
      </w:r>
      <w:r>
        <w:rPr>
          <w:i/>
          <w:iCs/>
        </w:rPr>
        <w:t>very important</w:t>
      </w:r>
      <w:r>
        <w:rPr/>
        <w:t xml:space="preserve"> to ensure that the samples do not get mixed up. </w:t>
      </w:r>
      <w:r>
        <w:rPr>
          <w:i/>
          <w:iCs/>
        </w:rPr>
        <w:t xml:space="preserve">In addition, for steps 1–4, below, it is </w:t>
      </w:r>
      <w:r>
        <w:rPr>
          <w:b/>
          <w:bCs/>
          <w:i/>
          <w:iCs/>
        </w:rPr>
        <w:t>absolutely imperative</w:t>
      </w:r>
      <w:r>
        <w:rPr>
          <w:i/>
          <w:iCs/>
        </w:rPr>
        <w:t xml:space="preserve"> that pipette tips and transfer pipettes be changed between samples from different participants.</w:t>
      </w:r>
      <w:r>
        <w:rPr/>
        <w:t xml:space="preserve"> Failure to do so could invalidate DNA results.</w:t>
      </w:r>
    </w:p>
    <w:p>
      <w:pPr>
        <w:pStyle w:val="Number111"/>
        <w:rPr>
          <w:sz w:val="22"/>
        </w:rPr>
      </w:pPr>
      <w:r>
        <w:rPr>
          <w:sz w:val="22"/>
        </w:rPr>
      </w:r>
    </w:p>
    <w:p>
      <w:pPr>
        <w:pStyle w:val="Number111"/>
        <w:rPr/>
      </w:pPr>
      <w:r>
        <w:rPr>
          <w:b/>
        </w:rPr>
        <w:tab/>
      </w:r>
      <w:r>
        <w:rPr>
          <w:bCs/>
        </w:rPr>
        <w:t>6.63</w:t>
        <w:tab/>
      </w:r>
      <w:r>
        <w:rPr>
          <w:bCs/>
          <w:u w:val="single"/>
        </w:rPr>
        <w:t>Step 1: Centrifugation of CP tubes</w:t>
      </w:r>
      <w:r>
        <w:rPr>
          <w:bCs/>
        </w:rPr>
        <w:t xml:space="preserve">. </w:t>
      </w:r>
      <w:r>
        <w:rPr/>
        <w:t xml:space="preserve">Please note that these tubes are taller (13 cm) than other sample collection tubes, so a different rotor may be necessary. </w:t>
      </w:r>
      <w:r>
        <w:rPr>
          <w:bCs/>
        </w:rPr>
        <w:t xml:space="preserve">Centrifuge </w:t>
      </w:r>
      <w:r>
        <w:rPr/>
        <w:t xml:space="preserve">CP tubes at </w:t>
      </w:r>
      <w:r>
        <w:rPr>
          <w:i/>
          <w:iCs/>
        </w:rPr>
        <w:t>no more than</w:t>
      </w:r>
      <w:r>
        <w:rPr/>
        <w:t xml:space="preserve"> 2,000 g for 15 minutes, for a total of 30,000 g-minutes, at </w:t>
      </w:r>
      <w:r>
        <w:rPr>
          <w:i/>
          <w:iCs/>
        </w:rPr>
        <w:t>room temperature.</w:t>
      </w:r>
      <w:r>
        <w:rPr/>
        <w:t xml:space="preserve"> This may require a refrigerated centrifuge set at room temperature (approximately 20</w:t>
      </w:r>
      <w:r>
        <w:rPr>
          <w:vertAlign w:val="superscript"/>
        </w:rPr>
        <w:t xml:space="preserve">o </w:t>
      </w:r>
      <w:r>
        <w:rPr/>
        <w:t xml:space="preserve">C). Do </w:t>
      </w:r>
      <w:r>
        <w:rPr>
          <w:i/>
          <w:iCs/>
        </w:rPr>
        <w:t>not</w:t>
      </w:r>
      <w:r>
        <w:rPr/>
        <w:t xml:space="preserve"> allow the centrifuge to overheat. When centrifugation is complete, several layers will be evident. The top layer is citrated plasma (PRP = platelet rich plasma). Under this is a whitish cell layer (buffy coat) used for cell collection. Next is a gradient gel layer that acts as a barrier to prevent contamination by the red blood cells (RBCs) that are at the bottom of the tube.</w:t>
      </w:r>
    </w:p>
    <w:p>
      <w:pPr>
        <w:pStyle w:val="Number111"/>
        <w:rPr>
          <w:sz w:val="22"/>
        </w:rPr>
      </w:pPr>
      <w:r>
        <w:rPr>
          <w:sz w:val="22"/>
        </w:rPr>
      </w:r>
    </w:p>
    <w:p>
      <w:pPr>
        <w:pStyle w:val="Number111"/>
        <w:rPr/>
      </w:pPr>
      <w:r>
        <w:rPr>
          <w:bCs/>
        </w:rPr>
        <w:tab/>
        <w:t>6.64</w:t>
        <w:tab/>
      </w:r>
      <w:r>
        <w:rPr>
          <w:bCs/>
          <w:u w:val="single"/>
        </w:rPr>
        <w:t>Step 2: Removing Plasma</w:t>
      </w:r>
      <w:r>
        <w:rPr>
          <w:bCs/>
        </w:rPr>
        <w:t>.</w:t>
      </w:r>
      <w:r>
        <w:rPr/>
        <w:t xml:space="preserve"> </w:t>
      </w:r>
      <w:r>
        <w:rPr>
          <w:i/>
          <w:iCs/>
        </w:rPr>
        <w:t xml:space="preserve">In this step, be very careful not to disturb the buffy coat layer. It is OK to leave some extra plasma in the tubes—it will be separated from the buffy coat layer during the next centrifuge step. </w:t>
      </w:r>
      <w:r>
        <w:rPr/>
        <w:t>Using a transfer pipette, pool the plasma layer from CP tubes #3 and #8 into a 15 mL tube and then aliquot 0.5 mL into each of green-capped cryovials 45–60. Freeze cryovials in an upright position at -70</w:t>
      </w:r>
      <w:r>
        <w:rPr>
          <w:vertAlign w:val="superscript"/>
        </w:rPr>
        <w:t xml:space="preserve">o </w:t>
      </w:r>
      <w:r>
        <w:rPr/>
        <w:t>C</w:t>
      </w:r>
    </w:p>
    <w:p>
      <w:pPr>
        <w:pStyle w:val="Number111"/>
        <w:rPr>
          <w:rFonts w:ascii="Alleycat ICG;Courier New" w:hAnsi="Alleycat ICG;Courier New" w:cs="Alleycat ICG;Courier New"/>
        </w:rPr>
      </w:pPr>
      <w:r>
        <w:rPr>
          <w:rFonts w:cs="Alleycat ICG;Courier New" w:ascii="Alleycat ICG;Courier New" w:hAnsi="Alleycat ICG;Courier New"/>
        </w:rPr>
      </w:r>
    </w:p>
    <w:p>
      <w:pPr>
        <w:pStyle w:val="Number111"/>
        <w:rPr/>
      </w:pPr>
      <w:r>
        <w:rPr>
          <w:b/>
        </w:rPr>
        <w:tab/>
      </w:r>
      <w:r>
        <w:rPr>
          <w:bCs/>
        </w:rPr>
        <w:t>6.65</w:t>
        <w:tab/>
      </w:r>
      <w:r>
        <w:rPr>
          <w:bCs/>
          <w:u w:val="single"/>
        </w:rPr>
        <w:t>Step 3: Pelleting the buffy coat</w:t>
      </w:r>
      <w:r>
        <w:rPr>
          <w:bCs/>
        </w:rPr>
        <w:t xml:space="preserve">. </w:t>
      </w:r>
      <w:r>
        <w:rPr/>
        <w:t>Using a transfer pipette, completely remove the buffy coat layer from CP tube #3 and transfer to a separate 15 mL conical centrifuge tube labeled with the participant’s ID number. Fill the centrifuge tube up to the 14 mL mark with phosphate buffered saline (PBS). Mix gently. Repeat this process with the buffy coat layer from tube #8. Centrifuge tubes for 4500 g-minutes at room temperature. (If you need help calculating the centrifuge speed and time appropriate for your centrifuge, contact Elaine Cornell at the CBAL.)</w:t>
      </w:r>
    </w:p>
    <w:p>
      <w:pPr>
        <w:pStyle w:val="Number111"/>
        <w:rPr>
          <w:color w:val="FF0000"/>
          <w:sz w:val="22"/>
        </w:rPr>
      </w:pPr>
      <w:r>
        <w:rPr>
          <w:color w:val="FF0000"/>
          <w:sz w:val="22"/>
        </w:rPr>
      </w:r>
    </w:p>
    <w:p>
      <w:pPr>
        <w:pStyle w:val="Number111"/>
        <w:rPr/>
      </w:pPr>
      <w:r>
        <w:rPr>
          <w:bCs/>
          <w:color w:val="FF0000"/>
        </w:rPr>
        <w:tab/>
      </w:r>
      <w:r>
        <w:rPr>
          <w:bCs/>
        </w:rPr>
        <w:t>6.66</w:t>
        <w:tab/>
      </w:r>
      <w:r>
        <w:rPr>
          <w:bCs/>
          <w:u w:val="single"/>
        </w:rPr>
        <w:t>Step 4:  Resuspension of buffy coat pellet</w:t>
      </w:r>
      <w:r>
        <w:rPr>
          <w:bCs/>
        </w:rPr>
        <w:t>.</w:t>
      </w:r>
      <w:r>
        <w:rPr/>
        <w:t xml:space="preserve"> After centrifugation is completed, there should be a small pellet in the bottom of the tube. Using a transfer pipette, carefully remove the PBS solution from the tube. Do not disturb the pellet (if necessary, leave a small amount of PBS solution in the tube). Add 0.5 mL of buffy coat freezing media A to the centrifuge tube containing the buffy coat pellet. Resuspend the pellet by tapping the tube and/or flushing the pipette tip repeatedly. This may take a little patience. </w:t>
      </w:r>
      <w:r>
        <w:rPr>
          <w:i/>
          <w:iCs/>
        </w:rPr>
        <w:t xml:space="preserve"> </w:t>
      </w:r>
      <w:r>
        <w:rPr/>
        <w:t>When the pellet has been resuspended, add 0.5 mL of buffy coat freezing media B and mix until the pellet is completely dissolved. Using a transfer pipette, transfer the resuspended buffy coat to clear-capped cryovial #61. Repeat this process with the second centrifuge tube, transferring the resuspended buffy coat to cryovial #62. Be sure the cryovial labels match the centrifuge tube labels. Place the cryovials in a rack that can be placed inside a Nalgene “Mr. Frosty” for slow freezing.</w:t>
      </w:r>
    </w:p>
    <w:p>
      <w:pPr>
        <w:pStyle w:val="Number111"/>
        <w:rPr>
          <w:rFonts w:ascii="Alleycat ICG;Courier New" w:hAnsi="Alleycat ICG;Courier New" w:cs="Alleycat ICG;Courier New"/>
        </w:rPr>
      </w:pPr>
      <w:r>
        <w:rPr>
          <w:rFonts w:cs="Alleycat ICG;Courier New" w:ascii="Alleycat ICG;Courier New" w:hAnsi="Alleycat ICG;Courier New"/>
        </w:rPr>
      </w:r>
    </w:p>
    <w:p>
      <w:pPr>
        <w:pStyle w:val="Number111"/>
        <w:rPr/>
      </w:pPr>
      <w:r>
        <w:rPr/>
        <w:tab/>
        <w:t>6.67</w:t>
        <w:tab/>
      </w:r>
      <w:r>
        <w:rPr>
          <w:u w:val="single"/>
        </w:rPr>
        <w:t>Freezing Steps</w:t>
      </w:r>
      <w:r>
        <w:rPr/>
        <w:t>: “Mr. Frosty” must be at room temperature when cryovials #61 and #62 are placed inside him. The rack holding the cryovials is placed inside “Mr. Frosty,” and then the entire container is placed in a -70</w:t>
      </w:r>
      <w:r>
        <w:rPr>
          <w:rFonts w:eastAsia="Symbol" w:cs="Symbol" w:ascii="Symbol" w:hAnsi="Symbol"/>
        </w:rPr>
        <w:t></w:t>
      </w:r>
      <w:r>
        <w:rPr/>
        <w:t>C or colder freezer for a minimum of four hours (preferably overnight). Once “Mr. Frosty” goes into the freezer, additional cell cryovials may not be added. When “Mr. Frosty” is removed from the freezer in the morning, remove the now-frozen cell cryovials and place them in their appropriate freezer box at -70</w:t>
      </w:r>
      <w:r>
        <w:rPr>
          <w:rFonts w:eastAsia="Symbol" w:cs="Symbol" w:ascii="Symbol" w:hAnsi="Symbol"/>
        </w:rPr>
        <w:t></w:t>
      </w:r>
      <w:r>
        <w:rPr/>
        <w:t>C. Allow “Mr. Frosty” to warm up to room temperature before using him again.</w:t>
      </w:r>
    </w:p>
    <w:p>
      <w:pPr>
        <w:pStyle w:val="Number111"/>
        <w:rPr/>
      </w:pPr>
      <w:r>
        <w:rPr/>
      </w:r>
    </w:p>
    <w:p>
      <w:pPr>
        <w:pStyle w:val="Number111"/>
        <w:rPr/>
      </w:pPr>
      <w:r>
        <w:rPr/>
        <w:tab/>
        <w:tab/>
        <w:t>Because it may not always to be possible to have all the day’s cell samples ready to freeze at the same time, the blood laboratory will provide each site with three “Mr. Frosty” containers. Use one container per participant, if samples are processed at different times during the day.</w:t>
      </w:r>
    </w:p>
    <w:p>
      <w:pPr>
        <w:pStyle w:val="Normal"/>
        <w:rPr>
          <w:sz w:val="22"/>
        </w:rPr>
      </w:pPr>
      <w:r>
        <w:rPr>
          <w:sz w:val="22"/>
        </w:rPr>
      </w:r>
    </w:p>
    <w:p>
      <w:pPr>
        <w:pStyle w:val="Number11"/>
        <w:rPr/>
      </w:pPr>
      <w:r>
        <w:rPr/>
        <w:tab/>
        <w:t>6.7</w:t>
        <w:tab/>
        <w:t>Processing blind duplicate samples</w:t>
      </w:r>
    </w:p>
    <w:p>
      <w:pPr>
        <w:pStyle w:val="Number11"/>
        <w:rPr/>
      </w:pPr>
      <w:r>
        <w:rPr/>
      </w:r>
    </w:p>
    <w:p>
      <w:pPr>
        <w:pStyle w:val="Number111"/>
        <w:rPr/>
      </w:pPr>
      <w:r>
        <w:rPr/>
        <w:tab/>
        <w:t>6.71</w:t>
        <w:tab/>
        <w:t xml:space="preserve">A blind duplicate sample for quality control will be collected from 20% of participants (5% for each of four tube types). </w:t>
      </w:r>
      <w:r>
        <w:rPr>
          <w:i/>
          <w:iCs/>
        </w:rPr>
        <w:t xml:space="preserve">One </w:t>
      </w:r>
      <w:r>
        <w:rPr/>
        <w:t>of the following tube types will be drawn from the selected participant. Tube type will be based on a check digit in the participant’s ID number.</w:t>
      </w:r>
    </w:p>
    <w:p>
      <w:pPr>
        <w:pStyle w:val="Number111"/>
        <w:rPr/>
      </w:pPr>
      <w:r>
        <w:rPr/>
      </w:r>
    </w:p>
    <w:p>
      <w:pPr>
        <w:pStyle w:val="Number111bodybullet"/>
        <w:rPr/>
      </w:pPr>
      <w:r>
        <w:rPr/>
        <w:tab/>
      </w:r>
      <w:r>
        <w:rPr>
          <w:rFonts w:eastAsia="Symbol" w:cs="Symbol" w:ascii="Symbol" w:hAnsi="Symbol"/>
        </w:rPr>
        <w:t></w:t>
      </w:r>
      <w:r>
        <w:rPr/>
        <w:tab/>
        <w:t xml:space="preserve">5 mL EDTA (B-D# 366452) </w:t>
      </w:r>
      <w:r>
        <w:rPr>
          <w:i/>
          <w:iCs/>
        </w:rPr>
        <w:t>or</w:t>
      </w:r>
    </w:p>
    <w:p>
      <w:pPr>
        <w:pStyle w:val="Number111bodybullet"/>
        <w:rPr/>
      </w:pPr>
      <w:r>
        <w:rPr/>
        <w:tab/>
      </w:r>
      <w:r>
        <w:rPr>
          <w:rFonts w:eastAsia="Symbol" w:cs="Symbol" w:ascii="Symbol" w:hAnsi="Symbol"/>
        </w:rPr>
        <w:t></w:t>
      </w:r>
      <w:r>
        <w:rPr/>
        <w:tab/>
        <w:t xml:space="preserve">5 mL serum (B-D# 366534) </w:t>
      </w:r>
      <w:r>
        <w:rPr>
          <w:i/>
          <w:iCs/>
        </w:rPr>
        <w:t>or</w:t>
      </w:r>
    </w:p>
    <w:p>
      <w:pPr>
        <w:pStyle w:val="Number111bodybullet"/>
        <w:rPr/>
      </w:pPr>
      <w:r>
        <w:rPr/>
        <w:tab/>
      </w:r>
      <w:r>
        <w:rPr>
          <w:rFonts w:eastAsia="Symbol" w:cs="Symbol" w:ascii="Symbol" w:hAnsi="Symbol"/>
        </w:rPr>
        <w:t></w:t>
      </w:r>
      <w:r>
        <w:rPr/>
        <w:tab/>
        <w:t xml:space="preserve">4.5 mL citrate (B-D# 366415) </w:t>
      </w:r>
      <w:r>
        <w:rPr>
          <w:i/>
          <w:iCs/>
        </w:rPr>
        <w:t>or</w:t>
      </w:r>
    </w:p>
    <w:p>
      <w:pPr>
        <w:pStyle w:val="Number111bodybullet"/>
        <w:rPr/>
      </w:pPr>
      <w:r>
        <w:rPr/>
        <w:tab/>
      </w:r>
      <w:r>
        <w:rPr>
          <w:rFonts w:eastAsia="Symbol" w:cs="Symbol" w:ascii="Symbol" w:hAnsi="Symbol"/>
        </w:rPr>
        <w:t></w:t>
      </w:r>
      <w:r>
        <w:rPr/>
        <w:tab/>
        <w:t>5 mL SCAT-I (provided by CBAL)</w:t>
      </w:r>
    </w:p>
    <w:p>
      <w:pPr>
        <w:pStyle w:val="Number111bodybullet"/>
        <w:rPr/>
      </w:pPr>
      <w:r>
        <w:rPr/>
      </w:r>
    </w:p>
    <w:p>
      <w:pPr>
        <w:pStyle w:val="Number111"/>
        <w:rPr/>
      </w:pPr>
      <w:r>
        <w:rPr/>
        <w:tab/>
        <w:t>6.72</w:t>
        <w:tab/>
        <w:t>Collect the blind duplicate tube (#9) after the regular tubes are filled.</w:t>
      </w:r>
    </w:p>
    <w:p>
      <w:pPr>
        <w:pStyle w:val="Number111"/>
        <w:rPr/>
      </w:pPr>
      <w:r>
        <w:rPr/>
      </w:r>
    </w:p>
    <w:p>
      <w:pPr>
        <w:pStyle w:val="Number111"/>
        <w:rPr/>
      </w:pPr>
      <w:r>
        <w:rPr/>
        <w:tab/>
        <w:t>6.73</w:t>
        <w:tab/>
        <w:t>Centrifuge EDTA, serum, citrate, and SCAT-I tubes according to the instructions in 6.3, above.</w:t>
      </w:r>
    </w:p>
    <w:p>
      <w:pPr>
        <w:pStyle w:val="Number111"/>
        <w:rPr/>
      </w:pPr>
      <w:r>
        <w:rPr/>
      </w:r>
    </w:p>
    <w:p>
      <w:pPr>
        <w:pStyle w:val="Number111"/>
        <w:rPr/>
      </w:pPr>
      <w:r>
        <w:rPr/>
        <w:tab/>
        <w:t>6.74</w:t>
        <w:tab/>
        <w:t>Aliquot blind duplicate samples based on the table below:</w:t>
      </w:r>
    </w:p>
    <w:p>
      <w:pPr>
        <w:pStyle w:val="Number111"/>
        <w:rPr/>
      </w:pPr>
      <w:r>
        <w:rPr/>
        <w:tab/>
        <w:tab/>
      </w:r>
    </w:p>
    <w:tbl>
      <w:tblPr>
        <w:tblW w:w="5508" w:type="dxa"/>
        <w:jc w:val="left"/>
        <w:tblInd w:w="1857" w:type="dxa"/>
        <w:tblLayout w:type="fixed"/>
        <w:tblCellMar>
          <w:top w:w="0" w:type="dxa"/>
          <w:left w:w="108" w:type="dxa"/>
          <w:bottom w:w="0" w:type="dxa"/>
          <w:right w:w="108" w:type="dxa"/>
        </w:tblCellMar>
      </w:tblPr>
      <w:tblGrid>
        <w:gridCol w:w="1278"/>
        <w:gridCol w:w="1710"/>
        <w:gridCol w:w="1440"/>
        <w:gridCol w:w="1080"/>
      </w:tblGrid>
      <w:tr>
        <w:trPr/>
        <w:tc>
          <w:tcPr>
            <w:tcW w:w="1278" w:type="dxa"/>
            <w:tcBorders>
              <w:top w:val="single" w:sz="12" w:space="0" w:color="000000"/>
              <w:left w:val="single" w:sz="12"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Tube type</w:t>
            </w:r>
          </w:p>
        </w:tc>
        <w:tc>
          <w:tcPr>
            <w:tcW w:w="1710" w:type="dxa"/>
            <w:tcBorders>
              <w:top w:val="single" w:sz="12"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Cryovial color</w:t>
            </w:r>
          </w:p>
        </w:tc>
        <w:tc>
          <w:tcPr>
            <w:tcW w:w="1440" w:type="dxa"/>
            <w:tcBorders>
              <w:top w:val="single" w:sz="12"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 of aliquots</w:t>
            </w:r>
          </w:p>
        </w:tc>
        <w:tc>
          <w:tcPr>
            <w:tcW w:w="1080" w:type="dxa"/>
            <w:tcBorders>
              <w:top w:val="single" w:sz="12" w:space="0" w:color="000000"/>
              <w:left w:val="single" w:sz="6" w:space="0" w:color="000000"/>
              <w:bottom w:val="single" w:sz="12" w:space="0" w:color="000000"/>
              <w:right w:val="single" w:sz="12"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Volume</w:t>
            </w:r>
          </w:p>
        </w:tc>
      </w:tr>
      <w:tr>
        <w:trPr/>
        <w:tc>
          <w:tcPr>
            <w:tcW w:w="1278" w:type="dxa"/>
            <w:tcBorders>
              <w:top w:val="single" w:sz="12"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EDTA</w:t>
            </w:r>
          </w:p>
        </w:tc>
        <w:tc>
          <w:tcPr>
            <w:tcW w:w="1710" w:type="dxa"/>
            <w:tcBorders>
              <w:top w:val="single" w:sz="12"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White</w:t>
            </w:r>
          </w:p>
        </w:tc>
        <w:tc>
          <w:tcPr>
            <w:tcW w:w="1440" w:type="dxa"/>
            <w:tcBorders>
              <w:top w:val="single" w:sz="12"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2</w:t>
            </w:r>
          </w:p>
        </w:tc>
        <w:tc>
          <w:tcPr>
            <w:tcW w:w="1080" w:type="dxa"/>
            <w:tcBorders>
              <w:top w:val="single" w:sz="12"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1.0 mL</w:t>
            </w:r>
          </w:p>
        </w:tc>
      </w:tr>
      <w:tr>
        <w:trPr/>
        <w:tc>
          <w:tcPr>
            <w:tcW w:w="1278" w:type="dxa"/>
            <w:tcBorders>
              <w:top w:val="single" w:sz="6"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Serum</w:t>
            </w:r>
          </w:p>
        </w:tc>
        <w:tc>
          <w:tcPr>
            <w:tcW w:w="171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Red</w:t>
            </w:r>
          </w:p>
        </w:tc>
        <w:tc>
          <w:tcPr>
            <w:tcW w:w="144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r>
        <w:trPr/>
        <w:tc>
          <w:tcPr>
            <w:tcW w:w="1278" w:type="dxa"/>
            <w:tcBorders>
              <w:top w:val="single" w:sz="6"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Citrate</w:t>
            </w:r>
          </w:p>
        </w:tc>
        <w:tc>
          <w:tcPr>
            <w:tcW w:w="171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Blue</w:t>
            </w:r>
          </w:p>
        </w:tc>
        <w:tc>
          <w:tcPr>
            <w:tcW w:w="144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r>
        <w:trPr/>
        <w:tc>
          <w:tcPr>
            <w:tcW w:w="1278" w:type="dxa"/>
            <w:tcBorders>
              <w:top w:val="single" w:sz="6" w:space="0" w:color="000000"/>
              <w:left w:val="single" w:sz="12"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SCAT-I</w:t>
            </w:r>
          </w:p>
        </w:tc>
        <w:tc>
          <w:tcPr>
            <w:tcW w:w="1710" w:type="dxa"/>
            <w:tcBorders>
              <w:top w:val="single" w:sz="6"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Yellow</w:t>
            </w:r>
          </w:p>
        </w:tc>
        <w:tc>
          <w:tcPr>
            <w:tcW w:w="1440" w:type="dxa"/>
            <w:tcBorders>
              <w:top w:val="single" w:sz="6"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12"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bl>
    <w:p>
      <w:pPr>
        <w:pStyle w:val="Number11"/>
        <w:rPr>
          <w:szCs w:val="20"/>
        </w:rPr>
      </w:pPr>
      <w:r>
        <w:rPr>
          <w:szCs w:val="20"/>
        </w:rPr>
        <w:tab/>
      </w:r>
    </w:p>
    <w:p>
      <w:pPr>
        <w:pStyle w:val="Number111"/>
        <w:rPr/>
      </w:pPr>
      <w:r>
        <w:rPr/>
        <w:tab/>
        <w:t>6.75</w:t>
        <w:tab/>
        <w:t>Label cryovials with a quality control (QC) number. This QC number will be matched to the participant ID number.</w:t>
      </w:r>
    </w:p>
    <w:p>
      <w:pPr>
        <w:pStyle w:val="Number111"/>
        <w:rPr/>
      </w:pPr>
      <w:r>
        <w:rPr/>
      </w:r>
    </w:p>
    <w:p>
      <w:pPr>
        <w:pStyle w:val="Number111"/>
        <w:rPr/>
      </w:pPr>
      <w:r>
        <w:rPr/>
        <w:tab/>
        <w:t>6.76</w:t>
        <w:tab/>
        <w:t>After aliquoting, immediately freeze cryovials at -70</w:t>
      </w:r>
      <w:r>
        <w:rPr>
          <w:rFonts w:eastAsia="Symbol" w:cs="Symbol" w:ascii="Symbol" w:hAnsi="Symbol"/>
        </w:rPr>
        <w:t></w:t>
      </w:r>
      <w:r>
        <w:rPr/>
        <w:t>C in an upright position.</w:t>
      </w:r>
    </w:p>
    <w:p>
      <w:pPr>
        <w:pStyle w:val="Number111"/>
        <w:rPr/>
      </w:pPr>
      <w:r>
        <w:rPr/>
      </w:r>
    </w:p>
    <w:p>
      <w:pPr>
        <w:pStyle w:val="Number111"/>
        <w:rPr/>
      </w:pPr>
      <w:r>
        <w:rPr/>
        <w:tab/>
        <w:t>6.77</w:t>
        <w:tab/>
        <w:t>Place blind duplicate samples (from multiple participants) in a freezer box with and 10 x 10  grid. Ship this box, according to instructions listed in section 7.3, below, to the University of Vermont (address in section 7.4, below), one week after shipping the original samples (1–62). (Delayed shipping prevents the laboratory from matching the blind duplicate samples with the participant.) When shipping, include the completed Blind Duplicate Shipping Log in lieu of the Processing Form.</w:t>
      </w:r>
    </w:p>
    <w:p>
      <w:pPr>
        <w:pStyle w:val="Number111"/>
        <w:rPr/>
      </w:pPr>
      <w:r>
        <w:rPr/>
      </w:r>
    </w:p>
    <w:p>
      <w:pPr>
        <w:pStyle w:val="Number11"/>
        <w:rPr/>
      </w:pPr>
      <w:r>
        <w:rPr/>
        <w:tab/>
        <w:t>6.8</w:t>
        <w:tab/>
        <w:t>Special Circumstances</w:t>
      </w:r>
    </w:p>
    <w:p>
      <w:pPr>
        <w:pStyle w:val="Number111"/>
        <w:rPr/>
      </w:pPr>
      <w:r>
        <w:rPr/>
      </w:r>
    </w:p>
    <w:p>
      <w:pPr>
        <w:pStyle w:val="Number111"/>
        <w:rPr/>
      </w:pPr>
      <w:r>
        <w:rPr/>
        <w:tab/>
        <w:t>6.81</w:t>
        <w:tab/>
        <w:t xml:space="preserve">If centrifugation cannot be performed within 30 minutes of collection, process specimens </w:t>
      </w:r>
      <w:r>
        <w:rPr>
          <w:i/>
          <w:iCs/>
        </w:rPr>
        <w:t>as soon as possible</w:t>
      </w:r>
      <w:r>
        <w:rPr/>
        <w:t xml:space="preserve"> after that time. </w:t>
      </w:r>
      <w:r>
        <w:rPr>
          <w:bCs/>
        </w:rPr>
        <w:t xml:space="preserve">Record the time of collection and centrifugation </w:t>
      </w:r>
      <w:r>
        <w:rPr/>
        <w:t>on the Processing Form. Maintain the EDTA, citrate, and SCAT-I tubes on wet ice until centrifugation.</w:t>
      </w:r>
    </w:p>
    <w:p>
      <w:pPr>
        <w:pStyle w:val="Number111"/>
        <w:rPr/>
      </w:pPr>
      <w:r>
        <w:rPr/>
      </w:r>
    </w:p>
    <w:p>
      <w:pPr>
        <w:pStyle w:val="Number111"/>
        <w:rPr/>
      </w:pPr>
      <w:r>
        <w:rPr/>
        <w:tab/>
        <w:t>6.82</w:t>
        <w:tab/>
        <w:t>If serum and plasma cryovials cannot be frozen at -70</w:t>
      </w:r>
      <w:r>
        <w:rPr>
          <w:rFonts w:eastAsia="Symbol" w:cs="Symbol" w:ascii="Symbol" w:hAnsi="Symbol"/>
        </w:rPr>
        <w:t></w:t>
      </w:r>
      <w:r>
        <w:rPr/>
        <w:t xml:space="preserve"> C within 10 minutes of aliquoting, do it </w:t>
      </w:r>
      <w:r>
        <w:rPr>
          <w:i/>
          <w:iCs/>
        </w:rPr>
        <w:t xml:space="preserve">as soon as possible </w:t>
      </w:r>
      <w:r>
        <w:rPr/>
        <w:t>after that. They may be</w:t>
      </w:r>
      <w:r>
        <w:rPr>
          <w:i/>
          <w:iCs/>
        </w:rPr>
        <w:t xml:space="preserve"> temporarily</w:t>
      </w:r>
      <w:r>
        <w:rPr/>
        <w:t xml:space="preserve"> placed on dry ice (preferred) or</w:t>
      </w:r>
      <w:r>
        <w:rPr>
          <w:i/>
          <w:iCs/>
        </w:rPr>
        <w:t xml:space="preserve"> </w:t>
      </w:r>
      <w:r>
        <w:rPr/>
        <w:t>stored at -20</w:t>
      </w:r>
      <w:r>
        <w:rPr>
          <w:rFonts w:eastAsia="Symbol" w:cs="Symbol" w:ascii="Symbol" w:hAnsi="Symbol"/>
        </w:rPr>
        <w:t></w:t>
      </w:r>
      <w:r>
        <w:rPr/>
        <w:t xml:space="preserve"> C until transfer to -70</w:t>
      </w:r>
      <w:r>
        <w:rPr>
          <w:rFonts w:eastAsia="Symbol" w:cs="Symbol" w:ascii="Symbol" w:hAnsi="Symbol"/>
        </w:rPr>
        <w:t></w:t>
      </w:r>
      <w:r>
        <w:rPr/>
        <w:t xml:space="preserve"> C or below is possible.</w:t>
      </w:r>
    </w:p>
    <w:p>
      <w:pPr>
        <w:pStyle w:val="Number111"/>
        <w:rPr/>
      </w:pPr>
      <w:r>
        <w:rPr/>
      </w:r>
    </w:p>
    <w:p>
      <w:pPr>
        <w:pStyle w:val="Number111"/>
        <w:rPr/>
      </w:pPr>
      <w:r>
        <w:rPr/>
        <w:tab/>
        <w:t>6.83</w:t>
        <w:tab/>
        <w:t>If blood collection is incomplete, prioritize the processing of cryovials using the following table:</w:t>
      </w:r>
    </w:p>
    <w:p>
      <w:pPr>
        <w:pStyle w:val="Number111"/>
        <w:rPr/>
      </w:pPr>
      <w:r>
        <w:rPr/>
      </w:r>
    </w:p>
    <w:tbl>
      <w:tblPr>
        <w:tblW w:w="6056" w:type="dxa"/>
        <w:jc w:val="left"/>
        <w:tblInd w:w="1965" w:type="dxa"/>
        <w:tblLayout w:type="fixed"/>
        <w:tblCellMar>
          <w:top w:w="0" w:type="dxa"/>
          <w:left w:w="108" w:type="dxa"/>
          <w:bottom w:w="0" w:type="dxa"/>
          <w:right w:w="108" w:type="dxa"/>
        </w:tblCellMar>
      </w:tblPr>
      <w:tblGrid>
        <w:gridCol w:w="2048"/>
        <w:gridCol w:w="4008"/>
      </w:tblGrid>
      <w:tr>
        <w:trPr/>
        <w:tc>
          <w:tcPr>
            <w:tcW w:w="2048" w:type="dxa"/>
            <w:tcBorders>
              <w:top w:val="single" w:sz="12" w:space="0" w:color="000000"/>
              <w:left w:val="single" w:sz="12" w:space="0" w:color="000000"/>
              <w:bottom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Tube</w:t>
            </w:r>
          </w:p>
        </w:tc>
        <w:tc>
          <w:tcPr>
            <w:tcW w:w="4008" w:type="dxa"/>
            <w:tcBorders>
              <w:top w:val="single" w:sz="12" w:space="0" w:color="000000"/>
              <w:left w:val="single" w:sz="8" w:space="0" w:color="000000"/>
              <w:bottom w:val="single" w:sz="12" w:space="0" w:color="000000"/>
              <w:right w:val="single" w:sz="12" w:space="0" w:color="000000"/>
            </w:tcBorders>
          </w:tcPr>
          <w:p>
            <w:pPr>
              <w:pStyle w:val="Normal"/>
              <w:rPr>
                <w:rFonts w:ascii="Arial;Arial" w:hAnsi="Arial;Arial" w:cs="Arial;Arial"/>
                <w:sz w:val="20"/>
              </w:rPr>
            </w:pPr>
            <w:r>
              <w:rPr>
                <w:rFonts w:cs="Arial;Arial" w:ascii="Arial;Arial" w:hAnsi="Arial;Arial"/>
                <w:sz w:val="20"/>
              </w:rPr>
              <w:t>Cryovials to Be Filled</w:t>
            </w:r>
          </w:p>
        </w:tc>
      </w:tr>
      <w:tr>
        <w:trPr/>
        <w:tc>
          <w:tcPr>
            <w:tcW w:w="2048" w:type="dxa"/>
            <w:tcBorders>
              <w:top w:val="single" w:sz="12" w:space="0" w:color="000000"/>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EDTA (10 mL)</w:t>
            </w:r>
          </w:p>
        </w:tc>
        <w:tc>
          <w:tcPr>
            <w:tcW w:w="4008" w:type="dxa"/>
            <w:tcBorders>
              <w:top w:val="single" w:sz="12" w:space="0" w:color="000000"/>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1–8 and 18 (packed cells for DNA)</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Serum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 xml:space="preserve">28–35 </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CP tube (8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45–52 and 61</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SCAT-I (5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20–23 and cells into 18</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Citrate (4.5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24–27 and cells into 18</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EDTA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9–17 and191 (packed cells with dextran)</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Serum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36–44</w:t>
            </w:r>
          </w:p>
        </w:tc>
      </w:tr>
      <w:tr>
        <w:trPr/>
        <w:tc>
          <w:tcPr>
            <w:tcW w:w="2048" w:type="dxa"/>
            <w:tcBorders>
              <w:left w:val="single" w:sz="12" w:space="0" w:color="000000"/>
              <w:bottom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CP tube (8 mL)</w:t>
            </w:r>
          </w:p>
        </w:tc>
        <w:tc>
          <w:tcPr>
            <w:tcW w:w="4008" w:type="dxa"/>
            <w:tcBorders>
              <w:left w:val="single" w:sz="8" w:space="0" w:color="000000"/>
              <w:bottom w:val="single" w:sz="12" w:space="0" w:color="000000"/>
              <w:right w:val="single" w:sz="12" w:space="0" w:color="000000"/>
            </w:tcBorders>
          </w:tcPr>
          <w:p>
            <w:pPr>
              <w:pStyle w:val="Normal"/>
              <w:rPr>
                <w:rFonts w:ascii="Arial;Arial" w:hAnsi="Arial;Arial" w:cs="Arial;Arial"/>
                <w:sz w:val="20"/>
              </w:rPr>
            </w:pPr>
            <w:r>
              <w:rPr>
                <w:rFonts w:cs="Arial;Arial" w:ascii="Arial;Arial" w:hAnsi="Arial;Arial"/>
                <w:sz w:val="20"/>
              </w:rPr>
              <w:t>53–05 and 62</w:t>
            </w:r>
          </w:p>
        </w:tc>
      </w:tr>
    </w:tbl>
    <w:p>
      <w:pPr>
        <w:pStyle w:val="Normal"/>
        <w:tabs>
          <w:tab w:val="clear" w:pos="720"/>
          <w:tab w:val="left" w:pos="576" w:leader="none"/>
          <w:tab w:val="left" w:pos="2040" w:leader="none"/>
          <w:tab w:val="left" w:pos="3480" w:leader="none"/>
          <w:tab w:val="left" w:pos="4920" w:leader="none"/>
          <w:tab w:val="left" w:pos="6360" w:leader="none"/>
          <w:tab w:val="left" w:pos="7800" w:leader="none"/>
        </w:tabs>
        <w:rPr>
          <w:sz w:val="22"/>
        </w:rPr>
      </w:pPr>
      <w:r>
        <w:rPr>
          <w:sz w:val="22"/>
        </w:rPr>
      </w:r>
    </w:p>
    <w:p>
      <w:pPr>
        <w:pStyle w:val="Number11"/>
        <w:rPr/>
      </w:pPr>
      <w:r>
        <w:rPr/>
        <w:tab/>
        <w:t>6.9</w:t>
        <w:tab/>
        <w:t>Processing Completion</w:t>
      </w:r>
    </w:p>
    <w:p>
      <w:pPr>
        <w:pStyle w:val="Number111"/>
        <w:rPr/>
      </w:pPr>
      <w:r>
        <w:rPr/>
        <w:tab/>
      </w:r>
    </w:p>
    <w:p>
      <w:pPr>
        <w:pStyle w:val="Number111"/>
        <w:rPr/>
      </w:pPr>
      <w:r>
        <w:rPr/>
        <w:tab/>
        <w:t>6.91</w:t>
        <w:tab/>
        <w:t>The Phlebotomy Form and MESA Processing Forms are kept in a temporary file. The Phlebotomy Form will be scanned and the information electronically sent to the Coordinating Center and the CBAL.  Enclose copies of  the Processing Forms with each shipment of samples to the CBAL. Upon receipt at CBAL, forms and samples are examined for monitoring and quality control purposes.</w:t>
      </w:r>
    </w:p>
    <w:p>
      <w:pPr>
        <w:pStyle w:val="Number111"/>
        <w:rPr/>
      </w:pPr>
      <w:r>
        <w:rPr/>
      </w:r>
    </w:p>
    <w:p>
      <w:pPr>
        <w:pStyle w:val="Number111"/>
        <w:rPr/>
      </w:pPr>
      <w:r>
        <w:rPr>
          <w:iCs/>
        </w:rPr>
        <w:tab/>
        <w:t>6.92</w:t>
        <w:tab/>
        <w:t xml:space="preserve">Completed, </w:t>
      </w:r>
      <w:r>
        <w:rPr>
          <w:i/>
        </w:rPr>
        <w:t>frozen</w:t>
      </w:r>
      <w:r>
        <w:rPr>
          <w:iCs/>
        </w:rPr>
        <w:t xml:space="preserve"> cryovials from each participant are packed into one freezer box. A participant label is attached to the front cover of the freezer box. </w:t>
      </w:r>
      <w:r>
        <w:rPr/>
        <w:t>Frozen 4 mL and 10 mL urine tubes #s 63–65 are placed flat in remaining space in freezer box just prior to packing for shipment to Vermont.</w:t>
      </w:r>
      <w:r>
        <w:rPr>
          <w:iCs/>
        </w:rPr>
        <w:t xml:space="preserve"> </w:t>
      </w:r>
      <w:r>
        <w:rPr/>
        <w:t>Refrigerated cryovials #18 and #19 will be shipped separately to the University of Minnesota.</w:t>
      </w:r>
    </w:p>
    <w:p>
      <w:pPr>
        <w:pStyle w:val="Number111"/>
        <w:rPr/>
      </w:pPr>
      <w:r>
        <w:rPr/>
      </w:r>
    </w:p>
    <w:p>
      <w:pPr>
        <w:pStyle w:val="Number111"/>
        <w:rPr/>
      </w:pPr>
      <w:r>
        <w:rPr/>
        <w:tab/>
        <w:t>6.93</w:t>
        <w:tab/>
        <w:t xml:space="preserve">Freezer Box Diagram for shipping </w:t>
      </w:r>
      <w:r>
        <w:rPr>
          <w:i/>
          <w:iCs/>
        </w:rPr>
        <w:t xml:space="preserve">frozen </w:t>
      </w:r>
      <w:r>
        <w:rPr/>
        <w:t>samples to CBAL.</w:t>
      </w:r>
    </w:p>
    <w:p>
      <w:pPr>
        <w:pStyle w:val="Normal"/>
        <w:rPr/>
      </w:pPr>
      <w:r>
        <w:rPr/>
      </w:r>
    </w:p>
    <w:tbl>
      <w:tblPr>
        <w:tblW w:w="6516" w:type="dxa"/>
        <w:jc w:val="left"/>
        <w:tblInd w:w="1507" w:type="dxa"/>
        <w:tblLayout w:type="fixed"/>
        <w:tblCellMar>
          <w:top w:w="0" w:type="dxa"/>
          <w:left w:w="72" w:type="dxa"/>
          <w:bottom w:w="0" w:type="dxa"/>
          <w:right w:w="72" w:type="dxa"/>
        </w:tblCellMar>
      </w:tblPr>
      <w:tblGrid>
        <w:gridCol w:w="720"/>
        <w:gridCol w:w="612"/>
        <w:gridCol w:w="648"/>
        <w:gridCol w:w="648"/>
        <w:gridCol w:w="648"/>
        <w:gridCol w:w="648"/>
        <w:gridCol w:w="648"/>
        <w:gridCol w:w="648"/>
        <w:gridCol w:w="648"/>
        <w:gridCol w:w="648"/>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Pt 1</w:t>
            </w:r>
          </w:p>
          <w:p>
            <w:pPr>
              <w:pStyle w:val="Normal"/>
              <w:jc w:val="center"/>
              <w:rPr>
                <w:rFonts w:ascii="Arial;Arial" w:hAnsi="Arial;Arial" w:cs="Arial;Arial"/>
                <w:sz w:val="18"/>
              </w:rPr>
            </w:pPr>
            <w:r>
              <w:rPr>
                <w:rFonts w:cs="Arial;Arial" w:ascii="Arial;Arial" w:hAnsi="Arial;Arial"/>
                <w:sz w:val="18"/>
              </w:rPr>
              <w:t>Cryo 1</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2</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3</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4</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5</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6</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7</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b/>
                <w:b/>
                <w:bCs/>
                <w:sz w:val="16"/>
              </w:rPr>
            </w:pPr>
            <w:r>
              <w:rPr>
                <w:rFonts w:cs="Arial;Arial" w:ascii="Arial;Arial" w:hAnsi="Arial;Arial"/>
                <w:b/>
                <w:bCs/>
                <w:sz w:val="16"/>
              </w:rPr>
              <w:t>Cryo 17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8</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b/>
                <w:b/>
                <w:bCs/>
                <w:sz w:val="16"/>
              </w:rPr>
            </w:pPr>
            <w:r>
              <w:rPr>
                <w:rFonts w:cs="Arial;Arial" w:ascii="Arial;Arial" w:hAnsi="Arial;Arial"/>
                <w:b/>
                <w:bCs/>
                <w:sz w:val="16"/>
              </w:rPr>
              <w:t>Cryo</w:t>
            </w:r>
          </w:p>
          <w:p>
            <w:pPr>
              <w:pStyle w:val="Normal"/>
              <w:jc w:val="center"/>
              <w:rPr>
                <w:rFonts w:ascii="Arial;Arial" w:hAnsi="Arial;Arial" w:cs="Arial;Arial"/>
                <w:b/>
                <w:b/>
                <w:bCs/>
                <w:sz w:val="16"/>
              </w:rPr>
            </w:pPr>
            <w:r>
              <w:rPr>
                <w:rFonts w:cs="Arial;Arial" w:ascii="Arial;Arial" w:hAnsi="Arial;Arial"/>
                <w:b/>
                <w:bCs/>
                <w:sz w:val="16"/>
              </w:rPr>
              <w:t>20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9</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w:t>
            </w:r>
          </w:p>
          <w:p>
            <w:pPr>
              <w:pStyle w:val="Normal"/>
              <w:jc w:val="center"/>
              <w:rPr>
                <w:rFonts w:ascii="Arial;Arial" w:hAnsi="Arial;Arial" w:cs="Arial;Arial"/>
                <w:sz w:val="18"/>
              </w:rPr>
            </w:pPr>
            <w:r>
              <w:rPr>
                <w:rFonts w:cs="Arial;Arial" w:ascii="Arial;Arial" w:hAnsi="Arial;Arial"/>
                <w:sz w:val="18"/>
              </w:rPr>
              <w:t>21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10</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bl>
    <w:p>
      <w:pPr>
        <w:pStyle w:val="Normal"/>
        <w:rPr/>
      </w:pPr>
      <w:r>
        <w:rPr/>
      </w:r>
    </w:p>
    <w:p>
      <w:pPr>
        <w:pStyle w:val="Number111"/>
        <w:rPr/>
      </w:pPr>
      <w:r>
        <w:rPr/>
        <w:tab/>
      </w:r>
    </w:p>
    <w:p>
      <w:pPr>
        <w:pStyle w:val="Number111"/>
        <w:rPr/>
      </w:pPr>
      <w:r>
        <w:rPr/>
        <w:tab/>
        <w:t>6.94</w:t>
        <w:tab/>
        <w:t>Wipe down all work areas with 10% bleach solution or approved biohazard disinfectant.</w:t>
      </w:r>
    </w:p>
    <w:p>
      <w:pPr>
        <w:pStyle w:val="Number111"/>
        <w:rPr/>
      </w:pPr>
      <w:r>
        <w:rPr/>
      </w:r>
    </w:p>
    <w:p>
      <w:pPr>
        <w:pStyle w:val="Number111"/>
        <w:rPr/>
      </w:pPr>
      <w:r>
        <w:rPr/>
        <w:tab/>
        <w:t>6.95</w:t>
        <w:tab/>
        <w:t>Label and arrange cryovials in their proper racks for the next day’s blood processing.</w:t>
      </w:r>
    </w:p>
    <w:p>
      <w:pPr>
        <w:pStyle w:val="Number111"/>
        <w:rPr/>
      </w:pPr>
      <w:r>
        <w:rPr/>
      </w:r>
    </w:p>
    <w:p>
      <w:pPr>
        <w:pStyle w:val="Number1"/>
        <w:rPr/>
      </w:pPr>
      <w:r>
        <w:rPr/>
        <w:tab/>
        <w:t>7.</w:t>
        <w:tab/>
      </w:r>
      <w:r>
        <w:rPr>
          <w:u w:val="single"/>
        </w:rPr>
        <w:t>Shipping Blood Samples</w:t>
      </w:r>
    </w:p>
    <w:p>
      <w:pPr>
        <w:pStyle w:val="Normal"/>
        <w:rPr>
          <w:u w:val="single"/>
        </w:rPr>
      </w:pPr>
      <w:r>
        <w:rPr>
          <w:u w:val="single"/>
        </w:rPr>
      </w:r>
    </w:p>
    <w:p>
      <w:pPr>
        <w:pStyle w:val="Number11"/>
        <w:rPr/>
      </w:pPr>
      <w:r>
        <w:rPr/>
        <w:tab/>
        <w:t>7.1</w:t>
        <w:tab/>
      </w:r>
      <w:r>
        <w:rPr>
          <w:b/>
          <w:bCs/>
        </w:rPr>
        <w:t xml:space="preserve">General Instructions. </w:t>
      </w:r>
      <w:r>
        <w:rPr/>
        <w:t xml:space="preserve">Blood samples may be shipped </w:t>
      </w:r>
      <w:r>
        <w:rPr>
          <w:i/>
          <w:iCs/>
        </w:rPr>
        <w:t>only</w:t>
      </w:r>
      <w:r>
        <w:rPr/>
        <w:t xml:space="preserve"> on Mondays and Tuesdays to the CBAL or the University of Minnesota by an overnight carrier (Federal Express is preferred). Samples must be shipped on a pre-arranged schedule, which allows the laboratory to stagger the arrival of samples for easier processing.</w:t>
      </w:r>
    </w:p>
    <w:p>
      <w:pPr>
        <w:pStyle w:val="Number11"/>
        <w:rPr/>
      </w:pPr>
      <w:r>
        <w:rPr/>
      </w:r>
    </w:p>
    <w:p>
      <w:pPr>
        <w:pStyle w:val="Number11"/>
        <w:rPr/>
      </w:pPr>
      <w:r>
        <w:rPr/>
        <w:tab/>
        <w:t>7.2</w:t>
        <w:tab/>
      </w:r>
      <w:r>
        <w:rPr>
          <w:b/>
          <w:bCs/>
        </w:rPr>
        <w:t>Packaging.</w:t>
      </w:r>
      <w:r>
        <w:rPr/>
        <w:t xml:space="preserve"> Sample shipping checklist:</w:t>
      </w:r>
    </w:p>
    <w:p>
      <w:pPr>
        <w:pStyle w:val="Number11bodybullet"/>
        <w:rPr/>
      </w:pPr>
      <w:r>
        <w:rPr/>
      </w:r>
    </w:p>
    <w:p>
      <w:pPr>
        <w:pStyle w:val="Number11bodybullet"/>
        <w:rPr/>
      </w:pPr>
      <w:r>
        <w:rPr/>
        <w:tab/>
      </w:r>
      <w:r>
        <w:rPr>
          <w:rFonts w:eastAsia="Symbol" w:cs="Symbol" w:ascii="Symbol" w:hAnsi="Symbol"/>
        </w:rPr>
        <w:t></w:t>
      </w:r>
      <w:r>
        <w:rPr/>
        <w:tab/>
        <w:t>Frozen MESA samples in pre-labeled sample</w:t>
      </w:r>
    </w:p>
    <w:p>
      <w:pPr>
        <w:pStyle w:val="Number11bodybullet"/>
        <w:rPr/>
      </w:pPr>
      <w:r>
        <w:rPr/>
        <w:tab/>
      </w:r>
      <w:r>
        <w:rPr>
          <w:rFonts w:eastAsia="Symbol" w:cs="Symbol" w:ascii="Symbol" w:hAnsi="Symbol"/>
        </w:rPr>
        <w:t></w:t>
      </w:r>
      <w:r>
        <w:rPr/>
        <w:tab/>
        <w:t>Styrofoam mailing containers (2) with outer cardboard sleeves</w:t>
      </w:r>
    </w:p>
    <w:p>
      <w:pPr>
        <w:pStyle w:val="Number11bodybullet"/>
        <w:rPr/>
      </w:pPr>
      <w:r>
        <w:rPr/>
        <w:tab/>
      </w:r>
      <w:r>
        <w:rPr>
          <w:rFonts w:eastAsia="Symbol" w:cs="Symbol" w:ascii="Symbol" w:hAnsi="Symbol"/>
        </w:rPr>
        <w:t></w:t>
      </w:r>
      <w:r>
        <w:rPr/>
        <w:tab/>
        <w:t>Rubber bands for freezer boxes</w:t>
      </w:r>
    </w:p>
    <w:p>
      <w:pPr>
        <w:pStyle w:val="Number11bodybullet"/>
        <w:rPr/>
      </w:pPr>
      <w:r>
        <w:rPr/>
        <w:tab/>
      </w:r>
      <w:r>
        <w:rPr>
          <w:rFonts w:eastAsia="Symbol" w:cs="Symbol" w:ascii="Symbol" w:hAnsi="Symbol"/>
        </w:rPr>
        <w:t></w:t>
      </w:r>
      <w:r>
        <w:rPr/>
        <w:tab/>
        <w:t>Ziploc plastic bags for freezer boxes</w:t>
      </w:r>
    </w:p>
    <w:p>
      <w:pPr>
        <w:pStyle w:val="Number11bodybullet"/>
        <w:rPr/>
      </w:pPr>
      <w:r>
        <w:rPr/>
        <w:tab/>
      </w:r>
      <w:r>
        <w:rPr>
          <w:rFonts w:eastAsia="Symbol" w:cs="Symbol" w:ascii="Symbol" w:hAnsi="Symbol"/>
        </w:rPr>
        <w:t></w:t>
      </w:r>
      <w:r>
        <w:rPr/>
        <w:tab/>
        <w:t xml:space="preserve">Absorbent material (e.g., paper towels, newspaper) </w:t>
      </w:r>
    </w:p>
    <w:p>
      <w:pPr>
        <w:pStyle w:val="Number11bodybullet"/>
        <w:rPr/>
      </w:pPr>
      <w:r>
        <w:rPr/>
        <w:tab/>
      </w:r>
      <w:r>
        <w:rPr>
          <w:rFonts w:eastAsia="Symbol" w:cs="Symbol" w:ascii="Symbol" w:hAnsi="Symbol"/>
        </w:rPr>
        <w:t></w:t>
      </w:r>
      <w:r>
        <w:rPr/>
        <w:tab/>
        <w:t>Packaging tape</w:t>
      </w:r>
    </w:p>
    <w:p>
      <w:pPr>
        <w:pStyle w:val="Number11bodybullet"/>
        <w:rPr/>
      </w:pPr>
      <w:r>
        <w:rPr/>
        <w:tab/>
      </w:r>
      <w:r>
        <w:rPr>
          <w:rFonts w:eastAsia="Symbol" w:cs="Symbol" w:ascii="Symbol" w:hAnsi="Symbol"/>
        </w:rPr>
        <w:t></w:t>
      </w:r>
      <w:r>
        <w:rPr/>
        <w:tab/>
        <w:t>Dry ice (~10 pounds per mailing container)</w:t>
      </w:r>
    </w:p>
    <w:p>
      <w:pPr>
        <w:pStyle w:val="Number11bodybullet"/>
        <w:rPr/>
      </w:pPr>
      <w:r>
        <w:rPr/>
        <w:tab/>
      </w:r>
      <w:r>
        <w:rPr>
          <w:rFonts w:eastAsia="Symbol" w:cs="Symbol" w:ascii="Symbol" w:hAnsi="Symbol"/>
        </w:rPr>
        <w:t></w:t>
      </w:r>
      <w:r>
        <w:rPr/>
        <w:tab/>
        <w:t>Ice gel packs</w:t>
      </w:r>
    </w:p>
    <w:p>
      <w:pPr>
        <w:pStyle w:val="Number11bodybullet"/>
        <w:rPr/>
      </w:pPr>
      <w:r>
        <w:rPr/>
        <w:tab/>
      </w:r>
      <w:r>
        <w:rPr>
          <w:rFonts w:eastAsia="Symbol" w:cs="Symbol" w:ascii="Symbol" w:hAnsi="Symbol"/>
        </w:rPr>
        <w:t></w:t>
      </w:r>
      <w:r>
        <w:rPr/>
        <w:tab/>
        <w:t>Mailing labels (provided by carrier)</w:t>
      </w:r>
    </w:p>
    <w:p>
      <w:pPr>
        <w:pStyle w:val="Number11bodybullet"/>
        <w:rPr/>
      </w:pPr>
      <w:r>
        <w:rPr/>
        <w:tab/>
      </w:r>
      <w:r>
        <w:rPr>
          <w:rFonts w:eastAsia="Symbol" w:cs="Symbol" w:ascii="Symbol" w:hAnsi="Symbol"/>
        </w:rPr>
        <w:t></w:t>
      </w:r>
      <w:r>
        <w:rPr/>
        <w:tab/>
        <w:t>Dry ice labels</w:t>
      </w:r>
    </w:p>
    <w:p>
      <w:pPr>
        <w:pStyle w:val="Number11bodybullet"/>
        <w:rPr/>
      </w:pPr>
      <w:r>
        <w:rPr/>
        <w:tab/>
      </w:r>
      <w:r>
        <w:rPr>
          <w:rFonts w:eastAsia="Symbol" w:cs="Symbol" w:ascii="Symbol" w:hAnsi="Symbol"/>
        </w:rPr>
        <w:t></w:t>
      </w:r>
      <w:r>
        <w:rPr/>
        <w:tab/>
        <w:t>Competed Processing Form</w:t>
      </w:r>
    </w:p>
    <w:p>
      <w:pPr>
        <w:pStyle w:val="Number11bodybullet"/>
        <w:rPr/>
      </w:pPr>
      <w:r>
        <w:rPr/>
        <w:tab/>
      </w:r>
      <w:r>
        <w:rPr>
          <w:rFonts w:eastAsia="Symbol" w:cs="Symbol" w:ascii="Symbol" w:hAnsi="Symbol"/>
        </w:rPr>
        <w:t></w:t>
      </w:r>
      <w:r>
        <w:rPr/>
        <w:tab/>
        <w:t>Competed Shipping Form</w:t>
      </w:r>
    </w:p>
    <w:p>
      <w:pPr>
        <w:pStyle w:val="Number11"/>
        <w:rPr/>
      </w:pPr>
      <w:r>
        <w:rPr/>
      </w:r>
    </w:p>
    <w:p>
      <w:pPr>
        <w:pStyle w:val="Number11"/>
        <w:rPr/>
      </w:pPr>
      <w:r>
        <w:rPr/>
        <w:tab/>
        <w:t>7.3</w:t>
        <w:tab/>
      </w:r>
      <w:r>
        <w:rPr>
          <w:b/>
          <w:bCs/>
        </w:rPr>
        <w:t xml:space="preserve">Procedure. </w:t>
      </w:r>
      <w:r>
        <w:rPr/>
        <w:t>These shipping protocols follows procedures mandated by the International Air Transport Association’s Dangerous Goods Regulations-Packaging Instructions 650 and 904.</w:t>
      </w:r>
    </w:p>
    <w:p>
      <w:pPr>
        <w:pStyle w:val="Number11"/>
        <w:rPr>
          <w:b/>
          <w:b/>
          <w:bCs/>
        </w:rPr>
      </w:pPr>
      <w:r>
        <w:rPr>
          <w:b/>
          <w:bCs/>
        </w:rPr>
      </w:r>
    </w:p>
    <w:p>
      <w:pPr>
        <w:pStyle w:val="Number111"/>
        <w:rPr/>
      </w:pPr>
      <w:r>
        <w:rPr/>
        <w:tab/>
        <w:t>7.31</w:t>
        <w:tab/>
        <w:t xml:space="preserve">For </w:t>
      </w:r>
      <w:r>
        <w:rPr>
          <w:i/>
          <w:iCs/>
        </w:rPr>
        <w:t xml:space="preserve">frozen </w:t>
      </w:r>
      <w:r>
        <w:rPr/>
        <w:t>shipment to the University of Vermont:</w:t>
      </w:r>
    </w:p>
    <w:p>
      <w:pPr>
        <w:pStyle w:val="Number111"/>
        <w:rPr/>
      </w:pPr>
      <w:r>
        <w:rPr/>
      </w:r>
    </w:p>
    <w:p>
      <w:pPr>
        <w:pStyle w:val="11bodyletter"/>
        <w:tabs>
          <w:tab w:val="clear" w:pos="1620"/>
          <w:tab w:val="right" w:pos="2160" w:leader="none"/>
        </w:tabs>
        <w:ind w:left="2340" w:hanging="2340"/>
        <w:rPr/>
      </w:pPr>
      <w:r>
        <w:rPr/>
        <w:tab/>
        <w:t>1.</w:t>
        <w:tab/>
        <w:t>Line Styrofoam mailer(s) with absorbent material.</w:t>
      </w:r>
    </w:p>
    <w:p>
      <w:pPr>
        <w:pStyle w:val="11bodyletter"/>
        <w:tabs>
          <w:tab w:val="clear" w:pos="1620"/>
          <w:tab w:val="right" w:pos="2160" w:leader="none"/>
        </w:tabs>
        <w:ind w:left="2340" w:hanging="2340"/>
        <w:rPr/>
      </w:pPr>
      <w:r>
        <w:rPr/>
        <w:t xml:space="preserve">  </w:t>
      </w:r>
    </w:p>
    <w:p>
      <w:pPr>
        <w:pStyle w:val="11bodyletter"/>
        <w:tabs>
          <w:tab w:val="clear" w:pos="1620"/>
          <w:tab w:val="right" w:pos="2160" w:leader="none"/>
        </w:tabs>
        <w:ind w:left="2340" w:hanging="2340"/>
        <w:rPr/>
      </w:pPr>
      <w:r>
        <w:rPr/>
        <w:tab/>
        <w:t>2.</w:t>
        <w:tab/>
        <w:t>Place approximately ½ the dry ice (about 5 pounds) on the bottom of the mailer.</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3.</w:t>
        <w:tab/>
        <w:t>Place another layer of absorbent material on top of the dry ice, so that it will be between the dry ice and the freezer boxes containing the samples.</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4.</w:t>
        <w:tab/>
        <w:t>Collect the freezer boxes containing samples to be shipped and check the sample ID numbers against the Processing Form for that shipment.</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5.</w:t>
        <w:tab/>
        <w:t>Put a rubber band around each cardboard freezer box containing samples before enclosing each box in a Ziploc plastic bag. Carefully place these bagged boxes into the mailer. The rubber band helps prevent cryovial spill; the Ziploc bag and absorbent material are required by commercial carriers.</w:t>
      </w:r>
    </w:p>
    <w:p>
      <w:pPr>
        <w:pStyle w:val="11bodyletter"/>
        <w:tabs>
          <w:tab w:val="clear" w:pos="1620"/>
          <w:tab w:val="right" w:pos="2160" w:leader="none"/>
        </w:tabs>
        <w:ind w:left="2340" w:hanging="2340"/>
        <w:rPr/>
      </w:pPr>
      <w:r>
        <w:rPr/>
        <w:t xml:space="preserve">   </w:t>
      </w:r>
    </w:p>
    <w:p>
      <w:pPr>
        <w:pStyle w:val="11bodyletter"/>
        <w:tabs>
          <w:tab w:val="clear" w:pos="1620"/>
          <w:tab w:val="right" w:pos="2160" w:leader="none"/>
        </w:tabs>
        <w:ind w:left="2340" w:hanging="2340"/>
        <w:rPr/>
      </w:pPr>
      <w:r>
        <w:rPr/>
        <w:tab/>
        <w:t>6.</w:t>
        <w:tab/>
        <w:t>Place another layer of absorbent material on top of the sample freezer boxes.</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7.</w:t>
        <w:tab/>
        <w:t>Place the remaining dry ice on top of this last layer of absorbent material.</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8.</w:t>
        <w:tab/>
        <w:t>Seal the top of the Styrofoam mailer with tape and then place the mailer in the outer cardboard sleeve.</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9.</w:t>
        <w:tab/>
        <w:t>Place the Processing Form, listing all samples included in that particular Styrofoam mailer, on the top of the Styrofoam mailer before the outer sleeve is securely taped closed.</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10.</w:t>
        <w:tab/>
        <w:t>Fill out the shipping log, including the carrier airbill numbers, and fax to the University of Vermont at (802) 656-8965.</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11.</w:t>
        <w:tab/>
        <w:t>Affix shipping label(s). Place the entire box in the refrigerator, if pickup will not bee immediate. (Samples should not be on dry ice for &gt;24 hours.)</w:t>
      </w:r>
    </w:p>
    <w:p>
      <w:pPr>
        <w:pStyle w:val="11bodyletter"/>
        <w:tabs>
          <w:tab w:val="clear" w:pos="1620"/>
          <w:tab w:val="right" w:pos="2160" w:leader="none"/>
        </w:tabs>
        <w:ind w:left="2340" w:hanging="2340"/>
        <w:rPr/>
      </w:pPr>
      <w:r>
        <w:rPr/>
      </w:r>
    </w:p>
    <w:p>
      <w:pPr>
        <w:pStyle w:val="Number111"/>
        <w:rPr/>
      </w:pPr>
      <w:r>
        <w:rPr/>
        <w:tab/>
        <w:t>7.32</w:t>
        <w:tab/>
        <w:t xml:space="preserve">For </w:t>
      </w:r>
      <w:r>
        <w:rPr>
          <w:i/>
          <w:iCs/>
        </w:rPr>
        <w:t xml:space="preserve">refrigerated </w:t>
      </w:r>
      <w:r>
        <w:rPr/>
        <w:t>shipment to the University of Minnesota:</w:t>
      </w:r>
    </w:p>
    <w:p>
      <w:pPr>
        <w:pStyle w:val="Number111"/>
        <w:rPr/>
      </w:pPr>
      <w:r>
        <w:rPr/>
      </w:r>
    </w:p>
    <w:p>
      <w:pPr>
        <w:pStyle w:val="Number111"/>
        <w:rPr/>
      </w:pPr>
      <w:r>
        <w:rPr/>
        <w:tab/>
        <w:t>1.</w:t>
        <w:tab/>
        <w:t>Line Styrofoam mailer(s) with absorbent material.</w:t>
      </w:r>
    </w:p>
    <w:p>
      <w:pPr>
        <w:pStyle w:val="Number111"/>
        <w:rPr/>
      </w:pPr>
      <w:r>
        <w:rPr/>
      </w:r>
    </w:p>
    <w:p>
      <w:pPr>
        <w:pStyle w:val="Number111"/>
        <w:rPr/>
      </w:pPr>
      <w:r>
        <w:rPr/>
        <w:tab/>
        <w:t>2.</w:t>
        <w:tab/>
        <w:t>Place two frozen gel ice pack on the bottom of the mailer.</w:t>
      </w:r>
    </w:p>
    <w:p>
      <w:pPr>
        <w:pStyle w:val="Number111"/>
        <w:rPr/>
      </w:pPr>
      <w:r>
        <w:rPr/>
      </w:r>
    </w:p>
    <w:p>
      <w:pPr>
        <w:pStyle w:val="Number111"/>
        <w:rPr/>
      </w:pPr>
      <w:r>
        <w:rPr/>
        <w:tab/>
        <w:t>3.</w:t>
        <w:tab/>
        <w:t>Place another layer of absorbent material on top of the gel ice packs. Do not let the tubes come into direct contact with the gel ice packs.</w:t>
      </w:r>
    </w:p>
    <w:p>
      <w:pPr>
        <w:pStyle w:val="Number111"/>
        <w:rPr/>
      </w:pPr>
      <w:r>
        <w:rPr/>
      </w:r>
    </w:p>
    <w:p>
      <w:pPr>
        <w:pStyle w:val="Number111"/>
        <w:rPr/>
      </w:pPr>
      <w:r>
        <w:rPr/>
        <w:tab/>
        <w:t>4.</w:t>
        <w:tab/>
        <w:t>Collect the freezer boxes that contain tubes #18 and #19 and check the sample ID numbers against the Processing Forms for that shipment.</w:t>
      </w:r>
    </w:p>
    <w:p>
      <w:pPr>
        <w:pStyle w:val="Number111"/>
        <w:rPr/>
      </w:pPr>
      <w:r>
        <w:rPr/>
        <w:tab/>
      </w:r>
    </w:p>
    <w:p>
      <w:pPr>
        <w:pStyle w:val="11bodyletter"/>
        <w:tabs>
          <w:tab w:val="clear" w:pos="1620"/>
          <w:tab w:val="right" w:pos="1800" w:leader="none"/>
        </w:tabs>
        <w:ind w:left="1980" w:hanging="1980"/>
        <w:rPr/>
      </w:pPr>
      <w:r>
        <w:rPr/>
        <w:tab/>
        <w:t>5.</w:t>
        <w:tab/>
        <w:t>Put a rubber band around each cardboard freezer box containing samples before enclosing each box in a Ziploc plastic bag. Carefully place these bagged boxes into the mailer. The rubber band helps prevent tube spill; the Ziploc bag and absorbent material are required by commercial carriers.</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6.</w:t>
        <w:tab/>
        <w:t>Place another layer of absorbent material on top of the sample freezer boxes.</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7.</w:t>
        <w:tab/>
        <w:t>Place another two or three frozen gel ice pack on top of this last layer of absorbent material.</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8.</w:t>
        <w:tab/>
        <w:t>Seal the top of the Styrofoam container with tape, place it in the outer cardboard sleeve, and then seal the sleeve with tape.</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9.</w:t>
        <w:tab/>
        <w:t>Fill out the shipping log, including the carrier airbill numbers, and fax to the University of Minnesota at (612) 273-3489.</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10.</w:t>
        <w:tab/>
        <w:t>Affix the shipping label. Place the entire box in the refrigerator, if pickup will not bee immediate.</w:t>
      </w:r>
    </w:p>
    <w:p>
      <w:pPr>
        <w:pStyle w:val="11bodyletter"/>
        <w:tabs>
          <w:tab w:val="clear" w:pos="1620"/>
          <w:tab w:val="right" w:pos="2160" w:leader="none"/>
        </w:tabs>
        <w:ind w:left="2340" w:hanging="2340"/>
        <w:rPr>
          <w:sz w:val="22"/>
        </w:rPr>
      </w:pPr>
      <w:r>
        <w:rPr>
          <w:sz w:val="22"/>
        </w:rPr>
      </w:r>
    </w:p>
    <w:p>
      <w:pPr>
        <w:pStyle w:val="Number11"/>
        <w:rPr/>
      </w:pPr>
      <w:r>
        <w:rPr/>
        <w:tab/>
        <w:t>7.4</w:t>
        <w:tab/>
        <w:t>Mailing Addresses:</w:t>
      </w:r>
    </w:p>
    <w:p>
      <w:pPr>
        <w:pStyle w:val="Number11"/>
        <w:tabs>
          <w:tab w:val="right" w:pos="1260" w:leader="none"/>
          <w:tab w:val="right" w:pos="2160" w:leader="none"/>
        </w:tabs>
        <w:ind w:left="2340" w:hanging="2340"/>
        <w:rPr/>
      </w:pPr>
      <w:r>
        <w:rPr/>
      </w:r>
    </w:p>
    <w:p>
      <w:pPr>
        <w:pStyle w:val="Number11"/>
        <w:rPr/>
      </w:pPr>
      <w:r>
        <w:rPr/>
        <w:tab/>
        <w:tab/>
        <w:t>University of Vermont</w:t>
      </w:r>
    </w:p>
    <w:p>
      <w:pPr>
        <w:pStyle w:val="Number11"/>
        <w:rPr/>
      </w:pPr>
      <w:r>
        <w:rPr/>
        <w:tab/>
        <w:tab/>
        <w:t>Department of Pathology</w:t>
      </w:r>
    </w:p>
    <w:p>
      <w:pPr>
        <w:pStyle w:val="Number11"/>
        <w:rPr/>
      </w:pPr>
      <w:r>
        <w:rPr/>
        <w:tab/>
        <w:tab/>
        <w:t>Colchester Research Facility, Room T205</w:t>
      </w:r>
    </w:p>
    <w:p>
      <w:pPr>
        <w:pStyle w:val="Number11"/>
        <w:rPr/>
      </w:pPr>
      <w:r>
        <w:rPr/>
        <w:tab/>
        <w:tab/>
        <w:t>208 South Park Drive, Suite 2</w:t>
      </w:r>
    </w:p>
    <w:p>
      <w:pPr>
        <w:pStyle w:val="Number11"/>
        <w:rPr/>
      </w:pPr>
      <w:r>
        <w:rPr/>
        <w:tab/>
        <w:tab/>
        <w:t>Colchester, VT 05446</w:t>
      </w:r>
    </w:p>
    <w:p>
      <w:pPr>
        <w:pStyle w:val="Number11"/>
        <w:rPr/>
      </w:pPr>
      <w:r>
        <w:rPr/>
        <w:tab/>
        <w:tab/>
        <w:t>ATTN: Elaine Cornell</w:t>
      </w:r>
    </w:p>
    <w:p>
      <w:pPr>
        <w:pStyle w:val="Number11"/>
        <w:rPr/>
      </w:pPr>
      <w:r>
        <w:rPr/>
        <w:tab/>
        <w:tab/>
        <w:t>(802) 656-8963</w:t>
      </w:r>
    </w:p>
    <w:p>
      <w:pPr>
        <w:pStyle w:val="Number11"/>
        <w:rPr/>
      </w:pPr>
      <w:r>
        <w:rPr/>
      </w:r>
    </w:p>
    <w:p>
      <w:pPr>
        <w:pStyle w:val="Number11"/>
        <w:rPr/>
      </w:pPr>
      <w:r>
        <w:rPr/>
        <w:tab/>
        <w:tab/>
        <w:t>MESA Central Lab</w:t>
      </w:r>
    </w:p>
    <w:p>
      <w:pPr>
        <w:pStyle w:val="Number11"/>
        <w:rPr/>
      </w:pPr>
      <w:r>
        <w:rPr/>
        <w:tab/>
        <w:tab/>
        <w:t>L275 Mayo, FV-UMC</w:t>
      </w:r>
    </w:p>
    <w:p>
      <w:pPr>
        <w:pStyle w:val="Number11"/>
        <w:rPr/>
      </w:pPr>
      <w:r>
        <w:rPr/>
        <w:tab/>
        <w:tab/>
        <w:t>420 Delaware Street SE</w:t>
      </w:r>
    </w:p>
    <w:p>
      <w:pPr>
        <w:pStyle w:val="Number11"/>
        <w:rPr/>
      </w:pPr>
      <w:r>
        <w:rPr/>
        <w:tab/>
        <w:tab/>
        <w:t>Minneapolis, MN  55455</w:t>
      </w:r>
    </w:p>
    <w:p>
      <w:pPr>
        <w:pStyle w:val="Number11"/>
        <w:rPr/>
      </w:pPr>
      <w:r>
        <w:rPr/>
        <w:tab/>
        <w:tab/>
        <w:t>ATTN: Jean Bucksa</w:t>
      </w:r>
    </w:p>
    <w:p>
      <w:pPr>
        <w:pStyle w:val="Number11"/>
        <w:rPr/>
      </w:pPr>
      <w:r>
        <w:rPr/>
        <w:tab/>
        <w:tab/>
        <w:t>(612) 273-3391</w:t>
      </w:r>
    </w:p>
    <w:p>
      <w:pPr>
        <w:pStyle w:val="Number11"/>
        <w:rPr>
          <w:b/>
          <w:b/>
          <w:u w:val="single"/>
        </w:rPr>
      </w:pPr>
      <w:r>
        <w:rPr>
          <w:b/>
          <w:u w:val="single"/>
        </w:rPr>
      </w:r>
    </w:p>
    <w:p>
      <w:pPr>
        <w:pStyle w:val="Number1"/>
        <w:rPr/>
      </w:pPr>
      <w:r>
        <w:rPr/>
        <w:tab/>
        <w:t>8.</w:t>
        <w:tab/>
      </w:r>
      <w:r>
        <w:rPr>
          <w:u w:val="single"/>
        </w:rPr>
        <w:t>Quality Assurance (QA)</w:t>
      </w:r>
    </w:p>
    <w:p>
      <w:pPr>
        <w:pStyle w:val="Heading1"/>
        <w:widowControl/>
        <w:tabs>
          <w:tab w:val="clear" w:pos="576"/>
          <w:tab w:val="left" w:pos="540" w:leader="none"/>
        </w:tabs>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p>
      <w:pPr>
        <w:pStyle w:val="Number11"/>
        <w:rPr/>
      </w:pPr>
      <w:r>
        <w:rPr/>
        <w:tab/>
        <w:t>8.1</w:t>
        <w:tab/>
        <w:t>Overview of Field Center Monitoring</w:t>
      </w:r>
    </w:p>
    <w:p>
      <w:pPr>
        <w:pStyle w:val="Number11"/>
        <w:rPr>
          <w:sz w:val="22"/>
        </w:rPr>
      </w:pPr>
      <w:r>
        <w:rPr>
          <w:sz w:val="22"/>
        </w:rPr>
      </w:r>
    </w:p>
    <w:p>
      <w:pPr>
        <w:pStyle w:val="Number11"/>
        <w:rPr/>
      </w:pPr>
      <w:r>
        <w:rPr/>
        <w:tab/>
        <w:tab/>
        <w:t>QA monitoring of the blood collection and processing protocols is important for the identification of any deviations from the standardized methods. Differences in the way blood samples are collected or processed have the potential to create statistically significant differences in assay results. In order to prevent any sample-associated problems, the CBAL has designed a system for monitoring the quality of blood collection and processing in each field center. Monitoring will assure that any systemic or random problems are identified and corrected. Components of the program include:</w:t>
      </w:r>
    </w:p>
    <w:p>
      <w:pPr>
        <w:pStyle w:val="Number11bodybullet"/>
        <w:rPr/>
      </w:pPr>
      <w:r>
        <w:rPr/>
      </w:r>
    </w:p>
    <w:p>
      <w:pPr>
        <w:pStyle w:val="Number11bodybullet"/>
        <w:rPr/>
      </w:pPr>
      <w:r>
        <w:rPr/>
        <w:tab/>
      </w:r>
      <w:r>
        <w:rPr>
          <w:rFonts w:eastAsia="Symbol" w:cs="Symbol" w:ascii="Symbol" w:hAnsi="Symbol"/>
        </w:rPr>
        <w:t></w:t>
      </w:r>
      <w:r>
        <w:rPr/>
        <w:tab/>
        <w:t>CBAL training course and certification process for each field center technician;</w:t>
      </w:r>
    </w:p>
    <w:p>
      <w:pPr>
        <w:pStyle w:val="Number11bodybullet"/>
        <w:rPr/>
      </w:pPr>
      <w:r>
        <w:rPr/>
        <w:tab/>
      </w:r>
      <w:r>
        <w:rPr>
          <w:rFonts w:eastAsia="Symbol" w:cs="Symbol" w:ascii="Symbol" w:hAnsi="Symbol"/>
        </w:rPr>
        <w:t></w:t>
      </w:r>
      <w:r>
        <w:rPr/>
        <w:tab/>
        <w:t xml:space="preserve">maintenance of equipment check logs at each field center; </w:t>
      </w:r>
    </w:p>
    <w:p>
      <w:pPr>
        <w:pStyle w:val="Number11bodybullet"/>
        <w:rPr/>
      </w:pPr>
      <w:r>
        <w:rPr/>
        <w:tab/>
      </w:r>
      <w:r>
        <w:rPr>
          <w:rFonts w:eastAsia="Symbol" w:cs="Symbol" w:ascii="Symbol" w:hAnsi="Symbol"/>
        </w:rPr>
        <w:t></w:t>
      </w:r>
      <w:r>
        <w:rPr/>
        <w:tab/>
        <w:t>field center supervisor checklist;</w:t>
      </w:r>
    </w:p>
    <w:p>
      <w:pPr>
        <w:pStyle w:val="Number11bodybullet"/>
        <w:rPr/>
      </w:pPr>
      <w:r>
        <w:rPr/>
        <w:tab/>
      </w:r>
      <w:r>
        <w:rPr>
          <w:rFonts w:eastAsia="Symbol" w:cs="Symbol" w:ascii="Symbol" w:hAnsi="Symbol"/>
        </w:rPr>
        <w:t></w:t>
      </w:r>
      <w:r>
        <w:rPr/>
        <w:tab/>
        <w:t>Phlebotomy Form and MESA Processing Form review by the CBAL; and</w:t>
      </w:r>
    </w:p>
    <w:p>
      <w:pPr>
        <w:pStyle w:val="Number11bodybullet"/>
        <w:rPr>
          <w:b/>
          <w:b/>
        </w:rPr>
      </w:pPr>
      <w:r>
        <w:rPr/>
        <w:tab/>
      </w:r>
      <w:r>
        <w:rPr>
          <w:rFonts w:eastAsia="Symbol" w:cs="Symbol" w:ascii="Symbol" w:hAnsi="Symbol"/>
        </w:rPr>
        <w:t></w:t>
      </w:r>
      <w:r>
        <w:rPr/>
        <w:tab/>
        <w:t>analysis of problems associated with the phlebotomy.</w:t>
      </w:r>
    </w:p>
    <w:p>
      <w:pPr>
        <w:pStyle w:val="Number11bodybullet"/>
        <w:rPr>
          <w:b/>
          <w:b/>
          <w:sz w:val="22"/>
        </w:rPr>
      </w:pPr>
      <w:r>
        <w:rPr>
          <w:b/>
          <w:sz w:val="22"/>
        </w:rPr>
      </w:r>
    </w:p>
    <w:p>
      <w:pPr>
        <w:pStyle w:val="Number11"/>
        <w:rPr/>
      </w:pPr>
      <w:r>
        <w:rPr/>
        <w:tab/>
        <w:t>8.2</w:t>
        <w:tab/>
        <w:t>Field Center Technician Training and Certification</w:t>
      </w:r>
    </w:p>
    <w:p>
      <w:pPr>
        <w:pStyle w:val="Number11"/>
        <w:rPr/>
      </w:pPr>
      <w:r>
        <w:rPr/>
      </w:r>
    </w:p>
    <w:p>
      <w:pPr>
        <w:pStyle w:val="Number11"/>
        <w:rPr/>
      </w:pPr>
      <w:r>
        <w:rPr/>
        <w:tab/>
        <w:tab/>
        <w:t>Standardization of venipuncture and blood processing procedures helps to ensure the quality of the blood samples and subsequent data analysis. CBAL will conduct a one-time training session on blood collection and processing of the MESA samples, which will be held at the MESA meeting at Northwestern University in April 2000. The training session will present information relating to the collection of the blood sample (e.g., infection control, safety precautions and OSHA regulations, equipment handling, venipuncture procedure, and possible venipuncture problems) and proper processing procedures for the varied array of draw tubes (e.g., centrifugation, temperature requirements, and aliquoting).</w:t>
      </w:r>
    </w:p>
    <w:p>
      <w:pPr>
        <w:pStyle w:val="Number11"/>
        <w:rPr>
          <w:sz w:val="22"/>
        </w:rPr>
      </w:pPr>
      <w:r>
        <w:rPr>
          <w:sz w:val="22"/>
        </w:rPr>
      </w:r>
    </w:p>
    <w:p>
      <w:pPr>
        <w:pStyle w:val="Number111"/>
        <w:rPr/>
      </w:pPr>
      <w:r>
        <w:rPr/>
        <w:tab/>
        <w:t>8.21</w:t>
        <w:tab/>
      </w:r>
      <w:r>
        <w:rPr>
          <w:u w:val="single"/>
        </w:rPr>
        <w:t>Field center technician requirements</w:t>
      </w:r>
      <w:r>
        <w:rPr/>
        <w:t xml:space="preserve">. Field center technicians who will be performing blood collection must have prior clinical phlebotomy experience. They must read the MESA Manual of Operations before attending the CBAL training session. Certification in MESA blood collection and processing is required.   </w:t>
      </w:r>
    </w:p>
    <w:p>
      <w:pPr>
        <w:pStyle w:val="Number111"/>
        <w:rPr>
          <w:sz w:val="22"/>
        </w:rPr>
      </w:pPr>
      <w:r>
        <w:rPr>
          <w:sz w:val="22"/>
        </w:rPr>
      </w:r>
    </w:p>
    <w:p>
      <w:pPr>
        <w:pStyle w:val="Number111"/>
        <w:rPr/>
      </w:pPr>
      <w:r>
        <w:rPr/>
        <w:tab/>
        <w:t>8.22</w:t>
        <w:tab/>
      </w:r>
      <w:r>
        <w:rPr>
          <w:u w:val="single"/>
        </w:rPr>
        <w:t>Field center technician certification</w:t>
      </w:r>
      <w:r>
        <w:rPr/>
        <w:t>. Field center technicians who attend the LCBR training session and successfully complete both the written and practical examinations will be certified in MESA blood collection and processing.  (Completed written exams will be corrected and kept on file at the CBAL.) Once fully certified, a technician is qualified to certify other technicians in the complete or partial process. The three steps required for certification are:</w:t>
      </w:r>
    </w:p>
    <w:p>
      <w:pPr>
        <w:pStyle w:val="Number111"/>
        <w:tabs>
          <w:tab w:val="right" w:pos="1800" w:leader="none"/>
          <w:tab w:val="right" w:pos="1980" w:leader="none"/>
        </w:tabs>
        <w:ind w:left="2070" w:hanging="2070"/>
        <w:rPr/>
      </w:pPr>
      <w:r>
        <w:rPr/>
      </w:r>
    </w:p>
    <w:p>
      <w:pPr>
        <w:pStyle w:val="Number111bodybullet"/>
        <w:rPr/>
      </w:pPr>
      <w:r>
        <w:rPr/>
        <w:tab/>
      </w:r>
      <w:r>
        <w:rPr>
          <w:rFonts w:eastAsia="Symbol" w:cs="Symbol" w:ascii="Symbol" w:hAnsi="Symbol"/>
        </w:rPr>
        <w:t></w:t>
      </w:r>
      <w:r>
        <w:rPr/>
        <w:tab/>
        <w:t>Successful completion of written exam (prepared by CBAL)</w:t>
      </w:r>
    </w:p>
    <w:p>
      <w:pPr>
        <w:pStyle w:val="Number111bodybullet"/>
        <w:rPr/>
      </w:pPr>
      <w:r>
        <w:rPr/>
        <w:tab/>
      </w:r>
      <w:r>
        <w:rPr>
          <w:rFonts w:eastAsia="Symbol" w:cs="Symbol" w:ascii="Symbol" w:hAnsi="Symbol"/>
        </w:rPr>
        <w:t></w:t>
      </w:r>
      <w:r>
        <w:rPr/>
        <w:tab/>
        <w:t>Successful completion of practical exam (using the Certification Form in this Manual).</w:t>
      </w:r>
    </w:p>
    <w:p>
      <w:pPr>
        <w:pStyle w:val="Number111bodybullet"/>
        <w:rPr/>
      </w:pPr>
      <w:r>
        <w:rPr/>
        <w:tab/>
      </w:r>
      <w:r>
        <w:rPr>
          <w:rFonts w:eastAsia="Symbol" w:cs="Symbol" w:ascii="Symbol" w:hAnsi="Symbol"/>
        </w:rPr>
        <w:t></w:t>
      </w:r>
      <w:r>
        <w:rPr/>
        <w:tab/>
        <w:t>Observation by certified personnel of complete phlebotomy/processing procedure on a volunteer.</w:t>
      </w:r>
    </w:p>
    <w:p>
      <w:pPr>
        <w:pStyle w:val="Normal"/>
        <w:tabs>
          <w:tab w:val="left" w:pos="720" w:leader="none"/>
        </w:tabs>
        <w:rPr>
          <w:b/>
          <w:b/>
          <w:sz w:val="22"/>
        </w:rPr>
      </w:pPr>
      <w:r>
        <w:rPr>
          <w:b/>
          <w:sz w:val="22"/>
        </w:rPr>
      </w:r>
    </w:p>
    <w:p>
      <w:pPr>
        <w:pStyle w:val="Number11"/>
        <w:rPr/>
      </w:pPr>
      <w:r>
        <w:rPr/>
        <w:tab/>
        <w:t>8.3</w:t>
        <w:tab/>
        <w:t>Field Center Equipment Records</w:t>
      </w:r>
    </w:p>
    <w:p>
      <w:pPr>
        <w:pStyle w:val="Number11"/>
        <w:rPr/>
      </w:pPr>
      <w:r>
        <w:rPr/>
      </w:r>
    </w:p>
    <w:p>
      <w:pPr>
        <w:pStyle w:val="Number11"/>
        <w:rPr/>
      </w:pPr>
      <w:r>
        <w:rPr/>
        <w:tab/>
        <w:tab/>
        <w:t>Each field center must maintain daily and monthly records of equipment performance. Personnel should perform daily temperature checks on refrigerators, freezers, and refrigerated centrifuges and maintain equipment temperature logs for future reference. These equipment records help to identify problems with sample quality in the aliquoting and local storage steps.</w:t>
      </w:r>
    </w:p>
    <w:p>
      <w:pPr>
        <w:pStyle w:val="Number11"/>
        <w:rPr>
          <w:szCs w:val="20"/>
        </w:rPr>
      </w:pPr>
      <w:r>
        <w:rPr>
          <w:szCs w:val="20"/>
        </w:rPr>
      </w:r>
    </w:p>
    <w:p>
      <w:pPr>
        <w:pStyle w:val="Number11"/>
        <w:rPr/>
      </w:pPr>
      <w:r>
        <w:rPr>
          <w:szCs w:val="20"/>
        </w:rPr>
        <w:tab/>
        <w:t>8.4</w:t>
        <w:tab/>
      </w:r>
      <w:r>
        <w:rPr/>
        <w:t xml:space="preserve">Field Center Supervisor Checklist </w:t>
      </w:r>
    </w:p>
    <w:p>
      <w:pPr>
        <w:pStyle w:val="Number11"/>
        <w:rPr/>
      </w:pPr>
      <w:r>
        <w:rPr/>
      </w:r>
    </w:p>
    <w:p>
      <w:pPr>
        <w:pStyle w:val="Number11"/>
        <w:rPr/>
      </w:pPr>
      <w:r>
        <w:rPr/>
        <w:tab/>
        <w:tab/>
        <w:t>The field center supervisor is required to periodically observe MESA technicians in the performance of the phlebotomy and processing procedures, recording their observations on the checklist. Completed supervisor checklists will be sent to the CBAL for monitoring purposes.</w:t>
      </w:r>
    </w:p>
    <w:p>
      <w:pPr>
        <w:pStyle w:val="Number11"/>
        <w:rPr>
          <w:b/>
          <w:b/>
          <w:sz w:val="22"/>
        </w:rPr>
      </w:pPr>
      <w:r>
        <w:rPr>
          <w:b/>
          <w:sz w:val="22"/>
        </w:rPr>
      </w:r>
    </w:p>
    <w:p>
      <w:pPr>
        <w:pStyle w:val="Number1"/>
        <w:rPr/>
      </w:pPr>
      <w:r>
        <w:rPr/>
        <w:tab/>
        <w:t>9.</w:t>
        <w:tab/>
      </w:r>
      <w:r>
        <w:rPr>
          <w:u w:val="single"/>
        </w:rPr>
        <w:t>Field Center Forms</w:t>
      </w:r>
    </w:p>
    <w:p>
      <w:pPr>
        <w:pStyle w:val="Number1bodybullet"/>
        <w:rPr/>
      </w:pPr>
      <w:r>
        <w:rPr/>
      </w:r>
    </w:p>
    <w:p>
      <w:pPr>
        <w:pStyle w:val="Number1bodybullet"/>
        <w:rPr/>
      </w:pPr>
      <w:r>
        <w:rPr>
          <w:rFonts w:eastAsia="Symbol" w:cs="Symbol" w:ascii="Symbol" w:hAnsi="Symbol"/>
        </w:rPr>
        <w:t></w:t>
      </w:r>
      <w:r>
        <w:rPr/>
        <w:tab/>
        <w:t>MESA Phlebotomy/Processing Form.</w:t>
      </w:r>
    </w:p>
    <w:p>
      <w:pPr>
        <w:pStyle w:val="Number1bodybullet"/>
        <w:rPr/>
      </w:pPr>
      <w:r>
        <w:rPr>
          <w:rFonts w:eastAsia="Symbol" w:cs="Symbol" w:ascii="Symbol" w:hAnsi="Symbol"/>
        </w:rPr>
        <w:t></w:t>
      </w:r>
      <w:r>
        <w:rPr/>
        <w:tab/>
        <w:t xml:space="preserve">MESA Shipping Log </w:t>
      </w:r>
      <w:r>
        <w:fldChar w:fldCharType="begin"/>
      </w:r>
      <w:r>
        <w:rPr/>
        <w:instrText xml:space="preserve"> TC ".1 SPAF Phlebotomy/Processing Form" \l 9 </w:instrText>
      </w:r>
      <w:r>
        <w:rPr/>
        <w:fldChar w:fldCharType="separate"/>
      </w:r>
      <w:r>
        <w:rPr/>
      </w:r>
      <w:r>
        <w:rPr/>
        <w:fldChar w:fldCharType="end"/>
      </w:r>
    </w:p>
    <w:p>
      <w:pPr>
        <w:pStyle w:val="Number1bodybullet"/>
        <w:rPr/>
      </w:pPr>
      <w:r>
        <w:rPr>
          <w:rFonts w:eastAsia="Symbol" w:cs="Symbol" w:ascii="Symbol" w:hAnsi="Symbol"/>
        </w:rPr>
        <w:t></w:t>
      </w:r>
      <w:r>
        <w:rPr/>
        <w:tab/>
        <w:t>MESA Blind Duplicate Shipping Log</w:t>
      </w:r>
    </w:p>
    <w:p>
      <w:pPr>
        <w:pStyle w:val="Number1bodybullet"/>
        <w:rPr/>
      </w:pPr>
      <w:r>
        <w:rPr>
          <w:rFonts w:eastAsia="Symbol" w:cs="Symbol" w:ascii="Symbol" w:hAnsi="Symbol"/>
        </w:rPr>
        <w:t></w:t>
      </w:r>
      <w:r>
        <w:rPr/>
        <w:tab/>
        <w:t>MESA Field Center Supervisor Checklist</w:t>
      </w:r>
    </w:p>
    <w:p>
      <w:pPr>
        <w:pStyle w:val="Number1bodybullet"/>
        <w:rPr/>
      </w:pPr>
      <w:r>
        <w:rPr>
          <w:rFonts w:eastAsia="Symbol" w:cs="Symbol" w:ascii="Symbol" w:hAnsi="Symbol"/>
        </w:rPr>
        <w:t></w:t>
      </w:r>
      <w:r>
        <w:rPr/>
        <w:tab/>
        <w:t>MESA Field Center Technician Certification Examinations</w:t>
      </w:r>
    </w:p>
    <w:p>
      <w:pPr>
        <w:pStyle w:val="Number1bodybullet"/>
        <w:rPr/>
      </w:pPr>
      <w:r>
        <w:rPr>
          <w:rFonts w:eastAsia="Symbol" w:cs="Symbol" w:ascii="Symbol" w:hAnsi="Symbol"/>
        </w:rPr>
        <w:t></w:t>
      </w:r>
      <w:r>
        <w:rPr/>
        <w:tab/>
        <w:t>MESA Equipment Temperature Logs</w:t>
      </w:r>
    </w:p>
    <w:p>
      <w:pPr>
        <w:pStyle w:val="Number1bodybullet"/>
        <w:rPr/>
      </w:pPr>
      <w:r>
        <w:rPr/>
      </w:r>
    </w:p>
    <w:p>
      <w:pPr>
        <w:pStyle w:val="Number1"/>
        <w:rPr/>
      </w:pPr>
      <w:r>
        <w:rPr>
          <w:b/>
        </w:rPr>
        <w:tab/>
      </w:r>
      <w:r>
        <w:rPr/>
        <w:t>10.</w:t>
        <w:tab/>
      </w:r>
      <w:r>
        <w:rPr>
          <w:u w:val="single"/>
        </w:rPr>
        <w:t>Reagent Descriptions</w:t>
      </w:r>
    </w:p>
    <w:p>
      <w:pPr>
        <w:pStyle w:val="Number11"/>
        <w:rPr/>
      </w:pPr>
      <w:r>
        <w:rPr/>
      </w:r>
    </w:p>
    <w:p>
      <w:pPr>
        <w:pStyle w:val="Number11"/>
        <w:rPr/>
      </w:pPr>
      <w:r>
        <w:rPr/>
        <w:tab/>
        <w:t>10.1</w:t>
        <w:tab/>
        <w:t>Remember to label reagents carefully. Include the date made (PBS) or thawed (freezing media) on the stock solutions.</w:t>
      </w:r>
    </w:p>
    <w:p>
      <w:pPr>
        <w:pStyle w:val="Number11"/>
        <w:rPr/>
      </w:pPr>
      <w:r>
        <w:rPr/>
      </w:r>
    </w:p>
    <w:p>
      <w:pPr>
        <w:pStyle w:val="Number11"/>
        <w:rPr/>
      </w:pPr>
      <w:r>
        <w:rPr/>
        <w:tab/>
        <w:t>10.2</w:t>
        <w:tab/>
      </w:r>
      <w:r>
        <w:rPr>
          <w:b/>
          <w:bCs/>
        </w:rPr>
        <w:t xml:space="preserve">Phosphate Buffered Saline (PBS) </w:t>
      </w:r>
    </w:p>
    <w:p>
      <w:pPr>
        <w:pStyle w:val="Number11"/>
        <w:rPr>
          <w:b/>
          <w:b/>
          <w:bCs/>
        </w:rPr>
      </w:pPr>
      <w:r>
        <w:rPr>
          <w:b/>
          <w:bCs/>
        </w:rPr>
      </w:r>
    </w:p>
    <w:p>
      <w:pPr>
        <w:pStyle w:val="Number11"/>
        <w:rPr/>
      </w:pPr>
      <w:r>
        <w:rPr>
          <w:b/>
          <w:bCs/>
        </w:rPr>
        <w:tab/>
        <w:tab/>
      </w:r>
      <w:r>
        <w:rPr/>
        <w:t>Phosphate tablets are combined with 200 mL of de-ionized water to make the PBS that is used in cell centrifugation. To make PBS, pour 200 mL de-ionized water into a graduated cylinder and add one phosphate tablet. Pour into a reagent bottle, allowing approximately 30 minutes for the tablet to dissolve. This bottle is your stock solution of PBS, which may be refrigerated for no more than five days. After five days discard unused PBS (it is safe to pour down the drain). When PBS is needed, pour off what is needed for the day into the working container and allow it to warm up to room temperature before using (approximately 30 minutes). You will need approximately 28–30 mL per participant.</w:t>
      </w:r>
    </w:p>
    <w:p>
      <w:pPr>
        <w:pStyle w:val="Number11"/>
        <w:rPr>
          <w:sz w:val="22"/>
        </w:rPr>
      </w:pPr>
      <w:r>
        <w:rPr>
          <w:sz w:val="22"/>
        </w:rPr>
      </w:r>
    </w:p>
    <w:p>
      <w:pPr>
        <w:pStyle w:val="Number11"/>
        <w:rPr/>
      </w:pPr>
      <w:r>
        <w:rPr/>
        <w:tab/>
        <w:t>10.3</w:t>
        <w:tab/>
        <w:t>Freezing Media</w:t>
      </w:r>
    </w:p>
    <w:p>
      <w:pPr>
        <w:pStyle w:val="Number11"/>
        <w:rPr/>
      </w:pPr>
      <w:r>
        <w:rPr/>
      </w:r>
    </w:p>
    <w:p>
      <w:pPr>
        <w:pStyle w:val="Number111"/>
        <w:rPr/>
      </w:pPr>
      <w:r>
        <w:rPr/>
        <w:tab/>
        <w:t>10.31</w:t>
        <w:tab/>
        <w:t>Freezing solutions A and B are specially-prepared preservatives for the white cells. The solutions will be shipped frozen, directly from the manufacturer (BioSource International, Inc., BioFluids Division, Rockville, MD). Each bottle contains 50 mL. Store at -20</w:t>
      </w:r>
      <w:r>
        <w:rPr>
          <w:rFonts w:eastAsia="Symbol" w:cs="Symbol" w:ascii="Symbol" w:hAnsi="Symbol"/>
        </w:rPr>
        <w:t></w:t>
      </w:r>
      <w:r>
        <w:rPr/>
        <w:t xml:space="preserve"> C until ready for use. Gently swirl the thawed media to ensure thorough re-suspension of the product. Divide the content of each 50 mL bottle into two 25 mL bottles (or tubes) with screw caps. Clearly label each new bottle with the media type (A or B), the lot number (written on the 50 mL bottle), and date thawed and aliquoted. These 25 mL bottles will be your “stock” solution.</w:t>
      </w:r>
    </w:p>
    <w:p>
      <w:pPr>
        <w:pStyle w:val="Number111"/>
        <w:rPr>
          <w:sz w:val="22"/>
        </w:rPr>
      </w:pPr>
      <w:r>
        <w:rPr>
          <w:sz w:val="22"/>
        </w:rPr>
      </w:r>
    </w:p>
    <w:p>
      <w:pPr>
        <w:pStyle w:val="Number111"/>
        <w:rPr/>
      </w:pPr>
      <w:r>
        <w:rPr/>
        <w:tab/>
        <w:t>10.32</w:t>
        <w:tab/>
        <w:t>Promptly re-freeze all 25 mL bottles (or tubes) at -20</w:t>
      </w:r>
      <w:r>
        <w:rPr>
          <w:rFonts w:eastAsia="Symbol" w:cs="Symbol" w:ascii="Symbol" w:hAnsi="Symbol"/>
        </w:rPr>
        <w:t></w:t>
      </w:r>
      <w:r>
        <w:rPr/>
        <w:t>C, except one each of Freezing Media A and B. Store these two bottles in the refrigerator, where they will remain stable for approximately two weeks.</w:t>
      </w:r>
    </w:p>
    <w:p>
      <w:pPr>
        <w:pStyle w:val="Number111"/>
        <w:rPr/>
      </w:pPr>
      <w:r>
        <w:rPr/>
      </w:r>
    </w:p>
    <w:p>
      <w:pPr>
        <w:pStyle w:val="Number111"/>
        <w:rPr/>
      </w:pPr>
      <w:r>
        <w:rPr/>
        <w:tab/>
        <w:t>10.33</w:t>
        <w:tab/>
        <w:t>The Freezing Media is photosensitive and will deteriorate with prolonged exposure to light. Do not store in a lighted cold room, cooler, etc. The day’s “working” solution containers can be wrapped in foil if other light protective measures are not available.</w:t>
      </w:r>
    </w:p>
    <w:p>
      <w:pPr>
        <w:pStyle w:val="Number111"/>
        <w:rPr>
          <w:b/>
          <w:b/>
          <w:bCs/>
        </w:rPr>
      </w:pPr>
      <w:r>
        <w:rPr>
          <w:b/>
          <w:bCs/>
        </w:rPr>
      </w:r>
    </w:p>
    <w:p>
      <w:pPr>
        <w:pStyle w:val="Number111"/>
        <w:rPr/>
      </w:pPr>
      <w:r>
        <w:rPr>
          <w:b/>
          <w:bCs/>
        </w:rPr>
        <w:tab/>
      </w:r>
      <w:r>
        <w:rPr/>
        <w:t>10.34</w:t>
      </w:r>
      <w:r>
        <w:rPr>
          <w:b/>
          <w:bCs/>
        </w:rPr>
        <w:tab/>
      </w:r>
      <w:r>
        <w:rPr/>
        <w:t>One mL each of Freezing Media A &amp; B will be needed to process the two CP tubes for each participant. Each morning remove the volume of freezing media needed to process that day’s samples from the refrigerated 25 mL bottle. Keep the day’s “working” solutions for both A and B on ice or in the refrigerator. According to the manufacturer, it is important to swirl the freezing media before pipetting.</w:t>
      </w:r>
    </w:p>
    <w:p>
      <w:pPr>
        <w:pStyle w:val="Number111"/>
        <w:rPr>
          <w:bCs/>
        </w:rPr>
      </w:pPr>
      <w:r>
        <w:rPr>
          <w:bCs/>
        </w:rPr>
      </w:r>
    </w:p>
    <w:p>
      <w:pPr>
        <w:pStyle w:val="Number111"/>
        <w:rPr/>
      </w:pPr>
      <w:r>
        <w:rPr/>
        <w:tab/>
        <w:t>10.35</w:t>
        <w:tab/>
        <w:t>At the end of the day, any unused portion of the Freezing Media from the day’s “working” solution container may be refrigerated.  Do not add the unused portion back to the current stock bottle.   Do not use a “working” solution for more than two days.</w:t>
      </w:r>
    </w:p>
    <w:p>
      <w:pPr>
        <w:pStyle w:val="Number111"/>
        <w:rPr/>
      </w:pPr>
      <w:r>
        <w:rPr/>
      </w:r>
    </w:p>
    <w:p>
      <w:pPr>
        <w:pStyle w:val="Number111"/>
        <w:rPr/>
      </w:pPr>
      <w:r>
        <w:rPr/>
        <w:tab/>
        <w:t>10.36</w:t>
        <w:tab/>
        <w:t>As the volume of the refrigerated “stock” solution starts to get low, remember  to allow time to thaw a new 25 mL aliquoted bottle (or a new 50 mL original bottle) overnight in the refrigerator. If there is any unused Freezing Media remaining in the 25mL bottle that has reached it’s maximum two-week refrigerated storage life, discard it.</w:t>
      </w:r>
    </w:p>
    <w:p>
      <w:pPr>
        <w:pStyle w:val="Number11"/>
        <w:rPr/>
      </w:pPr>
      <w:r>
        <w:rPr/>
      </w:r>
    </w:p>
    <w:p>
      <w:pPr>
        <w:pStyle w:val="Number11"/>
        <w:rPr/>
      </w:pPr>
      <w:r>
        <w:rPr/>
        <w:tab/>
        <w:t>10.4</w:t>
        <w:tab/>
      </w:r>
      <w:r>
        <w:rPr>
          <w:b/>
          <w:bCs/>
        </w:rPr>
        <w:t>ACD Solution</w:t>
      </w:r>
    </w:p>
    <w:p>
      <w:pPr>
        <w:pStyle w:val="Number11"/>
        <w:rPr>
          <w:b/>
          <w:b/>
          <w:bCs/>
        </w:rPr>
      </w:pPr>
      <w:r>
        <w:rPr>
          <w:b/>
          <w:bCs/>
        </w:rPr>
      </w:r>
    </w:p>
    <w:p>
      <w:pPr>
        <w:pStyle w:val="Number111"/>
        <w:rPr/>
      </w:pPr>
      <w:r>
        <w:rPr>
          <w:b/>
          <w:bCs/>
        </w:rPr>
        <w:tab/>
      </w:r>
      <w:r>
        <w:rPr/>
        <w:t>10.41</w:t>
        <w:tab/>
        <w:t>Dextran preservative solution, which is provided by CBAL, is added to the EDTA packed red blood cells in cryovial 19. The solution, which must be refrigerated, will last for at least one year.</w:t>
      </w:r>
    </w:p>
    <w:p>
      <w:pPr>
        <w:pStyle w:val="Number111"/>
        <w:rPr/>
      </w:pPr>
      <w:r>
        <w:rPr/>
      </w:r>
    </w:p>
    <w:p>
      <w:pPr>
        <w:sectPr>
          <w:headerReference w:type="even" r:id="rId132"/>
          <w:headerReference w:type="default" r:id="rId133"/>
          <w:footerReference w:type="even" r:id="rId134"/>
          <w:footerReference w:type="default" r:id="rId135"/>
          <w:type w:val="oddPage"/>
          <w:pgSz w:w="12240" w:h="15840"/>
          <w:pgMar w:left="2880" w:right="1080" w:gutter="0" w:header="720" w:top="1440" w:footer="720" w:bottom="1440"/>
          <w:pgNumType w:fmt="decimal"/>
          <w:formProt w:val="false"/>
          <w:textDirection w:val="lrTb"/>
          <w:docGrid w:type="default" w:linePitch="360" w:charSpace="0"/>
        </w:sectPr>
        <w:pStyle w:val="Number111"/>
        <w:rPr>
          <w:sz w:val="36"/>
        </w:rPr>
      </w:pPr>
      <w:r>
        <w:rPr/>
        <w:tab/>
        <w:t>10.42</w:t>
        <w:tab/>
        <w:t xml:space="preserve">Transfer the approximate volume needed (3-4 mL per participant) for the day’s work into a separate container. Keep this “working” solution on ice or in the refrigerator during the day. </w:t>
      </w:r>
    </w:p>
    <w:p>
      <w:pPr>
        <w:pStyle w:val="Subsectionheading"/>
        <w:rPr/>
      </w:pPr>
      <w:bookmarkStart w:id="32" w:name="__RefHeading___Toc503858988"/>
      <w:bookmarkEnd w:id="32"/>
      <w:r>
        <w:rPr/>
        <w:t>3.8  Ultrasound</w:t>
      </w:r>
    </w:p>
    <w:p>
      <w:pPr>
        <w:pStyle w:val="Normal"/>
        <w:rPr>
          <w:b/>
          <w:b/>
          <w:sz w:val="28"/>
        </w:rPr>
      </w:pPr>
      <w:r>
        <w:rPr>
          <w:b/>
          <w:sz w:val="28"/>
        </w:rPr>
      </w:r>
    </w:p>
    <w:p>
      <w:pPr>
        <w:pStyle w:val="Normal"/>
        <w:rPr>
          <w:b/>
          <w:b/>
          <w:sz w:val="28"/>
        </w:rPr>
      </w:pPr>
      <w:r>
        <w:rPr>
          <w:b/>
          <w:sz w:val="28"/>
        </w:rPr>
      </w:r>
    </w:p>
    <w:p>
      <w:pPr>
        <w:pStyle w:val="Heading2"/>
        <w:rPr>
          <w:b/>
          <w:b/>
          <w:bCs/>
        </w:rPr>
      </w:pPr>
      <w:r>
        <w:rPr>
          <w:b/>
          <w:bCs/>
        </w:rPr>
        <w:t>MESA Ultrasound Reading Center Procedures</w:t>
      </w:r>
    </w:p>
    <w:p>
      <w:pPr>
        <w:pStyle w:val="Normal"/>
        <w:rPr>
          <w:b/>
          <w:b/>
          <w:bCs/>
        </w:rPr>
      </w:pPr>
      <w:r>
        <w:rPr>
          <w:b/>
          <w:bCs/>
        </w:rPr>
      </w:r>
    </w:p>
    <w:p>
      <w:pPr>
        <w:pStyle w:val="Normal"/>
        <w:rPr/>
      </w:pPr>
      <w:r>
        <w:rPr/>
        <w:t>The MESA Ultrasound Reading Center is responsible for four protocols—three ultrasound and the arterial pulse wave. The ultrasound protocols are</w:t>
      </w:r>
    </w:p>
    <w:p>
      <w:pPr>
        <w:pStyle w:val="Normal"/>
        <w:rPr/>
      </w:pPr>
      <w:r>
        <w:rPr/>
      </w:r>
    </w:p>
    <w:p>
      <w:pPr>
        <w:pStyle w:val="Normal"/>
        <w:tabs>
          <w:tab w:val="clear" w:pos="720"/>
          <w:tab w:val="right" w:pos="270" w:leader="none"/>
        </w:tabs>
        <w:ind w:left="450" w:hanging="450"/>
        <w:rPr/>
      </w:pPr>
      <w:r>
        <w:rPr/>
        <w:tab/>
      </w:r>
      <w:r>
        <w:rPr>
          <w:rFonts w:eastAsia="Symbol" w:cs="Symbol" w:ascii="Symbol" w:hAnsi="Symbol"/>
        </w:rPr>
        <w:t></w:t>
      </w:r>
      <w:r>
        <w:rPr/>
        <w:tab/>
        <w:t>Brachial Artery Vasodilatation-Endothelial Function</w:t>
      </w:r>
    </w:p>
    <w:p>
      <w:pPr>
        <w:pStyle w:val="Normal"/>
        <w:tabs>
          <w:tab w:val="clear" w:pos="720"/>
          <w:tab w:val="right" w:pos="270" w:leader="none"/>
        </w:tabs>
        <w:ind w:left="450" w:hanging="450"/>
        <w:rPr/>
      </w:pPr>
      <w:r>
        <w:rPr/>
        <w:tab/>
      </w:r>
      <w:r>
        <w:rPr>
          <w:rFonts w:eastAsia="Symbol" w:cs="Symbol" w:ascii="Symbol" w:hAnsi="Symbol"/>
        </w:rPr>
        <w:t></w:t>
      </w:r>
      <w:r>
        <w:rPr/>
        <w:tab/>
        <w:t>Carotid Distensibility</w:t>
      </w:r>
    </w:p>
    <w:p>
      <w:pPr>
        <w:pStyle w:val="Normal"/>
        <w:tabs>
          <w:tab w:val="clear" w:pos="720"/>
          <w:tab w:val="right" w:pos="270" w:leader="none"/>
        </w:tabs>
        <w:ind w:left="450" w:hanging="450"/>
        <w:rPr/>
      </w:pPr>
      <w:r>
        <w:rPr/>
        <w:tab/>
      </w:r>
      <w:r>
        <w:rPr>
          <w:rFonts w:eastAsia="Symbol" w:cs="Symbol" w:ascii="Symbol" w:hAnsi="Symbol"/>
        </w:rPr>
        <w:t></w:t>
      </w:r>
      <w:r>
        <w:rPr/>
        <w:tab/>
        <w:t>Carotid IMT.</w:t>
      </w:r>
    </w:p>
    <w:p>
      <w:pPr>
        <w:pStyle w:val="Normal"/>
        <w:rPr/>
      </w:pPr>
      <w:r>
        <w:rPr/>
      </w:r>
    </w:p>
    <w:p>
      <w:pPr>
        <w:pStyle w:val="Heading2"/>
        <w:rPr>
          <w:b/>
          <w:b/>
          <w:bCs/>
        </w:rPr>
      </w:pPr>
      <w:r>
        <w:rPr>
          <w:b/>
          <w:bCs/>
        </w:rPr>
        <w:t>Standardization and Probe Frequency</w:t>
      </w:r>
    </w:p>
    <w:p>
      <w:pPr>
        <w:pStyle w:val="Normal"/>
        <w:rPr>
          <w:b/>
          <w:b/>
          <w:bCs/>
        </w:rPr>
      </w:pPr>
      <w:r>
        <w:rPr>
          <w:b/>
          <w:bCs/>
        </w:rPr>
      </w:r>
    </w:p>
    <w:p>
      <w:pPr>
        <w:pStyle w:val="Normal"/>
        <w:rPr/>
      </w:pPr>
      <w:r>
        <w:rPr/>
        <w:t>MESA ultrasound scans will all be performed with GE Logiq 700 ultrasound machines using ML probes. The probe operates at two different frequencies: 9 and 13 MHz. Images of the brachial artery and common carotid are captured at 9 MHz, and the internal carotid images are captured at 13 MHz. Pulse Wave Doppler measures are not affected by the probe frequency setting. When making Pulse Wave Doppler measurements, the probe frequency can remain set at the frequency that makes the execution of the protocol most efficient.</w:t>
      </w:r>
    </w:p>
    <w:p>
      <w:pPr>
        <w:pStyle w:val="Normal"/>
        <w:rPr/>
      </w:pPr>
      <w:r>
        <w:rPr/>
      </w:r>
    </w:p>
    <w:p>
      <w:pPr>
        <w:pStyle w:val="Heading2"/>
        <w:rPr>
          <w:b/>
          <w:b/>
          <w:bCs/>
        </w:rPr>
      </w:pPr>
      <w:r>
        <w:rPr>
          <w:b/>
          <w:bCs/>
        </w:rPr>
        <w:t xml:space="preserve">Data Transmission </w:t>
      </w:r>
    </w:p>
    <w:p>
      <w:pPr>
        <w:pStyle w:val="Normal"/>
        <w:rPr>
          <w:b/>
          <w:b/>
          <w:bCs/>
        </w:rPr>
      </w:pPr>
      <w:r>
        <w:rPr>
          <w:b/>
          <w:bCs/>
        </w:rPr>
      </w:r>
    </w:p>
    <w:p>
      <w:pPr>
        <w:pStyle w:val="Normal"/>
        <w:rPr/>
      </w:pPr>
      <w:r>
        <w:rPr/>
        <w:t>Ultrasound scans are recorded to Super VHS videotape and sent to the Ultrasound Reading Center for analysis. Field Centers send tapes to the Reading Center every Thursday. Two separate tapes are used, one for both Brachial Artery Endothelial Function and Carotid Distensibility scans and the other for Carotid IMT scans. The separate tapes are used, because Endothelial Function and Carotid Distensibility analysis involves the capture of video loops, whereas Carotid IMT analysis involves static images. Since the Brachial Artery Endothelial Function and the carotid scanning are done at separate clinical sites at Columbia University (MESA Field Center 4) this field center uses three separated videotapes.</w:t>
      </w:r>
    </w:p>
    <w:p>
      <w:pPr>
        <w:pStyle w:val="Heading3"/>
        <w:rPr/>
      </w:pPr>
      <w:r>
        <w:rPr/>
      </w:r>
    </w:p>
    <w:p>
      <w:pPr>
        <w:pStyle w:val="Heading3"/>
        <w:rPr>
          <w:b/>
          <w:b/>
          <w:u w:val="none"/>
        </w:rPr>
      </w:pPr>
      <w:r>
        <w:rPr>
          <w:b/>
          <w:u w:val="none"/>
        </w:rPr>
        <w:t>Suggested Order of Exams</w:t>
      </w:r>
    </w:p>
    <w:p>
      <w:pPr>
        <w:pStyle w:val="Normal"/>
        <w:rPr>
          <w:b/>
          <w:b/>
          <w:u w:val="none"/>
        </w:rPr>
      </w:pPr>
      <w:r>
        <w:rPr>
          <w:b/>
          <w:u w:val="none"/>
        </w:rPr>
      </w:r>
    </w:p>
    <w:p>
      <w:pPr>
        <w:pStyle w:val="Normal"/>
        <w:rPr/>
      </w:pPr>
      <w:r>
        <w:rPr/>
        <w:t>Because of dietary constraints imposed by the Brachial Artery Endothelial Function exam, and in the interest of minimizing MESA participant burden, the URC suggests that the ultrasound protocols be performed in the following order:</w:t>
      </w:r>
    </w:p>
    <w:p>
      <w:pPr>
        <w:pStyle w:val="Normal"/>
        <w:tabs>
          <w:tab w:val="clear" w:pos="720"/>
          <w:tab w:val="right" w:pos="270" w:leader="none"/>
        </w:tabs>
        <w:ind w:left="450" w:hanging="450"/>
        <w:rPr/>
      </w:pPr>
      <w:r>
        <w:rPr/>
      </w:r>
    </w:p>
    <w:p>
      <w:pPr>
        <w:pStyle w:val="Normal"/>
        <w:numPr>
          <w:ilvl w:val="0"/>
          <w:numId w:val="2"/>
        </w:numPr>
        <w:tabs>
          <w:tab w:val="clear" w:pos="720"/>
          <w:tab w:val="right" w:pos="270" w:leader="none"/>
          <w:tab w:val="right" w:pos="1080" w:leader="none"/>
        </w:tabs>
        <w:ind w:left="450" w:hanging="450"/>
        <w:rPr/>
      </w:pPr>
      <w:r>
        <w:rPr/>
        <w:t xml:space="preserve">Brachial Artery Vasodilatation-Endothelial Function </w:t>
      </w:r>
    </w:p>
    <w:p>
      <w:pPr>
        <w:pStyle w:val="Normal"/>
        <w:numPr>
          <w:ilvl w:val="0"/>
          <w:numId w:val="2"/>
        </w:numPr>
        <w:tabs>
          <w:tab w:val="clear" w:pos="720"/>
          <w:tab w:val="right" w:pos="270" w:leader="none"/>
          <w:tab w:val="right" w:pos="1080" w:leader="none"/>
        </w:tabs>
        <w:ind w:left="450" w:hanging="450"/>
        <w:rPr/>
      </w:pPr>
      <w:r>
        <w:rPr/>
        <w:t>Carotid Distensibility</w:t>
      </w:r>
    </w:p>
    <w:p>
      <w:pPr>
        <w:pStyle w:val="Normal"/>
        <w:numPr>
          <w:ilvl w:val="0"/>
          <w:numId w:val="2"/>
        </w:numPr>
        <w:tabs>
          <w:tab w:val="clear" w:pos="720"/>
          <w:tab w:val="right" w:pos="270" w:leader="none"/>
          <w:tab w:val="right" w:pos="1080" w:leader="none"/>
        </w:tabs>
        <w:ind w:left="450" w:hanging="450"/>
        <w:rPr/>
      </w:pPr>
      <w:r>
        <w:rPr/>
        <w:t>Carotid IMT</w:t>
      </w:r>
    </w:p>
    <w:p>
      <w:pPr>
        <w:pStyle w:val="Normal"/>
        <w:numPr>
          <w:ilvl w:val="0"/>
          <w:numId w:val="2"/>
        </w:numPr>
        <w:tabs>
          <w:tab w:val="clear" w:pos="720"/>
          <w:tab w:val="right" w:pos="270" w:leader="none"/>
          <w:tab w:val="right" w:pos="1080" w:leader="none"/>
        </w:tabs>
        <w:ind w:left="450" w:hanging="450"/>
        <w:rPr/>
      </w:pPr>
      <w:r>
        <w:rPr/>
        <w:t>Arterial Pulse Wave</w:t>
      </w:r>
    </w:p>
    <w:p>
      <w:pPr>
        <w:pStyle w:val="Normal"/>
        <w:rPr/>
      </w:pPr>
      <w:r>
        <w:rPr/>
      </w:r>
    </w:p>
    <w:p>
      <w:pPr>
        <w:pStyle w:val="TextBody"/>
        <w:rPr/>
      </w:pPr>
      <w:r>
        <w:rPr/>
        <w:t>Conducting the scans in this order will permit the participant to have a snack as soon as the Brachial Artery Endothelial Function exam is complete and will permit the sonographer to skip a baseline blood pressure measurement in the Carotid Distensibility protocol. When Brachial Artery Endothelial Function is immediately followed by Carotid Distensibility, the sonographer can transcribe the blood pressure measures from Item #15 on the Ultrasound Endothelial Function form to Item #3 of the Ultrasound Distensibility form.</w:t>
      </w:r>
    </w:p>
    <w:p>
      <w:pPr>
        <w:pStyle w:val="TextBody"/>
        <w:rPr>
          <w:sz w:val="24"/>
        </w:rPr>
      </w:pPr>
      <w:r>
        <w:rPr>
          <w:sz w:val="24"/>
        </w:rPr>
      </w:r>
    </w:p>
    <w:p>
      <w:pPr>
        <w:pStyle w:val="Normal"/>
        <w:rPr>
          <w:b/>
          <w:b/>
        </w:rPr>
      </w:pPr>
      <w:r>
        <w:rPr>
          <w:b/>
        </w:rPr>
        <w:t>Forms</w:t>
      </w:r>
    </w:p>
    <w:p>
      <w:pPr>
        <w:pStyle w:val="Normal"/>
        <w:rPr>
          <w:b/>
          <w:b/>
        </w:rPr>
      </w:pPr>
      <w:r>
        <w:rPr>
          <w:b/>
        </w:rPr>
      </w:r>
    </w:p>
    <w:p>
      <w:pPr>
        <w:pStyle w:val="Normal"/>
        <w:rPr/>
      </w:pPr>
      <w:r>
        <w:rPr/>
        <w:t>There are six different forms that the MESA sonographers will be using. Two are videotape log sheets, and the other four are protocol specific—one for each of the MESA Ultrasound protocols.</w:t>
      </w:r>
    </w:p>
    <w:p>
      <w:pPr>
        <w:pStyle w:val="Contents1"/>
        <w:rPr/>
      </w:pPr>
      <w:r>
        <w:rPr/>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u w:val="single"/>
        </w:rPr>
      </w:pPr>
      <w:r>
        <w:rPr>
          <w:u w:val="single"/>
        </w:rPr>
        <w:t>Log sheets</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Carotid IMT Videotape Log Sheet</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Brachial Artery Endothelial Function and Carotid Distensibility Videotape Log Sheet</w:t>
      </w:r>
    </w:p>
    <w:p>
      <w:pPr>
        <w:pStyle w:val="Normal"/>
        <w:tabs>
          <w:tab w:val="clear" w:pos="720"/>
          <w:tab w:val="right" w:pos="270" w:leader="none"/>
        </w:tabs>
        <w:ind w:left="450" w:hanging="450"/>
        <w:rPr/>
      </w:pPr>
      <w:r>
        <w:rPr/>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u w:val="single"/>
        </w:rPr>
      </w:pPr>
      <w:r>
        <w:rPr>
          <w:u w:val="single"/>
        </w:rPr>
        <w:t>MESA Case Report Forms</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Ultrasound Endothelial Function</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 xml:space="preserve">MESA Ultrasound Distensibility </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Ultrasound IMT</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Arterial Pulse Wave</w:t>
      </w:r>
    </w:p>
    <w:p>
      <w:pPr>
        <w:pStyle w:val="Normal"/>
        <w:ind w:left="360" w:hanging="0"/>
        <w:rPr/>
      </w:pPr>
      <w:r>
        <w:rPr/>
      </w:r>
    </w:p>
    <w:p>
      <w:pPr>
        <w:pStyle w:val="BodyText2"/>
        <w:rPr>
          <w:b/>
          <w:b/>
        </w:rPr>
      </w:pPr>
      <w:r>
        <w:rPr>
          <w:b/>
        </w:rPr>
        <w:t>A videotape log sheet, which can consist of more than one page, is the reader’s guide to the scans that are recorded on the videotape. It is sent to the Ultrasound Reading Center with the videotape. Photocopy the log sheets before sending them.</w:t>
      </w:r>
    </w:p>
    <w:p>
      <w:pPr>
        <w:pStyle w:val="Normal"/>
        <w:rPr>
          <w:b/>
          <w:b/>
        </w:rPr>
      </w:pPr>
      <w:r>
        <w:rPr>
          <w:b/>
        </w:rPr>
      </w:r>
    </w:p>
    <w:p>
      <w:pPr>
        <w:pStyle w:val="Normal"/>
        <w:rPr>
          <w:b/>
          <w:b/>
        </w:rPr>
      </w:pPr>
      <w:r>
        <w:rPr/>
        <w:t xml:space="preserve">MESA ultrasound protocol-specific forms are completed for each participant for each protocol. These forms are scanned into the MESA database at the field center. Do not send these forms to the Ultrasound Reading Center. </w:t>
      </w:r>
    </w:p>
    <w:p>
      <w:pPr>
        <w:pStyle w:val="Normal"/>
        <w:rPr>
          <w:b/>
          <w:b/>
        </w:rPr>
      </w:pPr>
      <w:r>
        <w:rPr>
          <w:b/>
        </w:rPr>
      </w:r>
    </w:p>
    <w:p>
      <w:pPr>
        <w:pStyle w:val="Normal"/>
        <w:rPr>
          <w:b/>
          <w:b/>
        </w:rPr>
      </w:pPr>
      <w:r>
        <w:rPr>
          <w:b/>
        </w:rPr>
        <w:t>Ultrasound Videotape Log Sheets and Labels</w:t>
      </w:r>
    </w:p>
    <w:p>
      <w:pPr>
        <w:pStyle w:val="Normal"/>
        <w:rPr>
          <w:b/>
          <w:b/>
        </w:rPr>
      </w:pPr>
      <w:r>
        <w:rPr>
          <w:b/>
        </w:rPr>
      </w:r>
    </w:p>
    <w:p>
      <w:pPr>
        <w:pStyle w:val="TextBody"/>
        <w:rPr/>
      </w:pPr>
      <w:r>
        <w:rPr/>
        <w:t>A videotape log sheet is to a MESA ultrasound videotape what a table of contents is to a book. Just as it is impossible to find out what is in a book without a table of contents, it is also impossible to determine what is on the tape and to analyze it without a log sheet. The process is simply much more efficient with the log sheet.</w:t>
      </w:r>
    </w:p>
    <w:p>
      <w:pPr>
        <w:pStyle w:val="TextBody"/>
        <w:rPr/>
      </w:pPr>
      <w:r>
        <w:rPr/>
      </w:r>
    </w:p>
    <w:p>
      <w:pPr>
        <w:pStyle w:val="TextBody"/>
        <w:rPr/>
      </w:pPr>
      <w:r>
        <w:rPr/>
        <w:t xml:space="preserve">Matching numbered labels for both the log sheets and videotapes have been provided to facilitate the long-term organization of MESA ultrasound data. A new log sheet is started for each new videotape. Label each new videotape and log sheet with matching labels before scanning. If more than 10 participants will be recorded on videotape, attach a second page and continue. </w:t>
      </w:r>
    </w:p>
    <w:p>
      <w:pPr>
        <w:pStyle w:val="Normal"/>
        <w:rPr/>
      </w:pPr>
      <w:r>
        <w:rPr/>
      </w:r>
    </w:p>
    <w:p>
      <w:pPr>
        <w:pStyle w:val="TextBody"/>
        <w:rPr/>
      </w:pPr>
      <w:r>
        <w:rPr/>
        <w:t>Though most of the entries to the Videotape Log Sheet are self-explanatory, take the time to review the details below. It is important to check subject IDs and to write legibly. Transposition errors can be difficult to catch after the participant has left the scanning area.</w:t>
      </w:r>
    </w:p>
    <w:p>
      <w:pPr>
        <w:pStyle w:val="TextBody"/>
        <w:rPr/>
      </w:pPr>
      <w:r>
        <w:rPr/>
      </w:r>
    </w:p>
    <w:p>
      <w:pPr>
        <w:pStyle w:val="TextBody"/>
        <w:rPr>
          <w:b/>
          <w:b/>
        </w:rPr>
      </w:pPr>
      <w:r>
        <w:rPr>
          <w:b/>
        </w:rPr>
        <w:t>VCR Start Time</w:t>
      </w:r>
    </w:p>
    <w:p>
      <w:pPr>
        <w:pStyle w:val="TextBody"/>
        <w:rPr>
          <w:b/>
          <w:b/>
        </w:rPr>
      </w:pPr>
      <w:r>
        <w:rPr>
          <w:b/>
        </w:rPr>
      </w:r>
    </w:p>
    <w:p>
      <w:pPr>
        <w:pStyle w:val="TextBody"/>
        <w:rPr/>
      </w:pPr>
      <w:r>
        <w:rPr/>
        <w:t>The one item on the log sheet that can cause confusion is the “VCR Start Time.” The “VCR Start Time” recorded on the log sheet is analogous to the page numbers in a table of contents. Without the “VCR Start Time,” finding a study on a videotape can be very difficult and time consuming.</w:t>
      </w:r>
    </w:p>
    <w:p>
      <w:pPr>
        <w:pStyle w:val="Normal"/>
        <w:rPr/>
      </w:pPr>
      <w:r>
        <w:rPr/>
      </w:r>
    </w:p>
    <w:p>
      <w:pPr>
        <w:pStyle w:val="Heading3"/>
        <w:rPr>
          <w:b/>
          <w:b/>
        </w:rPr>
      </w:pPr>
      <w:r>
        <w:rPr>
          <w:b/>
        </w:rPr>
        <w:t xml:space="preserve">General Guidelines for “VCR Start Time” </w:t>
      </w:r>
    </w:p>
    <w:p>
      <w:pPr>
        <w:pStyle w:val="Normal"/>
        <w:rPr>
          <w:b/>
          <w:b/>
        </w:rPr>
      </w:pPr>
      <w:r>
        <w:rPr>
          <w:b/>
        </w:rPr>
      </w:r>
    </w:p>
    <w:p>
      <w:pPr>
        <w:pStyle w:val="Normal"/>
        <w:numPr>
          <w:ilvl w:val="0"/>
          <w:numId w:val="12"/>
        </w:numPr>
        <w:rPr/>
      </w:pPr>
      <w:r>
        <w:rPr/>
        <w:t>Start each new tape with the counter set at 0:00</w:t>
      </w:r>
    </w:p>
    <w:p>
      <w:pPr>
        <w:pStyle w:val="Normal"/>
        <w:rPr/>
      </w:pPr>
      <w:r>
        <w:rPr/>
      </w:r>
    </w:p>
    <w:p>
      <w:pPr>
        <w:pStyle w:val="Normal"/>
        <w:numPr>
          <w:ilvl w:val="0"/>
          <w:numId w:val="12"/>
        </w:numPr>
        <w:rPr/>
      </w:pPr>
      <w:r>
        <w:rPr/>
        <w:t>At the end of each study mark down the VCR counter time of the study just completed as the "VCR Start Time" for the next study on the log sheet.</w:t>
      </w:r>
    </w:p>
    <w:p>
      <w:pPr>
        <w:pStyle w:val="Normal"/>
        <w:rPr/>
      </w:pPr>
      <w:r>
        <w:rPr/>
      </w:r>
    </w:p>
    <w:p>
      <w:pPr>
        <w:pStyle w:val="Normal"/>
        <w:numPr>
          <w:ilvl w:val="0"/>
          <w:numId w:val="12"/>
        </w:numPr>
        <w:rPr/>
      </w:pPr>
      <w:r>
        <w:rPr/>
        <w:t>If the next scan is immediately consecutive and on the same videotape, great. Start the next scan and when it is complete, mark down the VCR counter time as the "VCR Start Time" for the next study.</w:t>
      </w:r>
    </w:p>
    <w:p>
      <w:pPr>
        <w:pStyle w:val="Normal"/>
        <w:rPr/>
      </w:pPr>
      <w:r>
        <w:rPr/>
      </w:r>
    </w:p>
    <w:p>
      <w:pPr>
        <w:pStyle w:val="Normal"/>
        <w:numPr>
          <w:ilvl w:val="0"/>
          <w:numId w:val="12"/>
        </w:numPr>
        <w:rPr/>
      </w:pPr>
      <w:r>
        <w:rPr/>
        <w:t>If the scans are not consecutive, there are two options:</w:t>
      </w:r>
    </w:p>
    <w:p>
      <w:pPr>
        <w:pStyle w:val="Normal"/>
        <w:rPr/>
      </w:pPr>
      <w:r>
        <w:rPr/>
      </w:r>
    </w:p>
    <w:p>
      <w:pPr>
        <w:pStyle w:val="Normal"/>
        <w:ind w:left="360" w:hanging="0"/>
        <w:rPr/>
      </w:pPr>
      <w:r>
        <w:rPr>
          <w:b/>
        </w:rPr>
        <w:t>Option A</w:t>
      </w:r>
      <w:r>
        <w:rPr/>
        <w:t xml:space="preserve"> (more efficient)</w:t>
      </w:r>
    </w:p>
    <w:p>
      <w:pPr>
        <w:pStyle w:val="Normal"/>
        <w:tabs>
          <w:tab w:val="clear" w:pos="720"/>
          <w:tab w:val="right" w:pos="540" w:leader="none"/>
        </w:tabs>
        <w:ind w:left="720" w:hanging="720"/>
        <w:rPr/>
      </w:pPr>
      <w:r>
        <w:rPr/>
        <w:tab/>
        <w:t>1.</w:t>
        <w:tab/>
        <w:t>Don't rewind the videotape, or, if you have reviewed, have it queued up (ready) at the end of the last recorded scan.</w:t>
      </w:r>
    </w:p>
    <w:p>
      <w:pPr>
        <w:pStyle w:val="Normal"/>
        <w:tabs>
          <w:tab w:val="clear" w:pos="720"/>
          <w:tab w:val="right" w:pos="540" w:leader="none"/>
        </w:tabs>
        <w:ind w:left="720" w:hanging="720"/>
        <w:rPr/>
      </w:pPr>
      <w:r>
        <w:rPr/>
        <w:tab/>
        <w:t>2.</w:t>
        <w:tab/>
        <w:t xml:space="preserve">Re-set the VCR counter to 0:00. </w:t>
      </w:r>
    </w:p>
    <w:p>
      <w:pPr>
        <w:pStyle w:val="Normal"/>
        <w:tabs>
          <w:tab w:val="clear" w:pos="720"/>
          <w:tab w:val="right" w:pos="540" w:leader="none"/>
        </w:tabs>
        <w:ind w:left="720" w:hanging="720"/>
        <w:rPr/>
      </w:pPr>
      <w:r>
        <w:rPr/>
        <w:tab/>
        <w:t>3.</w:t>
        <w:tab/>
        <w:t xml:space="preserve">Videotape the new study. </w:t>
      </w:r>
    </w:p>
    <w:p>
      <w:pPr>
        <w:pStyle w:val="Normal"/>
        <w:tabs>
          <w:tab w:val="clear" w:pos="720"/>
          <w:tab w:val="right" w:pos="540" w:leader="none"/>
        </w:tabs>
        <w:ind w:left="720" w:hanging="720"/>
        <w:rPr/>
      </w:pPr>
      <w:r>
        <w:rPr/>
        <w:tab/>
        <w:t>4.</w:t>
        <w:tab/>
        <w:t>When the scan is completed, jot down the time displayed on the VCR counter. Add it to the “VCR Start Time” of the scan just completed.</w:t>
      </w:r>
    </w:p>
    <w:p>
      <w:pPr>
        <w:pStyle w:val="Normal"/>
        <w:tabs>
          <w:tab w:val="clear" w:pos="720"/>
          <w:tab w:val="right" w:pos="540" w:leader="none"/>
        </w:tabs>
        <w:ind w:left="720" w:hanging="720"/>
        <w:rPr/>
      </w:pPr>
      <w:r>
        <w:rPr/>
        <w:tab/>
        <w:t>5.</w:t>
        <w:tab/>
        <w:t>Write the result in the “VCR Start Time” space of the next scan.</w:t>
      </w:r>
    </w:p>
    <w:p>
      <w:pPr>
        <w:pStyle w:val="Normal"/>
        <w:ind w:left="720" w:hanging="0"/>
        <w:rPr/>
      </w:pPr>
      <w:r>
        <w:rPr/>
      </w:r>
    </w:p>
    <w:p>
      <w:pPr>
        <w:pStyle w:val="TextBodyIndent"/>
        <w:tabs>
          <w:tab w:val="clear" w:pos="360"/>
          <w:tab w:val="right" w:pos="540" w:leader="none"/>
        </w:tabs>
        <w:ind w:left="720" w:hanging="720"/>
        <w:rPr/>
      </w:pPr>
      <w:r>
        <w:rPr>
          <w:b/>
        </w:rPr>
        <w:t>Option B</w:t>
      </w:r>
      <w:r>
        <w:rPr/>
        <w:t xml:space="preserve"> </w:t>
      </w:r>
    </w:p>
    <w:p>
      <w:pPr>
        <w:pStyle w:val="TextBodyIndent"/>
        <w:tabs>
          <w:tab w:val="clear" w:pos="360"/>
          <w:tab w:val="right" w:pos="540" w:leader="none"/>
        </w:tabs>
        <w:ind w:left="720" w:hanging="720"/>
        <w:rPr/>
      </w:pPr>
      <w:r>
        <w:rPr/>
        <w:tab/>
        <w:t>1.</w:t>
        <w:tab/>
        <w:t>Rewind the tape</w:t>
      </w:r>
    </w:p>
    <w:p>
      <w:pPr>
        <w:pStyle w:val="TextBodyIndent"/>
        <w:tabs>
          <w:tab w:val="clear" w:pos="360"/>
          <w:tab w:val="right" w:pos="540" w:leader="none"/>
        </w:tabs>
        <w:ind w:left="720" w:hanging="720"/>
        <w:rPr/>
      </w:pPr>
      <w:r>
        <w:rPr/>
        <w:tab/>
        <w:t>2.</w:t>
        <w:tab/>
        <w:t xml:space="preserve">Reset the VCR Counter to 0:00. </w:t>
      </w:r>
    </w:p>
    <w:p>
      <w:pPr>
        <w:pStyle w:val="TextBodyIndent"/>
        <w:tabs>
          <w:tab w:val="clear" w:pos="360"/>
          <w:tab w:val="right" w:pos="540" w:leader="none"/>
        </w:tabs>
        <w:ind w:left="720" w:hanging="720"/>
        <w:rPr/>
      </w:pPr>
      <w:r>
        <w:rPr/>
        <w:tab/>
        <w:t>3.</w:t>
        <w:tab/>
        <w:t xml:space="preserve">Fast-forward to the end of the last study. </w:t>
      </w:r>
    </w:p>
    <w:p>
      <w:pPr>
        <w:pStyle w:val="TextBodyIndent"/>
        <w:tabs>
          <w:tab w:val="clear" w:pos="360"/>
          <w:tab w:val="right" w:pos="540" w:leader="none"/>
        </w:tabs>
        <w:ind w:left="720" w:hanging="720"/>
        <w:rPr/>
      </w:pPr>
      <w:r>
        <w:rPr/>
        <w:tab/>
        <w:t>4.</w:t>
        <w:tab/>
        <w:t xml:space="preserve">The VCR counter should now display at time within seconds of the time written in as the "VCR Start Time" on the log sheet. </w:t>
      </w:r>
    </w:p>
    <w:p>
      <w:pPr>
        <w:pStyle w:val="TextBodyIndent"/>
        <w:tabs>
          <w:tab w:val="clear" w:pos="360"/>
          <w:tab w:val="right" w:pos="540" w:leader="none"/>
        </w:tabs>
        <w:ind w:left="720" w:hanging="720"/>
        <w:rPr/>
      </w:pPr>
      <w:r>
        <w:rPr/>
        <w:tab/>
        <w:t>5.</w:t>
        <w:tab/>
        <w:t xml:space="preserve">Videotape the new study. </w:t>
      </w:r>
    </w:p>
    <w:p>
      <w:pPr>
        <w:pStyle w:val="TextBodyIndent"/>
        <w:tabs>
          <w:tab w:val="clear" w:pos="360"/>
          <w:tab w:val="right" w:pos="540" w:leader="none"/>
        </w:tabs>
        <w:ind w:left="720" w:hanging="720"/>
        <w:rPr/>
      </w:pPr>
      <w:r>
        <w:rPr/>
        <w:tab/>
        <w:t>6.</w:t>
        <w:tab/>
        <w:t>When the scan is completed, record the VCR counter time at the end of the study just completed as the "VCR Start Time" of the next study.</w:t>
      </w:r>
    </w:p>
    <w:p>
      <w:pPr>
        <w:pStyle w:val="Normal"/>
        <w:tabs>
          <w:tab w:val="clear" w:pos="720"/>
          <w:tab w:val="right" w:pos="540" w:leader="none"/>
        </w:tabs>
        <w:ind w:left="720" w:hanging="720"/>
        <w:rPr>
          <w:b/>
          <w:b/>
        </w:rPr>
      </w:pPr>
      <w:r>
        <w:rPr>
          <w:b/>
        </w:rPr>
      </w:r>
      <w:r>
        <w:br w:type="page"/>
      </w:r>
    </w:p>
    <w:p>
      <w:pPr>
        <w:pStyle w:val="TextBody"/>
        <w:rPr>
          <w:b/>
          <w:b/>
        </w:rPr>
      </w:pPr>
      <w:r>
        <w:rPr>
          <w:b/>
        </w:rPr>
      </w:r>
    </w:p>
    <w:p>
      <w:pPr>
        <w:pStyle w:val="TextBody"/>
        <w:rPr>
          <w:b/>
          <w:b/>
        </w:rPr>
      </w:pPr>
      <w:r>
        <w:rPr>
          <w:b/>
        </w:rPr>
        <w:t>Videotape Log Sheet Details</w:t>
      </w:r>
    </w:p>
    <w:p>
      <w:pPr>
        <w:pStyle w:val="TextBody"/>
        <w:rPr>
          <w:b/>
          <w:b/>
        </w:rPr>
      </w:pPr>
      <w:r>
        <w:rPr>
          <w:b/>
        </w:rPr>
      </w:r>
    </w:p>
    <w:tbl>
      <w:tblPr>
        <w:tblW w:w="8280" w:type="dxa"/>
        <w:jc w:val="left"/>
        <w:tblInd w:w="-5" w:type="dxa"/>
        <w:tblLayout w:type="fixed"/>
        <w:tblCellMar>
          <w:top w:w="0" w:type="dxa"/>
          <w:left w:w="108" w:type="dxa"/>
          <w:bottom w:w="0" w:type="dxa"/>
          <w:right w:w="108" w:type="dxa"/>
        </w:tblCellMar>
      </w:tblPr>
      <w:tblGrid>
        <w:gridCol w:w="2700"/>
        <w:gridCol w:w="5580"/>
      </w:tblGrid>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55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Description</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Scan Date</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Heading3"/>
              <w:rPr/>
            </w:pPr>
            <w:r>
              <w:rPr/>
              <w:t>Date scan is performed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Protocol</w:t>
            </w:r>
          </w:p>
          <w:p>
            <w:pPr>
              <w:pStyle w:val="Normal"/>
              <w:rPr>
                <w:i/>
                <w:i/>
                <w:sz w:val="18"/>
              </w:rPr>
            </w:pPr>
            <w:r>
              <w:rPr>
                <w:i/>
                <w:sz w:val="18"/>
              </w:rPr>
              <w:t>Carotid Distensibility and Brachial Endo Function log sheet only</w:t>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Indicate protocol with a check mark or an “X”</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Subject ID</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Participant’s MESA 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Plaque Location</w:t>
            </w:r>
          </w:p>
          <w:p>
            <w:pPr>
              <w:pStyle w:val="Heading4"/>
              <w:rPr>
                <w:i/>
                <w:i/>
                <w:iCs/>
                <w:sz w:val="18"/>
              </w:rPr>
            </w:pPr>
            <w:r>
              <w:rPr>
                <w:i/>
                <w:iCs/>
                <w:sz w:val="18"/>
              </w:rPr>
              <w:t>Carotid IMT log sheet only</w:t>
            </w:r>
          </w:p>
        </w:tc>
        <w:tc>
          <w:tcPr>
            <w:tcW w:w="5580" w:type="dxa"/>
            <w:tcBorders>
              <w:top w:val="single" w:sz="4" w:space="0" w:color="000000"/>
              <w:left w:val="single" w:sz="4" w:space="0" w:color="000000"/>
              <w:bottom w:val="single" w:sz="4" w:space="0" w:color="000000"/>
              <w:right w:val="single" w:sz="4" w:space="0" w:color="000000"/>
            </w:tcBorders>
          </w:tcPr>
          <w:p>
            <w:pPr>
              <w:pStyle w:val="TextBody"/>
              <w:rPr/>
            </w:pPr>
            <w:r>
              <w:rPr/>
              <w:t xml:space="preserve">If there is (are) plaque(s), indicate the location(s) by circling the appropriate acronym. </w:t>
            </w:r>
          </w:p>
          <w:p>
            <w:pPr>
              <w:pStyle w:val="Normal"/>
              <w:rPr/>
            </w:pPr>
            <w:r>
              <w:rPr/>
              <w:t xml:space="preserve">RB = right bulb        RICA = right internal carotid </w:t>
            </w:r>
          </w:p>
          <w:p>
            <w:pPr>
              <w:pStyle w:val="Normal"/>
              <w:rPr/>
            </w:pPr>
            <w:r>
              <w:rPr/>
              <w:t>LB = left bulb           LICA = left internal carotid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VCR Start Time</w:t>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 Start new videotapes at 0:00. Re-set the VCR counter if necessary.</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Sonog ID</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Sonographer’s MESA Technician 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Heading2"/>
              <w:rPr/>
            </w:pPr>
            <w:r>
              <w:rPr/>
              <w:t>Comments</w:t>
            </w:r>
          </w:p>
        </w:tc>
        <w:tc>
          <w:tcPr>
            <w:tcW w:w="5580" w:type="dxa"/>
            <w:tcBorders>
              <w:top w:val="single" w:sz="4" w:space="0" w:color="000000"/>
              <w:left w:val="single" w:sz="4" w:space="0" w:color="000000"/>
              <w:bottom w:val="single" w:sz="4" w:space="0" w:color="000000"/>
              <w:right w:val="single" w:sz="4" w:space="0" w:color="000000"/>
            </w:tcBorders>
          </w:tcPr>
          <w:p>
            <w:pPr>
              <w:pStyle w:val="TextBody"/>
              <w:rPr>
                <w:sz w:val="24"/>
              </w:rPr>
            </w:pPr>
            <w:r>
              <w:rPr/>
              <w:t>This space has been provided for general comments regarding each scan. Note any significant findings, including plaque, wall thickening, or difficulties encountered in trying to obtain good images. This section of the log sheet is invaluable to the ultrasound Reader, who must rely on the sonographer to communicate what is seen.</w:t>
            </w:r>
          </w:p>
        </w:tc>
      </w:tr>
    </w:tbl>
    <w:p>
      <w:pPr>
        <w:pStyle w:val="Normal"/>
        <w:rPr>
          <w:b/>
          <w:b/>
        </w:rPr>
      </w:pPr>
      <w:r>
        <w:rPr>
          <w:b/>
        </w:rPr>
      </w:r>
    </w:p>
    <w:p>
      <w:pPr>
        <w:pStyle w:val="Normal"/>
        <w:rPr>
          <w:b/>
          <w:b/>
        </w:rPr>
      </w:pPr>
      <w:r>
        <w:rPr>
          <w:b/>
        </w:rPr>
        <w:t>Sample Brachial Artery and Carotid Distensibility Log Sheet</w:t>
      </w:r>
    </w:p>
    <w:p>
      <w:pPr>
        <w:pStyle w:val="Normal"/>
        <w:rPr>
          <w:b/>
          <w:b/>
        </w:rPr>
      </w:pPr>
      <w:r>
        <w:rPr>
          <w:b/>
        </w:rPr>
      </w:r>
    </w:p>
    <w:p>
      <w:pPr>
        <w:pStyle w:val="TextBody"/>
        <w:rPr/>
      </w:pPr>
      <w:r>
        <w:rPr/>
        <w:t xml:space="preserve">The Brachial Artery and Carotid Distensibility protocols use the same Log Sheet because they are recorded on the same videotape. </w:t>
      </w:r>
    </w:p>
    <w:p>
      <w:pPr>
        <w:pStyle w:val="Normal"/>
        <w:rPr>
          <w:b/>
          <w:b/>
        </w:rPr>
      </w:pPr>
      <w:r>
        <w:rPr>
          <w:b/>
        </w:rPr>
      </w:r>
    </w:p>
    <w:tbl>
      <w:tblPr>
        <w:tblW w:w="8352" w:type="dxa"/>
        <w:jc w:val="center"/>
        <w:tblInd w:w="0" w:type="dxa"/>
        <w:tblLayout w:type="fixed"/>
        <w:tblCellMar>
          <w:top w:w="0" w:type="dxa"/>
          <w:left w:w="108" w:type="dxa"/>
          <w:bottom w:w="0" w:type="dxa"/>
          <w:right w:w="108" w:type="dxa"/>
        </w:tblCellMar>
      </w:tblPr>
      <w:tblGrid>
        <w:gridCol w:w="396"/>
        <w:gridCol w:w="1260"/>
        <w:gridCol w:w="1350"/>
        <w:gridCol w:w="1080"/>
        <w:gridCol w:w="1170"/>
        <w:gridCol w:w="1350"/>
        <w:gridCol w:w="1746"/>
      </w:tblGrid>
      <w:tr>
        <w:trPr>
          <w:trHeight w:val="544"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rPr>
            </w:pPr>
            <w:r>
              <w:rPr>
                <w:b/>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rPr>
            </w:pPr>
            <w:r>
              <w:rPr>
                <w:b/>
              </w:rPr>
              <w:t>Scan Date</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jc w:val="center"/>
              <w:rPr>
                <w:b/>
                <w:b/>
              </w:rPr>
            </w:pPr>
            <w:r>
              <w:rPr>
                <w:b/>
              </w:rPr>
              <w:t>Protocol</w:t>
            </w:r>
          </w:p>
        </w:tc>
        <w:tc>
          <w:tcPr>
            <w:tcW w:w="1080" w:type="dxa"/>
            <w:tcBorders>
              <w:top w:val="double" w:sz="4" w:space="0" w:color="000000"/>
              <w:bottom w:val="single" w:sz="4" w:space="0" w:color="000000"/>
              <w:right w:val="single" w:sz="4" w:space="0" w:color="000000"/>
            </w:tcBorders>
            <w:shd w:fill="FFFFFF" w:val="clear"/>
          </w:tcPr>
          <w:p>
            <w:pPr>
              <w:pStyle w:val="Normal"/>
              <w:jc w:val="center"/>
              <w:rPr>
                <w:b/>
                <w:b/>
              </w:rPr>
            </w:pPr>
            <w:r>
              <w:rPr>
                <w:b/>
              </w:rPr>
              <w:t>Subject ID</w:t>
            </w:r>
          </w:p>
        </w:tc>
        <w:tc>
          <w:tcPr>
            <w:tcW w:w="1170" w:type="dxa"/>
            <w:tcBorders>
              <w:top w:val="double" w:sz="4" w:space="0" w:color="000000"/>
              <w:bottom w:val="single" w:sz="4" w:space="0" w:color="000000"/>
              <w:right w:val="single" w:sz="4" w:space="0" w:color="000000"/>
            </w:tcBorders>
            <w:shd w:fill="FFFFFF" w:val="clear"/>
          </w:tcPr>
          <w:p>
            <w:pPr>
              <w:pStyle w:val="Normal"/>
              <w:jc w:val="center"/>
              <w:rPr>
                <w:b/>
                <w:b/>
                <w:sz w:val="22"/>
              </w:rPr>
            </w:pPr>
            <w:r>
              <w:rPr>
                <w:b/>
                <w:sz w:val="22"/>
              </w:rPr>
              <w:t>VCR Start Time</w:t>
            </w:r>
          </w:p>
        </w:tc>
        <w:tc>
          <w:tcPr>
            <w:tcW w:w="1350" w:type="dxa"/>
            <w:tcBorders>
              <w:top w:val="double" w:sz="4" w:space="0" w:color="000000"/>
              <w:bottom w:val="single" w:sz="4" w:space="0" w:color="000000"/>
              <w:right w:val="single" w:sz="4" w:space="0" w:color="000000"/>
            </w:tcBorders>
            <w:shd w:fill="FFFFFF" w:val="clear"/>
          </w:tcPr>
          <w:p>
            <w:pPr>
              <w:pStyle w:val="Normal"/>
              <w:jc w:val="center"/>
              <w:rPr>
                <w:b/>
                <w:b/>
              </w:rPr>
            </w:pPr>
            <w:r>
              <w:rPr>
                <w:b/>
              </w:rPr>
              <w:t>Sonog.</w:t>
            </w:r>
          </w:p>
          <w:p>
            <w:pPr>
              <w:pStyle w:val="Normal"/>
              <w:jc w:val="center"/>
              <w:rPr>
                <w:b/>
                <w:b/>
              </w:rPr>
            </w:pPr>
            <w:r>
              <w:rPr>
                <w:b/>
              </w:rPr>
              <w:t>ID</w:t>
            </w:r>
          </w:p>
        </w:tc>
        <w:tc>
          <w:tcPr>
            <w:tcW w:w="1746" w:type="dxa"/>
            <w:tcBorders>
              <w:top w:val="double" w:sz="4" w:space="0" w:color="000000"/>
              <w:bottom w:val="single" w:sz="4" w:space="0" w:color="000000"/>
              <w:right w:val="single" w:sz="4" w:space="0" w:color="000000"/>
            </w:tcBorders>
            <w:shd w:fill="FFFFFF" w:val="clear"/>
          </w:tcPr>
          <w:p>
            <w:pPr>
              <w:pStyle w:val="Normal"/>
              <w:jc w:val="center"/>
              <w:rPr>
                <w:b/>
                <w:b/>
              </w:rPr>
            </w:pPr>
            <w:r>
              <w:rPr>
                <w:b/>
              </w:rPr>
              <w:t>Comments</w:t>
            </w:r>
          </w:p>
        </w:tc>
      </w:tr>
      <w:tr>
        <w:trPr>
          <w:trHeight w:val="880"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rPr>
                <w:i/>
                <w:i/>
              </w:rPr>
            </w:pPr>
            <w:r>
              <w:rPr>
                <w:i/>
              </w:rPr>
              <w:t>6/13/2000</w:t>
            </w:r>
          </w:p>
        </w:tc>
        <w:tc>
          <w:tcPr>
            <w:tcW w:w="1350" w:type="dxa"/>
            <w:tcBorders>
              <w:top w:val="doub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sz w:val="18"/>
              </w:rPr>
            </w:pPr>
            <w:r>
              <w:rPr>
                <w:i/>
                <w:sz w:val="18"/>
              </w:rPr>
            </w:r>
          </w:p>
          <w:p>
            <w:pPr>
              <w:pStyle w:val="Header"/>
              <w:tabs>
                <w:tab w:val="clear" w:pos="4320"/>
                <w:tab w:val="clear" w:pos="8640"/>
              </w:tabs>
              <w:jc w:val="center"/>
              <w:rPr>
                <w:i/>
                <w:i/>
              </w:rPr>
            </w:pPr>
            <w:r>
              <w:rPr>
                <w:i/>
              </w:rPr>
              <w:t>3561248</w:t>
            </w:r>
          </w:p>
        </w:tc>
        <w:tc>
          <w:tcPr>
            <w:tcW w:w="1170" w:type="dxa"/>
            <w:tcBorders>
              <w:top w:val="doub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0:00</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319</w:t>
            </w:r>
          </w:p>
        </w:tc>
        <w:tc>
          <w:tcPr>
            <w:tcW w:w="1746" w:type="dxa"/>
            <w:tcBorders>
              <w:top w:val="double" w:sz="4" w:space="0" w:color="000000"/>
              <w:bottom w:val="single" w:sz="4" w:space="0" w:color="000000"/>
              <w:right w:val="single" w:sz="4" w:space="0" w:color="000000"/>
            </w:tcBorders>
            <w:shd w:fill="FFFFFF" w:val="clear"/>
          </w:tcPr>
          <w:p>
            <w:pPr>
              <w:pStyle w:val="Normal"/>
              <w:snapToGrid w:val="false"/>
              <w:rPr>
                <w:i/>
                <w:i/>
                <w:color w:val="C0C0C0"/>
              </w:rPr>
            </w:pPr>
            <w:r>
              <w:rPr>
                <w:i/>
                <w:color w:val="C0C0C0"/>
              </w:rPr>
            </w:r>
          </w:p>
        </w:tc>
      </w:tr>
      <w:tr>
        <w:trPr>
          <w:trHeight w:val="88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2.</w:t>
            </w:r>
          </w:p>
        </w:tc>
        <w:tc>
          <w:tcPr>
            <w:tcW w:w="1260" w:type="dxa"/>
            <w:tcBorders>
              <w:top w:val="single" w:sz="4" w:space="0" w:color="000000"/>
              <w:bottom w:val="single" w:sz="4" w:space="0" w:color="000000"/>
              <w:right w:val="single" w:sz="4" w:space="0" w:color="000000"/>
            </w:tcBorders>
            <w:shd w:fill="FFFFFF" w:val="clear"/>
          </w:tcPr>
          <w:p>
            <w:pPr>
              <w:pStyle w:val="Normal"/>
              <w:rPr>
                <w:i/>
                <w:i/>
              </w:rPr>
            </w:pPr>
            <w:r>
              <w:rPr>
                <w:i/>
              </w:rPr>
              <w:t>6/21/2000</w:t>
            </w:r>
          </w:p>
        </w:tc>
        <w:tc>
          <w:tcPr>
            <w:tcW w:w="1350" w:type="dxa"/>
            <w:tcBorders>
              <w:top w:val="sing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single" w:sz="4" w:space="0" w:color="000000"/>
              <w:bottom w:val="single" w:sz="4" w:space="0" w:color="000000"/>
              <w:right w:val="single" w:sz="4" w:space="0" w:color="000000"/>
            </w:tcBorders>
            <w:shd w:fill="FFFFFF" w:val="clear"/>
          </w:tcPr>
          <w:p>
            <w:pPr>
              <w:pStyle w:val="Normal"/>
              <w:snapToGrid w:val="false"/>
              <w:jc w:val="center"/>
              <w:rPr>
                <w:i/>
                <w:i/>
                <w:sz w:val="18"/>
              </w:rPr>
            </w:pPr>
            <w:r>
              <w:rPr>
                <w:i/>
                <w:sz w:val="18"/>
              </w:rPr>
            </w:r>
          </w:p>
          <w:p>
            <w:pPr>
              <w:pStyle w:val="Normal"/>
              <w:jc w:val="center"/>
              <w:rPr>
                <w:i/>
                <w:i/>
              </w:rPr>
            </w:pPr>
            <w:r>
              <w:rPr>
                <w:i/>
              </w:rPr>
              <w:t>3478912</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2:50</w:t>
            </w:r>
          </w:p>
        </w:tc>
        <w:tc>
          <w:tcPr>
            <w:tcW w:w="135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319</w:t>
            </w:r>
          </w:p>
        </w:tc>
        <w:tc>
          <w:tcPr>
            <w:tcW w:w="174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rPr>
                <w:i/>
                <w:i/>
              </w:rPr>
            </w:pPr>
            <w:r>
              <w:rPr>
                <w:i/>
              </w:rPr>
            </w:r>
          </w:p>
        </w:tc>
      </w:tr>
      <w:tr>
        <w:trPr>
          <w:trHeight w:val="88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3.</w:t>
            </w:r>
          </w:p>
        </w:tc>
        <w:tc>
          <w:tcPr>
            <w:tcW w:w="1260" w:type="dxa"/>
            <w:tcBorders>
              <w:top w:val="single" w:sz="4" w:space="0" w:color="000000"/>
              <w:bottom w:val="single" w:sz="4" w:space="0" w:color="000000"/>
              <w:right w:val="single" w:sz="4" w:space="0" w:color="000000"/>
            </w:tcBorders>
            <w:shd w:fill="FFFFFF" w:val="clear"/>
          </w:tcPr>
          <w:p>
            <w:pPr>
              <w:pStyle w:val="Normal"/>
              <w:rPr>
                <w:i/>
                <w:i/>
              </w:rPr>
            </w:pPr>
            <w:r>
              <w:rPr>
                <w:i/>
              </w:rPr>
              <w:t>6/21/2000</w:t>
            </w:r>
          </w:p>
        </w:tc>
        <w:tc>
          <w:tcPr>
            <w:tcW w:w="1350" w:type="dxa"/>
            <w:tcBorders>
              <w:top w:val="sing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sz w:val="18"/>
              </w:rPr>
            </w:pPr>
            <w:r>
              <w:rPr>
                <w:i/>
                <w:sz w:val="18"/>
              </w:rPr>
            </w:r>
          </w:p>
          <w:p>
            <w:pPr>
              <w:pStyle w:val="Header"/>
              <w:tabs>
                <w:tab w:val="clear" w:pos="4320"/>
                <w:tab w:val="clear" w:pos="8640"/>
              </w:tabs>
              <w:jc w:val="center"/>
              <w:rPr>
                <w:i/>
                <w:i/>
              </w:rPr>
            </w:pPr>
            <w:r>
              <w:rPr>
                <w:i/>
              </w:rPr>
              <w:t>3625444</w:t>
            </w:r>
          </w:p>
        </w:tc>
        <w:tc>
          <w:tcPr>
            <w:tcW w:w="117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3.55</w:t>
            </w:r>
          </w:p>
        </w:tc>
        <w:tc>
          <w:tcPr>
            <w:tcW w:w="135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317</w:t>
            </w:r>
          </w:p>
        </w:tc>
        <w:tc>
          <w:tcPr>
            <w:tcW w:w="174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rPr>
                <w:i/>
                <w:i/>
              </w:rPr>
            </w:pPr>
            <w:r>
              <w:rPr>
                <w:i/>
              </w:rPr>
            </w:r>
          </w:p>
        </w:tc>
      </w:tr>
    </w:tbl>
    <w:p>
      <w:pPr>
        <w:pStyle w:val="Normal"/>
        <w:rPr>
          <w:b/>
          <w:b/>
        </w:rPr>
      </w:pPr>
      <w:r>
        <w:rPr>
          <w:b/>
        </w:rPr>
      </w:r>
    </w:p>
    <w:p>
      <w:pPr>
        <w:pStyle w:val="Normal"/>
        <w:rPr>
          <w:b/>
          <w:b/>
        </w:rPr>
      </w:pPr>
      <w:r>
        <w:rPr>
          <w:b/>
        </w:rPr>
        <w:t>Sample Carotid IMT Videotape Log Sheet</w:t>
      </w:r>
    </w:p>
    <w:p>
      <w:pPr>
        <w:pStyle w:val="Normal"/>
        <w:rPr>
          <w:b/>
          <w:b/>
        </w:rPr>
      </w:pPr>
      <w:r>
        <w:rPr>
          <w:b/>
        </w:rPr>
      </w:r>
    </w:p>
    <w:p>
      <w:pPr>
        <w:pStyle w:val="TextBody"/>
        <w:rPr/>
      </w:pPr>
      <w:r>
        <w:rPr/>
        <w:t>Only Carotid IMT scans are recorded on the Carotid IMT videotape.</w:t>
      </w:r>
    </w:p>
    <w:p>
      <w:pPr>
        <w:pStyle w:val="Normal"/>
        <w:rPr>
          <w:b/>
          <w:b/>
        </w:rPr>
      </w:pPr>
      <w:r>
        <w:rPr>
          <w:b/>
        </w:rPr>
      </w:r>
    </w:p>
    <w:tbl>
      <w:tblPr>
        <w:tblW w:w="8352" w:type="dxa"/>
        <w:jc w:val="center"/>
        <w:tblInd w:w="0" w:type="dxa"/>
        <w:tblLayout w:type="fixed"/>
        <w:tblCellMar>
          <w:top w:w="0" w:type="dxa"/>
          <w:left w:w="108" w:type="dxa"/>
          <w:bottom w:w="0" w:type="dxa"/>
          <w:right w:w="108" w:type="dxa"/>
        </w:tblCellMar>
      </w:tblPr>
      <w:tblGrid>
        <w:gridCol w:w="396"/>
        <w:gridCol w:w="1260"/>
        <w:gridCol w:w="990"/>
        <w:gridCol w:w="1350"/>
        <w:gridCol w:w="1260"/>
        <w:gridCol w:w="1170"/>
        <w:gridCol w:w="1926"/>
      </w:tblGrid>
      <w:tr>
        <w:trPr>
          <w:trHeight w:val="544"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rPr>
            </w:pPr>
            <w:r>
              <w:rPr>
                <w:b/>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rPr>
            </w:pPr>
            <w:r>
              <w:rPr>
                <w:b/>
              </w:rPr>
              <w:t>Scan Date</w:t>
            </w:r>
          </w:p>
        </w:tc>
        <w:tc>
          <w:tcPr>
            <w:tcW w:w="990" w:type="dxa"/>
            <w:tcBorders>
              <w:top w:val="double" w:sz="4" w:space="0" w:color="000000"/>
              <w:bottom w:val="single" w:sz="4" w:space="0" w:color="000000"/>
              <w:right w:val="single" w:sz="4" w:space="0" w:color="000000"/>
            </w:tcBorders>
            <w:shd w:fill="FFFFFF" w:val="clear"/>
          </w:tcPr>
          <w:p>
            <w:pPr>
              <w:pStyle w:val="Normal"/>
              <w:jc w:val="center"/>
              <w:rPr>
                <w:b/>
                <w:b/>
              </w:rPr>
            </w:pPr>
            <w:r>
              <w:rPr>
                <w:b/>
              </w:rPr>
              <w:t>Subject ID</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jc w:val="center"/>
              <w:rPr>
                <w:b/>
                <w:b/>
              </w:rPr>
            </w:pPr>
            <w:r>
              <w:rPr>
                <w:b/>
              </w:rPr>
              <w:t>Plaque</w:t>
            </w:r>
            <w:r>
              <w:rPr>
                <w:b/>
                <w:vertAlign w:val="superscript"/>
              </w:rPr>
              <w:t xml:space="preserve"> </w:t>
            </w:r>
            <w:r>
              <w:rPr>
                <w:rFonts w:eastAsia="Monotype Sorts;Symbol" w:cs="Monotype Sorts;Symbol" w:ascii="Monotype Sorts;Symbol" w:hAnsi="Monotype Sorts;Symbol"/>
                <w:b/>
                <w:vertAlign w:val="superscript"/>
              </w:rPr>
              <w:t></w:t>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sz w:val="22"/>
              </w:rPr>
            </w:pPr>
            <w:r>
              <w:rPr>
                <w:b/>
                <w:sz w:val="22"/>
              </w:rPr>
              <w:t>VCR Start Time</w:t>
            </w:r>
          </w:p>
        </w:tc>
        <w:tc>
          <w:tcPr>
            <w:tcW w:w="1170" w:type="dxa"/>
            <w:tcBorders>
              <w:top w:val="double" w:sz="4" w:space="0" w:color="000000"/>
              <w:bottom w:val="single" w:sz="4" w:space="0" w:color="000000"/>
              <w:right w:val="single" w:sz="4" w:space="0" w:color="000000"/>
            </w:tcBorders>
            <w:shd w:fill="FFFFFF" w:val="clear"/>
          </w:tcPr>
          <w:p>
            <w:pPr>
              <w:pStyle w:val="Normal"/>
              <w:jc w:val="center"/>
              <w:rPr>
                <w:b/>
                <w:b/>
              </w:rPr>
            </w:pPr>
            <w:r>
              <w:rPr>
                <w:b/>
              </w:rPr>
              <w:t>Sonog.</w:t>
            </w:r>
          </w:p>
          <w:p>
            <w:pPr>
              <w:pStyle w:val="Normal"/>
              <w:jc w:val="center"/>
              <w:rPr>
                <w:b/>
                <w:b/>
              </w:rPr>
            </w:pPr>
            <w:r>
              <w:rPr>
                <w:b/>
              </w:rPr>
              <w:t>ID</w:t>
            </w:r>
          </w:p>
        </w:tc>
        <w:tc>
          <w:tcPr>
            <w:tcW w:w="1926" w:type="dxa"/>
            <w:tcBorders>
              <w:top w:val="double" w:sz="4" w:space="0" w:color="000000"/>
              <w:bottom w:val="single" w:sz="4" w:space="0" w:color="000000"/>
              <w:right w:val="single" w:sz="4" w:space="0" w:color="000000"/>
            </w:tcBorders>
            <w:shd w:fill="FFFFFF" w:val="clear"/>
          </w:tcPr>
          <w:p>
            <w:pPr>
              <w:pStyle w:val="Normal"/>
              <w:snapToGrid w:val="false"/>
              <w:jc w:val="center"/>
              <w:rPr>
                <w:b/>
                <w:b/>
              </w:rPr>
            </w:pPr>
            <w:r>
              <w:rPr>
                <w:b/>
              </w:rPr>
            </w:r>
          </w:p>
          <w:p>
            <w:pPr>
              <w:pStyle w:val="Normal"/>
              <w:jc w:val="center"/>
              <w:rPr>
                <w:b/>
                <w:b/>
              </w:rPr>
            </w:pPr>
            <w:r>
              <w:rPr>
                <w:b/>
              </w:rPr>
              <w:t>Comments</w:t>
            </w:r>
          </w:p>
        </w:tc>
      </w:tr>
      <w:tr>
        <w:trPr>
          <w:trHeight w:val="640"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6/13/2000</w:t>
            </w:r>
          </w:p>
        </w:tc>
        <w:tc>
          <w:tcPr>
            <w:tcW w:w="99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3551212</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0:00</w:t>
            </w:r>
          </w:p>
        </w:tc>
        <w:tc>
          <w:tcPr>
            <w:tcW w:w="117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317</w:t>
            </w:r>
          </w:p>
        </w:tc>
        <w:tc>
          <w:tcPr>
            <w:tcW w:w="1926" w:type="dxa"/>
            <w:tcBorders>
              <w:top w:val="double" w:sz="4" w:space="0" w:color="000000"/>
              <w:bottom w:val="single" w:sz="4" w:space="0" w:color="000000"/>
              <w:right w:val="single" w:sz="4" w:space="0" w:color="000000"/>
            </w:tcBorders>
            <w:shd w:fill="FFFFFF" w:val="clear"/>
          </w:tcPr>
          <w:p>
            <w:pPr>
              <w:pStyle w:val="CommentText"/>
              <w:rPr>
                <w:i/>
                <w:i/>
              </w:rPr>
            </w:pPr>
            <w:r>
              <w:rPr>
                <w:i/>
              </w:rPr>
              <w:t>Nice clean and easy scan</w:t>
            </w:r>
          </w:p>
        </w:tc>
      </w:tr>
      <w:tr>
        <w:trPr>
          <w:trHeight w:val="64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mc:AlternateContent>
                <mc:Choice Requires="wps">
                  <w:drawing>
                    <wp:anchor behindDoc="0" distT="0" distB="0" distL="114935" distR="114935" simplePos="0" locked="0" layoutInCell="0" allowOverlap="1" relativeHeight="50">
                      <wp:simplePos x="0" y="0"/>
                      <wp:positionH relativeFrom="margin">
                        <wp:posOffset>1965960</wp:posOffset>
                      </wp:positionH>
                      <wp:positionV relativeFrom="paragraph">
                        <wp:posOffset>12065</wp:posOffset>
                      </wp:positionV>
                      <wp:extent cx="365760" cy="274320"/>
                      <wp:effectExtent l="6350" t="6350" r="6985" b="7620"/>
                      <wp:wrapNone/>
                      <wp:docPr id="22" name=""/>
                      <a:graphic xmlns:a="http://schemas.openxmlformats.org/drawingml/2006/main">
                        <a:graphicData uri="http://schemas.microsoft.com/office/word/2010/wordprocessingShape">
                          <wps:wsp>
                            <wps:cNvSpPr/>
                            <wps:spPr>
                              <a:xfrm>
                                <a:off x="0" y="0"/>
                                <a:ext cx="365760" cy="274320"/>
                              </a:xfrm>
                              <a:prstGeom prst="ellipse">
                                <a:avLst/>
                              </a:prstGeom>
                              <a:noFill/>
                              <a:ln w="12600">
                                <a:solidFill>
                                  <a:srgbClr val="000000"/>
                                </a:solidFill>
                                <a:prstDash val="lgDash"/>
                                <a:miter/>
                              </a:ln>
                            </wps:spPr>
                            <wps:style>
                              <a:lnRef idx="0"/>
                              <a:fillRef idx="0"/>
                              <a:effectRef idx="0"/>
                              <a:fontRef idx="minor"/>
                            </wps:style>
                            <wps:bodyPr/>
                          </wps:wsp>
                        </a:graphicData>
                      </a:graphic>
                    </wp:anchor>
                  </w:drawing>
                </mc:Choice>
                <mc:Fallback>
                  <w:pict>
                    <v:oval id="shape_0" stroked="t" o:allowincell="f" style="position:absolute;margin-left:154.8pt;margin-top:0.95pt;width:28.75pt;height:21.55pt;mso-wrap-style:none;v-text-anchor:middle;mso-position-horizontal-relative:margin">
                      <v:fill o:detectmouseclick="t" on="false"/>
                      <v:stroke color="black" weight="12600" dashstyle="longdash" joinstyle="miter" endcap="flat"/>
                      <w10:wrap type="none"/>
                    </v:oval>
                  </w:pict>
                </mc:Fallback>
              </mc:AlternateContent>
            </w:r>
            <w:r>
              <w:rPr>
                <w:b/>
              </w:rPr>
              <w:t>2.</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6/13/2000</w:t>
            </w:r>
          </w:p>
        </w:tc>
        <w:tc>
          <w:tcPr>
            <w:tcW w:w="99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3899223</w:t>
            </w:r>
          </w:p>
        </w:tc>
        <w:tc>
          <w:tcPr>
            <w:tcW w:w="135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3:10</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319</w:t>
            </w:r>
          </w:p>
        </w:tc>
        <w:tc>
          <w:tcPr>
            <w:tcW w:w="192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rPr>
                <w:i/>
                <w:i/>
              </w:rPr>
            </w:pPr>
            <w:r>
              <w:rPr>
                <w:i/>
              </w:rPr>
              <w:t>Plaque in right ICA</w:t>
            </w:r>
          </w:p>
        </w:tc>
      </w:tr>
      <w:tr>
        <w:trPr>
          <w:trHeight w:val="64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3.</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6/14/2000</w:t>
            </w:r>
          </w:p>
        </w:tc>
        <w:tc>
          <w:tcPr>
            <w:tcW w:w="99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3221555</w:t>
            </w:r>
          </w:p>
        </w:tc>
        <w:tc>
          <w:tcPr>
            <w:tcW w:w="135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5:25</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317</w:t>
            </w:r>
          </w:p>
        </w:tc>
        <w:tc>
          <w:tcPr>
            <w:tcW w:w="192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rPr>
                <w:i/>
                <w:i/>
              </w:rPr>
            </w:pPr>
            <w:r>
              <w:rPr>
                <w:i/>
              </w:rPr>
              <w:t>Use second LCC image, thick neck difficult to scan</w:t>
            </w:r>
          </w:p>
        </w:tc>
      </w:tr>
    </w:tbl>
    <w:p>
      <w:pPr>
        <w:pStyle w:val="Normal"/>
        <w:rPr>
          <w:b/>
          <w:b/>
        </w:rPr>
      </w:pPr>
      <w:r>
        <w:rPr>
          <w:b/>
        </w:rPr>
      </w:r>
    </w:p>
    <w:p>
      <w:pPr>
        <w:pStyle w:val="Normal"/>
        <w:rPr>
          <w:b/>
          <w:b/>
        </w:rPr>
      </w:pPr>
      <w:r>
        <w:rPr>
          <w:b/>
        </w:rPr>
      </w:r>
    </w:p>
    <w:p>
      <w:pPr>
        <w:pStyle w:val="Normal"/>
        <w:rPr>
          <w:b/>
          <w:b/>
        </w:rPr>
      </w:pPr>
      <w:r>
        <w:rPr>
          <w:b/>
        </w:rPr>
      </w:r>
      <w:r>
        <w:br w:type="page"/>
      </w:r>
    </w:p>
    <w:p>
      <w:pPr>
        <w:pStyle w:val="Heading2"/>
        <w:rPr/>
      </w:pPr>
      <w:r>
        <w:rPr/>
        <w:t>MESA Protocol Specific Case Report Forms</w:t>
      </w:r>
    </w:p>
    <w:p>
      <w:pPr>
        <w:pStyle w:val="Normal"/>
        <w:rPr/>
      </w:pPr>
      <w:r>
        <w:rPr/>
      </w:r>
    </w:p>
    <w:p>
      <w:pPr>
        <w:pStyle w:val="Normal"/>
        <w:rPr/>
      </w:pPr>
      <w:r>
        <w:rPr/>
        <w:t>All MESA protocol specific forms require the entry of the MESA participant ID, acrostic and date at the top right, and the sonographer, reviewer and data entry IDs along the bottom. The Endothelial Function form also includes a space for the ID of interviewer who asks the questions on page 1.</w:t>
      </w:r>
    </w:p>
    <w:p>
      <w:pPr>
        <w:pStyle w:val="Normal"/>
        <w:rPr/>
      </w:pPr>
      <w:r>
        <w:rPr/>
      </w:r>
    </w:p>
    <w:p>
      <w:pPr>
        <w:pStyle w:val="Normal"/>
        <w:rPr>
          <w:b/>
          <w:b/>
        </w:rPr>
      </w:pPr>
      <w:r>
        <w:rPr>
          <w:b/>
        </w:rPr>
        <w:t>Protocol: Brachial Artery Endothelial Function</w:t>
      </w:r>
    </w:p>
    <w:p>
      <w:pPr>
        <w:pStyle w:val="Normal"/>
        <w:rPr>
          <w:b/>
          <w:b/>
        </w:rPr>
      </w:pPr>
      <w:r>
        <w:rPr>
          <w:b/>
        </w:rPr>
        <w:t>Form Name: Endothelial Function</w:t>
      </w:r>
    </w:p>
    <w:p>
      <w:pPr>
        <w:pStyle w:val="Normal"/>
        <w:rPr>
          <w:b/>
          <w:b/>
        </w:rPr>
      </w:pPr>
      <w:r>
        <w:rPr>
          <w:b/>
        </w:rPr>
      </w:r>
    </w:p>
    <w:tbl>
      <w:tblPr>
        <w:tblW w:w="8100" w:type="dxa"/>
        <w:jc w:val="left"/>
        <w:tblInd w:w="-5" w:type="dxa"/>
        <w:tblLayout w:type="fixed"/>
        <w:tblCellMar>
          <w:top w:w="0" w:type="dxa"/>
          <w:left w:w="108" w:type="dxa"/>
          <w:bottom w:w="0" w:type="dxa"/>
          <w:right w:w="108" w:type="dxa"/>
        </w:tblCellMar>
      </w:tblPr>
      <w:tblGrid>
        <w:gridCol w:w="2520"/>
        <w:gridCol w:w="2700"/>
        <w:gridCol w:w="2880"/>
      </w:tblGrid>
      <w:tr>
        <w:trPr/>
        <w:tc>
          <w:tcPr>
            <w:tcW w:w="2520" w:type="dxa"/>
            <w:tcBorders>
              <w:top w:val="single" w:sz="4" w:space="0" w:color="000000"/>
              <w:left w:val="single" w:sz="4" w:space="0" w:color="000000"/>
              <w:bottom w:val="single" w:sz="4" w:space="0" w:color="000000"/>
              <w:right w:val="single" w:sz="4" w:space="0" w:color="000000"/>
            </w:tcBorders>
          </w:tcPr>
          <w:p>
            <w:pPr>
              <w:pStyle w:val="Heading2"/>
              <w:rPr/>
            </w:pPr>
            <w:r>
              <w:rPr/>
              <w:t>Item</w:t>
            </w:r>
          </w:p>
        </w:tc>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8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Date of birth</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2 digits each for month and day, 4 digits for year</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Birth date from participant record. Use leading zeros for single digit months and days.</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size (from MES resting BP)</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Cuff size</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Time of MESA clinic snack</w:t>
            </w:r>
          </w:p>
          <w:p>
            <w:pPr>
              <w:pStyle w:val="Normal"/>
              <w:rPr/>
            </w:pPr>
            <w:r>
              <w:rPr/>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Hour : Minute</w:t>
            </w:r>
          </w:p>
          <w:p>
            <w:pPr>
              <w:pStyle w:val="Normal"/>
              <w:rPr/>
            </w:pPr>
            <w:r>
              <w:rPr/>
              <w:t>AM or PM</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Time of day participant ate the MESA snack</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Exclusions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snapToGrid w:val="false"/>
              <w:rPr>
                <w:smallCaps/>
                <w:sz w:val="28"/>
              </w:rPr>
            </w:pPr>
            <w:r>
              <w:rPr>
                <w:smallCaps/>
                <w:sz w:val="28"/>
              </w:rPr>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b/>
                <w:b/>
              </w:rPr>
            </w:pPr>
            <w:r>
              <w:rPr>
                <w:b/>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Mesa Blood pressure Alert (Systolic &gt; 180)</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 xml:space="preserve">Stop procedure. </w:t>
            </w:r>
          </w:p>
          <w:p>
            <w:pPr>
              <w:pStyle w:val="Normal"/>
              <w:rPr>
                <w:b/>
                <w:b/>
              </w:rPr>
            </w:pPr>
            <w:r>
              <w:rPr>
                <w:b/>
              </w:rPr>
              <w:t>MESA Alert</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Congenital abnormality of arm or hand.</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 xml:space="preserve">Yes </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Stop procedure.</w:t>
            </w:r>
            <w:r>
              <w:rPr/>
              <w:t xml:space="preserve"> 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Raynaud’s Phenomenon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 xml:space="preserve">Stop procedure. </w:t>
            </w:r>
            <w:r>
              <w:rPr/>
              <w:t>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Mastectomy</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Stop procedure.</w:t>
            </w:r>
            <w:r>
              <w:rPr/>
              <w:t xml:space="preserve"> 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Interview</w:t>
            </w:r>
          </w:p>
        </w:tc>
        <w:tc>
          <w:tcPr>
            <w:tcW w:w="2700" w:type="dxa"/>
            <w:tcBorders>
              <w:top w:val="single" w:sz="4" w:space="0" w:color="000000"/>
              <w:left w:val="single" w:sz="4" w:space="0" w:color="000000"/>
              <w:bottom w:val="single" w:sz="4" w:space="0" w:color="000000"/>
              <w:right w:val="single" w:sz="4" w:space="0" w:color="000000"/>
            </w:tcBorders>
          </w:tcPr>
          <w:p>
            <w:pPr>
              <w:pStyle w:val="Normal"/>
              <w:snapToGrid w:val="false"/>
              <w:rPr>
                <w:smallCaps/>
                <w:sz w:val="28"/>
              </w:rPr>
            </w:pPr>
            <w:r>
              <w:rPr>
                <w:smallCaps/>
                <w:sz w:val="28"/>
              </w:rPr>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When was the last time you ate or drank?</w:t>
            </w:r>
          </w:p>
          <w:p>
            <w:pPr>
              <w:pStyle w:val="Normal"/>
              <w:rPr/>
            </w:pPr>
            <w:r>
              <w:rPr/>
            </w:r>
          </w:p>
          <w:p>
            <w:pPr>
              <w:pStyle w:val="Normal"/>
              <w:ind w:left="360" w:hanging="0"/>
              <w:rPr/>
            </w:pPr>
            <w:r>
              <w:rPr/>
              <w:t>b) What did you eat?</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Month/Day/Year</w:t>
            </w:r>
          </w:p>
          <w:p>
            <w:pPr>
              <w:pStyle w:val="Heading3"/>
              <w:rPr/>
            </w:pPr>
            <w:r>
              <w:rPr/>
              <w:t>Hour : Minute</w:t>
            </w:r>
          </w:p>
          <w:p>
            <w:pPr>
              <w:pStyle w:val="Normal"/>
              <w:rPr/>
            </w:pPr>
            <w:r>
              <w:rPr/>
              <w:t>AM or PM</w:t>
            </w:r>
          </w:p>
          <w:p>
            <w:pPr>
              <w:pStyle w:val="Normal"/>
              <w:rPr/>
            </w:pPr>
            <w:r>
              <w:rPr/>
            </w:r>
          </w:p>
          <w:p>
            <w:pPr>
              <w:pStyle w:val="Normal"/>
              <w:numPr>
                <w:ilvl w:val="0"/>
                <w:numId w:val="9"/>
              </w:numPr>
              <w:rPr/>
            </w:pPr>
            <w:r>
              <w:rPr/>
              <w:t>Liquids only</w:t>
            </w:r>
          </w:p>
          <w:p>
            <w:pPr>
              <w:pStyle w:val="Normal"/>
              <w:numPr>
                <w:ilvl w:val="0"/>
                <w:numId w:val="9"/>
              </w:numPr>
              <w:rPr/>
            </w:pPr>
            <w:r>
              <w:rPr/>
              <w:t>Light meal</w:t>
            </w:r>
          </w:p>
          <w:p>
            <w:pPr>
              <w:pStyle w:val="Normal"/>
              <w:numPr>
                <w:ilvl w:val="0"/>
                <w:numId w:val="9"/>
              </w:numPr>
              <w:rPr/>
            </w:pPr>
            <w:r>
              <w:rPr/>
              <w:t>Heavy meal</w:t>
            </w:r>
          </w:p>
          <w:p>
            <w:pPr>
              <w:pStyle w:val="Normal"/>
              <w:numPr>
                <w:ilvl w:val="0"/>
                <w:numId w:val="5"/>
              </w:numPr>
              <w:rPr/>
            </w:pPr>
            <w:r>
              <w:rPr/>
              <w:t>Other</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Date and time of day of last food or drink. If participant ate the MESA snack skip to Item #8.</w:t>
            </w:r>
          </w:p>
          <w:p>
            <w:pPr>
              <w:pStyle w:val="Normal"/>
              <w:rPr/>
            </w:pPr>
            <w:r>
              <w:rPr/>
            </w:r>
          </w:p>
          <w:p>
            <w:pPr>
              <w:pStyle w:val="Normal"/>
              <w:rPr/>
            </w:pPr>
            <w:r>
              <w:rPr/>
              <w:t>If less than 90 minutes since meal or snack, delay test until 90 minutes has passed.</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Have you had any caffeinated coffee, tea or other drink in last 6 hours?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Have you smoked cigarettes in the last 6 hours?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br w:type="page"/>
      </w:r>
      <w:r>
        <w:rPr/>
      </w:r>
    </w:p>
    <w:tbl>
      <w:tblPr>
        <w:tblW w:w="8370" w:type="dxa"/>
        <w:jc w:val="left"/>
        <w:tblInd w:w="-5" w:type="dxa"/>
        <w:tblLayout w:type="fixed"/>
        <w:tblCellMar>
          <w:top w:w="0" w:type="dxa"/>
          <w:left w:w="108" w:type="dxa"/>
          <w:bottom w:w="0" w:type="dxa"/>
          <w:right w:w="108" w:type="dxa"/>
        </w:tblCellMar>
      </w:tblPr>
      <w:tblGrid>
        <w:gridCol w:w="3330"/>
        <w:gridCol w:w="2700"/>
        <w:gridCol w:w="2340"/>
      </w:tblGrid>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Have you taken any medications today?</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 xml:space="preserve">Yes </w:t>
            </w:r>
          </w:p>
          <w:p>
            <w:pPr>
              <w:pStyle w:val="Normal"/>
              <w:numPr>
                <w:ilvl w:val="0"/>
                <w:numId w:val="9"/>
              </w:numPr>
              <w:rPr/>
            </w:pPr>
            <w:r>
              <w:rPr/>
              <w:t>No</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If no, skip to item 11. If yes, then answer 10 b, c, d and e.</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of the following vitamins?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Multivitamin</w:t>
            </w:r>
          </w:p>
          <w:p>
            <w:pPr>
              <w:pStyle w:val="Normal"/>
              <w:numPr>
                <w:ilvl w:val="0"/>
                <w:numId w:val="9"/>
              </w:numPr>
              <w:rPr/>
            </w:pPr>
            <w:r>
              <w:rPr/>
              <w:t>Vitamin E</w:t>
            </w:r>
          </w:p>
          <w:p>
            <w:pPr>
              <w:pStyle w:val="Normal"/>
              <w:numPr>
                <w:ilvl w:val="0"/>
                <w:numId w:val="9"/>
              </w:numPr>
              <w:rPr/>
            </w:pPr>
            <w:r>
              <w:rPr/>
              <w:t>Vitamin C</w:t>
            </w:r>
          </w:p>
          <w:p>
            <w:pPr>
              <w:pStyle w:val="Normal"/>
              <w:numPr>
                <w:ilvl w:val="0"/>
                <w:numId w:val="9"/>
              </w:numPr>
              <w:rPr/>
            </w:pPr>
            <w:r>
              <w:rPr/>
              <w:t>Beta Carotene</w:t>
            </w:r>
          </w:p>
          <w:p>
            <w:pPr>
              <w:pStyle w:val="Normal"/>
              <w:numPr>
                <w:ilvl w:val="0"/>
                <w:numId w:val="9"/>
              </w:numPr>
              <w:rPr/>
            </w:pPr>
            <w:r>
              <w:rPr/>
              <w:t>Vitamin B6</w:t>
            </w:r>
          </w:p>
          <w:p>
            <w:pPr>
              <w:pStyle w:val="Normal"/>
              <w:numPr>
                <w:ilvl w:val="0"/>
                <w:numId w:val="9"/>
              </w:numPr>
              <w:rPr/>
            </w:pPr>
            <w:r>
              <w:rPr/>
              <w:t>Folate/Folic Acid</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lipid lowering/cholesterol medications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anti-hypertensive/blood pressure medication?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estrogen/progestin?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Examination</w:t>
            </w:r>
          </w:p>
        </w:tc>
        <w:tc>
          <w:tcPr>
            <w:tcW w:w="2700" w:type="dxa"/>
            <w:tcBorders>
              <w:top w:val="single" w:sz="4" w:space="0" w:color="000000"/>
              <w:left w:val="single" w:sz="4" w:space="0" w:color="000000"/>
              <w:bottom w:val="single" w:sz="4" w:space="0" w:color="000000"/>
              <w:right w:val="single" w:sz="4" w:space="0" w:color="000000"/>
            </w:tcBorders>
          </w:tcPr>
          <w:p>
            <w:pPr>
              <w:pStyle w:val="Normal"/>
              <w:snapToGrid w:val="false"/>
              <w:rPr>
                <w:smallCaps/>
                <w:sz w:val="28"/>
              </w:rPr>
            </w:pPr>
            <w:r>
              <w:rPr>
                <w:smallCaps/>
                <w:sz w:val="28"/>
              </w:rPr>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Tape #</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VCR Start time</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Time of Day scan started</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Hour : Minute</w:t>
            </w:r>
          </w:p>
          <w:p>
            <w:pPr>
              <w:pStyle w:val="Normal"/>
              <w:rPr/>
            </w:pPr>
            <w:r>
              <w:rPr/>
              <w:t>AM or PM</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size</w:t>
            </w:r>
          </w:p>
          <w:p>
            <w:pPr>
              <w:pStyle w:val="Normal"/>
              <w:ind w:left="360" w:hanging="0"/>
              <w:rPr/>
            </w:pPr>
            <w:r>
              <w:rPr/>
              <w:t>-Right Arm (Occlusion Cuff)</w:t>
            </w:r>
          </w:p>
          <w:p>
            <w:pPr>
              <w:pStyle w:val="Normal"/>
              <w:ind w:left="360" w:hanging="0"/>
              <w:rPr/>
            </w:pPr>
            <w:r>
              <w:rPr/>
              <w:t>-Left Arm (BP Cuff)</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27"/>
              </w:numPr>
              <w:rPr/>
            </w:pPr>
            <w:r>
              <w:rPr/>
              <w:t xml:space="preserve">Adult </w:t>
            </w:r>
          </w:p>
          <w:p>
            <w:pPr>
              <w:pStyle w:val="Normal"/>
              <w:numPr>
                <w:ilvl w:val="0"/>
                <w:numId w:val="27"/>
              </w:numPr>
              <w:rPr/>
            </w:pPr>
            <w:r>
              <w:rPr/>
              <w:t>Pediatric</w:t>
            </w:r>
          </w:p>
          <w:p>
            <w:pPr>
              <w:pStyle w:val="Normal"/>
              <w:numPr>
                <w:ilvl w:val="0"/>
                <w:numId w:val="27"/>
              </w:numPr>
              <w:rPr/>
            </w:pPr>
            <w:r>
              <w:rPr/>
              <w:t>Large Adult</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Baseline blood pressure and pulse</w:t>
            </w:r>
          </w:p>
          <w:p>
            <w:pPr>
              <w:pStyle w:val="Normal"/>
              <w:ind w:left="720" w:hanging="0"/>
              <w:rPr/>
            </w:pPr>
            <w:r>
              <w:rPr/>
              <w:t>-Left</w:t>
            </w:r>
          </w:p>
          <w:p>
            <w:pPr>
              <w:pStyle w:val="Normal"/>
              <w:ind w:left="720" w:hanging="0"/>
              <w:rPr/>
            </w:pPr>
            <w:r>
              <w:rPr/>
              <w:t>-Right</w:t>
            </w:r>
          </w:p>
        </w:tc>
        <w:tc>
          <w:tcPr>
            <w:tcW w:w="2700" w:type="dxa"/>
            <w:tcBorders>
              <w:top w:val="single" w:sz="4" w:space="0" w:color="000000"/>
              <w:left w:val="single" w:sz="4" w:space="0" w:color="000000"/>
              <w:bottom w:val="single" w:sz="4" w:space="0" w:color="000000"/>
              <w:right w:val="single" w:sz="4" w:space="0" w:color="000000"/>
            </w:tcBorders>
          </w:tcPr>
          <w:p>
            <w:pPr>
              <w:pStyle w:val="Heading3"/>
              <w:rPr/>
            </w:pPr>
            <w:r>
              <w:rPr/>
              <w:t>Systolic, 3 digits</w:t>
            </w:r>
          </w:p>
          <w:p>
            <w:pPr>
              <w:pStyle w:val="Normal"/>
              <w:rPr/>
            </w:pPr>
            <w:r>
              <w:rPr/>
              <w:t>Diastolic, 3 digits</w:t>
            </w:r>
          </w:p>
          <w:p>
            <w:pPr>
              <w:pStyle w:val="Heading3"/>
              <w:rPr/>
            </w:pPr>
            <w:r>
              <w:rPr/>
              <w:t>Pulse, 3 digits</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inflation pressure</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3 digits, mm HG</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200 mmHg or if BP &gt; 150, then inflation pressure is systolic + 50</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Post blood pressure and pulse</w:t>
            </w:r>
          </w:p>
          <w:p>
            <w:pPr>
              <w:pStyle w:val="Normal"/>
              <w:ind w:left="360" w:hanging="0"/>
              <w:rPr/>
            </w:pPr>
            <w:r>
              <w:rPr/>
              <w:t xml:space="preserve">-Left </w:t>
            </w:r>
          </w:p>
        </w:tc>
        <w:tc>
          <w:tcPr>
            <w:tcW w:w="2700" w:type="dxa"/>
            <w:tcBorders>
              <w:top w:val="single" w:sz="4" w:space="0" w:color="000000"/>
              <w:left w:val="single" w:sz="4" w:space="0" w:color="000000"/>
              <w:bottom w:val="single" w:sz="4" w:space="0" w:color="000000"/>
              <w:right w:val="single" w:sz="4" w:space="0" w:color="000000"/>
            </w:tcBorders>
          </w:tcPr>
          <w:p>
            <w:pPr>
              <w:pStyle w:val="Heading3"/>
              <w:rPr/>
            </w:pPr>
            <w:r>
              <w:rPr/>
              <w:t>Systolic, 3 digits</w:t>
            </w:r>
          </w:p>
          <w:p>
            <w:pPr>
              <w:pStyle w:val="Normal"/>
              <w:rPr/>
            </w:pPr>
            <w:r>
              <w:rPr/>
              <w:t>Diastolic, 3 digits</w:t>
            </w:r>
          </w:p>
          <w:p>
            <w:pPr>
              <w:pStyle w:val="Heading3"/>
              <w:rPr/>
            </w:pPr>
            <w:r>
              <w:rPr/>
              <w:t>Pulse, 3 digits</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This blood pressure can be skipped if Carotid Distensibility immediately follows Endothelial Function.</w:t>
            </w:r>
          </w:p>
        </w:tc>
      </w:tr>
    </w:tbl>
    <w:p>
      <w:pPr>
        <w:pStyle w:val="Normal"/>
        <w:rPr/>
      </w:pPr>
      <w:r>
        <w:br w:type="page"/>
      </w:r>
      <w:r>
        <w:rPr/>
      </w:r>
    </w:p>
    <w:tbl>
      <w:tblPr>
        <w:tblW w:w="8280" w:type="dxa"/>
        <w:jc w:val="left"/>
        <w:tblInd w:w="-5" w:type="dxa"/>
        <w:tblLayout w:type="fixed"/>
        <w:tblCellMar>
          <w:top w:w="0" w:type="dxa"/>
          <w:left w:w="108" w:type="dxa"/>
          <w:bottom w:w="0" w:type="dxa"/>
          <w:right w:w="108" w:type="dxa"/>
        </w:tblCellMar>
      </w:tblPr>
      <w:tblGrid>
        <w:gridCol w:w="2212"/>
        <w:gridCol w:w="2918"/>
        <w:gridCol w:w="3150"/>
      </w:tblGrid>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Brachial scan was complete?</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6"/>
              </w:numPr>
              <w:rPr/>
            </w:pPr>
            <w:r>
              <w:rPr/>
              <w:t>Done</w:t>
            </w:r>
          </w:p>
          <w:p>
            <w:pPr>
              <w:pStyle w:val="Normal"/>
              <w:numPr>
                <w:ilvl w:val="0"/>
                <w:numId w:val="16"/>
              </w:numPr>
              <w:rPr/>
            </w:pPr>
            <w:r>
              <w:rPr/>
              <w:t>Incomplete</w:t>
            </w:r>
          </w:p>
          <w:p>
            <w:pPr>
              <w:pStyle w:val="Normal"/>
              <w:numPr>
                <w:ilvl w:val="0"/>
                <w:numId w:val="16"/>
              </w:numPr>
              <w:rPr/>
            </w:pPr>
            <w:r>
              <w:rPr/>
              <w:t>Not done</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28"/>
              </w:numPr>
              <w:rPr/>
            </w:pPr>
            <w:r>
              <w:rPr/>
              <w:t>Was scanning continued after deflation?</w:t>
            </w:r>
          </w:p>
          <w:p>
            <w:pPr>
              <w:pStyle w:val="Normal"/>
              <w:rPr/>
            </w:pPr>
            <w:r>
              <w:rPr/>
            </w:r>
          </w:p>
          <w:p>
            <w:pPr>
              <w:pStyle w:val="Heading5"/>
              <w:numPr>
                <w:ilvl w:val="0"/>
                <w:numId w:val="32"/>
              </w:numPr>
              <w:rPr/>
            </w:pPr>
            <w:r>
              <w:rPr/>
              <w:t>How long was cuff inflated?</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8"/>
              </w:numPr>
              <w:rPr/>
            </w:pPr>
            <w:r>
              <w:rPr/>
              <w:t>Yes</w:t>
            </w:r>
          </w:p>
          <w:p>
            <w:pPr>
              <w:pStyle w:val="Normal"/>
              <w:numPr>
                <w:ilvl w:val="0"/>
                <w:numId w:val="18"/>
              </w:numPr>
              <w:rPr/>
            </w:pPr>
            <w:r>
              <w:rPr/>
              <w:t>No</w:t>
            </w:r>
          </w:p>
          <w:p>
            <w:pPr>
              <w:pStyle w:val="Normal"/>
              <w:rPr/>
            </w:pPr>
            <w:r>
              <w:rPr/>
            </w:r>
          </w:p>
          <w:p>
            <w:pPr>
              <w:pStyle w:val="Normal"/>
              <w:rPr/>
            </w:pPr>
            <w:r>
              <w:rPr/>
              <w:t>Minutes : Seconds</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28"/>
              </w:numPr>
              <w:rPr/>
            </w:pPr>
            <w:r>
              <w:rPr/>
              <w:t>Why was scan not done or discontinued?</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Equipment malfunction</w:t>
            </w:r>
          </w:p>
          <w:p>
            <w:pPr>
              <w:pStyle w:val="Normal"/>
              <w:numPr>
                <w:ilvl w:val="0"/>
                <w:numId w:val="10"/>
              </w:numPr>
              <w:rPr/>
            </w:pPr>
            <w:r>
              <w:rPr/>
              <w:t>Participant refusal</w:t>
            </w:r>
          </w:p>
          <w:p>
            <w:pPr>
              <w:pStyle w:val="Normal"/>
              <w:numPr>
                <w:ilvl w:val="0"/>
                <w:numId w:val="10"/>
              </w:numPr>
              <w:rPr/>
            </w:pPr>
            <w:r>
              <w:rPr/>
              <w:t>Participant comfort</w:t>
            </w:r>
          </w:p>
          <w:p>
            <w:pPr>
              <w:pStyle w:val="Normal"/>
              <w:numPr>
                <w:ilvl w:val="0"/>
                <w:numId w:val="10"/>
              </w:numPr>
              <w:rPr/>
            </w:pPr>
            <w:r>
              <w:rPr/>
              <w:t>Other</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Position of participant</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Recumbent</w:t>
            </w:r>
          </w:p>
          <w:p>
            <w:pPr>
              <w:pStyle w:val="Normal"/>
              <w:numPr>
                <w:ilvl w:val="0"/>
                <w:numId w:val="10"/>
              </w:numPr>
              <w:rPr/>
            </w:pPr>
            <w:r>
              <w:rPr/>
              <w:t>Semi-recumbent</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Describe arm position</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Bent</w:t>
            </w:r>
          </w:p>
          <w:p>
            <w:pPr>
              <w:pStyle w:val="Normal"/>
              <w:numPr>
                <w:ilvl w:val="0"/>
                <w:numId w:val="10"/>
              </w:numPr>
              <w:rPr/>
            </w:pPr>
            <w:r>
              <w:rPr/>
              <w:t>Straight</w:t>
            </w:r>
          </w:p>
          <w:p>
            <w:pPr>
              <w:pStyle w:val="Normal"/>
              <w:numPr>
                <w:ilvl w:val="0"/>
                <w:numId w:val="10"/>
              </w:numPr>
              <w:rPr/>
            </w:pPr>
            <w:r>
              <w:rPr/>
              <w:t>Other</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is the distance from the antecubital crease to the probe</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2 digits, cm</w:t>
            </w:r>
          </w:p>
        </w:tc>
        <w:tc>
          <w:tcPr>
            <w:tcW w:w="3150" w:type="dxa"/>
            <w:tcBorders>
              <w:top w:val="single" w:sz="4" w:space="0" w:color="000000"/>
              <w:left w:val="single" w:sz="4" w:space="0" w:color="000000"/>
              <w:bottom w:val="single" w:sz="4" w:space="0" w:color="000000"/>
              <w:right w:val="single" w:sz="4" w:space="0" w:color="000000"/>
            </w:tcBorders>
          </w:tcPr>
          <w:p>
            <w:pPr>
              <w:pStyle w:val="Normal"/>
              <w:rPr/>
            </w:pPr>
            <w:r>
              <w:rPr/>
              <w:t>Measure, in centimeters, the distance from the elbow crease to the leading edge of the transducer.</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was the probe angle</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2 digits, degrees</w:t>
            </w:r>
          </w:p>
        </w:tc>
        <w:tc>
          <w:tcPr>
            <w:tcW w:w="3150" w:type="dxa"/>
            <w:tcBorders>
              <w:top w:val="single" w:sz="4" w:space="0" w:color="000000"/>
              <w:left w:val="single" w:sz="4" w:space="0" w:color="000000"/>
              <w:bottom w:val="single" w:sz="4" w:space="0" w:color="000000"/>
              <w:right w:val="single" w:sz="4" w:space="0" w:color="000000"/>
            </w:tcBorders>
          </w:tcPr>
          <w:p>
            <w:pPr>
              <w:pStyle w:val="TextBody"/>
              <w:rPr/>
            </w:pPr>
            <w:r>
              <w:rPr/>
              <w:t>Estimate the angle closest to 10, 45, or 90 degrees from the horizontal plane of the table and record that number on the form.</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was the quality of the scan</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315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Additional comments</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Text</w:t>
            </w:r>
          </w:p>
        </w:tc>
        <w:tc>
          <w:tcPr>
            <w:tcW w:w="3150" w:type="dxa"/>
            <w:tcBorders>
              <w:top w:val="single" w:sz="4" w:space="0" w:color="000000"/>
              <w:left w:val="single" w:sz="4" w:space="0" w:color="000000"/>
              <w:bottom w:val="single" w:sz="4" w:space="0" w:color="000000"/>
              <w:right w:val="single" w:sz="4" w:space="0" w:color="000000"/>
            </w:tcBorders>
          </w:tcPr>
          <w:p>
            <w:pPr>
              <w:pStyle w:val="Normal"/>
              <w:ind w:right="72" w:hanging="0"/>
              <w:rPr/>
            </w:pPr>
            <w:r>
              <w:rPr/>
              <w:t>Any other comments on scan?</w:t>
            </w:r>
          </w:p>
        </w:tc>
      </w:tr>
    </w:tbl>
    <w:p>
      <w:pPr>
        <w:pStyle w:val="Normal"/>
        <w:rPr/>
      </w:pPr>
      <w:r>
        <w:rPr/>
      </w:r>
    </w:p>
    <w:p>
      <w:pPr>
        <w:pStyle w:val="Normal"/>
        <w:rPr/>
      </w:pPr>
      <w:r>
        <w:rPr/>
      </w:r>
      <w:r>
        <w:br w:type="page"/>
      </w:r>
    </w:p>
    <w:p>
      <w:pPr>
        <w:pStyle w:val="Heading2"/>
        <w:rPr/>
      </w:pPr>
      <w:r>
        <w:rPr/>
        <w:t>Protocol: Carotid Distensibility</w:t>
      </w:r>
    </w:p>
    <w:p>
      <w:pPr>
        <w:pStyle w:val="Normal"/>
        <w:rPr>
          <w:b/>
          <w:b/>
        </w:rPr>
      </w:pPr>
      <w:r>
        <w:rPr>
          <w:b/>
        </w:rPr>
        <w:t>Form Name: Ultrasound Distensibility</w:t>
      </w:r>
    </w:p>
    <w:p>
      <w:pPr>
        <w:pStyle w:val="Normal"/>
        <w:rPr>
          <w:b/>
          <w:b/>
        </w:rPr>
      </w:pPr>
      <w:r>
        <w:rPr>
          <w:b/>
        </w:rPr>
      </w:r>
    </w:p>
    <w:tbl>
      <w:tblPr>
        <w:tblW w:w="8280" w:type="dxa"/>
        <w:jc w:val="left"/>
        <w:tblInd w:w="-5" w:type="dxa"/>
        <w:tblLayout w:type="fixed"/>
        <w:tblCellMar>
          <w:top w:w="0" w:type="dxa"/>
          <w:left w:w="108" w:type="dxa"/>
          <w:bottom w:w="0" w:type="dxa"/>
          <w:right w:w="108" w:type="dxa"/>
        </w:tblCellMar>
      </w:tblPr>
      <w:tblGrid>
        <w:gridCol w:w="2340"/>
        <w:gridCol w:w="2970"/>
        <w:gridCol w:w="2970"/>
      </w:tblGrid>
      <w:tr>
        <w:trPr/>
        <w:tc>
          <w:tcPr>
            <w:tcW w:w="234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297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97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Heading3"/>
              <w:numPr>
                <w:ilvl w:val="0"/>
                <w:numId w:val="29"/>
              </w:numPr>
              <w:rPr/>
            </w:pPr>
            <w:r>
              <w:rPr/>
              <w:t>Results of Carotid Distensibility scan</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14"/>
              </w:numPr>
              <w:rPr/>
            </w:pPr>
            <w:r>
              <w:rPr/>
              <w:t>Done</w:t>
            </w:r>
          </w:p>
          <w:p>
            <w:pPr>
              <w:pStyle w:val="Normal"/>
              <w:numPr>
                <w:ilvl w:val="0"/>
                <w:numId w:val="14"/>
              </w:numPr>
              <w:rPr/>
            </w:pPr>
            <w:r>
              <w:rPr/>
              <w:t>Incomplete</w:t>
            </w:r>
          </w:p>
          <w:p>
            <w:pPr>
              <w:pStyle w:val="Normal"/>
              <w:numPr>
                <w:ilvl w:val="0"/>
                <w:numId w:val="14"/>
              </w:numPr>
              <w:rPr/>
            </w:pPr>
            <w:r>
              <w:rPr/>
              <w:t>Not Done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#2 if it was “Done”.</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Reason Carotid Distensibility scan incomplete or not done</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13"/>
              </w:numPr>
              <w:rPr/>
            </w:pPr>
            <w:r>
              <w:rPr/>
              <w:t>Equipment Malfunction</w:t>
            </w:r>
          </w:p>
          <w:p>
            <w:pPr>
              <w:pStyle w:val="Normal"/>
              <w:numPr>
                <w:ilvl w:val="0"/>
                <w:numId w:val="13"/>
              </w:numPr>
              <w:rPr/>
            </w:pPr>
            <w:r>
              <w:rPr/>
              <w:t>Time/Staff Constraints</w:t>
            </w:r>
          </w:p>
          <w:p>
            <w:pPr>
              <w:pStyle w:val="Normal"/>
              <w:numPr>
                <w:ilvl w:val="0"/>
                <w:numId w:val="13"/>
              </w:numPr>
              <w:rPr/>
            </w:pPr>
            <w:r>
              <w:rPr/>
              <w:t>Examinee refused/uncooperative</w:t>
            </w:r>
          </w:p>
          <w:p>
            <w:pPr>
              <w:pStyle w:val="Normal"/>
              <w:numPr>
                <w:ilvl w:val="0"/>
                <w:numId w:val="13"/>
              </w:numPr>
              <w:rPr/>
            </w:pPr>
            <w:r>
              <w:rPr/>
              <w:t>Examinee physically unable</w:t>
            </w:r>
          </w:p>
          <w:p>
            <w:pPr>
              <w:pStyle w:val="Normal"/>
              <w:numPr>
                <w:ilvl w:val="0"/>
                <w:numId w:val="13"/>
              </w:numPr>
              <w:rPr/>
            </w:pPr>
            <w:r>
              <w:rPr/>
              <w:t xml:space="preserve">Other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Baseline blood pressure and pulse</w:t>
            </w:r>
          </w:p>
          <w:p>
            <w:pPr>
              <w:pStyle w:val="Normal"/>
              <w:ind w:left="720" w:hanging="0"/>
              <w:rPr/>
            </w:pPr>
            <w:r>
              <w:rPr/>
              <w:t xml:space="preserve">Right </w:t>
            </w:r>
          </w:p>
          <w:p>
            <w:pPr>
              <w:pStyle w:val="Normal"/>
              <w:ind w:left="720" w:hanging="0"/>
              <w:rPr/>
            </w:pPr>
            <w:r>
              <w:rPr/>
              <w:t xml:space="preserve">Left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 each for systolic, diastolic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Not measured if CCA Distens scan is done immediately after the Endothelial Function exam. Transcribe from Item 16 of Endothelial Function form.</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Tape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VCR Start Time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Were right CCA Doppler blood flow signals detectable?</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20"/>
              </w:numPr>
              <w:rPr/>
            </w:pPr>
            <w:r>
              <w:rPr/>
              <w:t>Yes</w:t>
            </w:r>
          </w:p>
          <w:p>
            <w:pPr>
              <w:pStyle w:val="Normal"/>
              <w:numPr>
                <w:ilvl w:val="0"/>
                <w:numId w:val="20"/>
              </w:numPr>
              <w:rPr/>
            </w:pPr>
            <w:r>
              <w:rPr/>
              <w:t>No</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Indicate for both the right and the left sides whether or not PW Dopplers were measured.</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Pulse Wave Doppler measurements (cm/s)</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w:t>
            </w:r>
          </w:p>
          <w:p>
            <w:pPr>
              <w:pStyle w:val="Normal"/>
              <w:rPr/>
            </w:pPr>
            <w:r>
              <w:rPr/>
              <w:t>cm/sec</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Enter PW Doppler measurement from image screen in cm/sec.</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Post-imaging pressure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 each for systolic, diastolic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 xml:space="preserve">Left arm blood pressure, right if there is a gradient </w:t>
            </w:r>
            <w:r>
              <w:rPr>
                <w:u w:val="single"/>
              </w:rPr>
              <w:t>&gt;</w:t>
            </w:r>
            <w:r>
              <w:rPr/>
              <w:t xml:space="preserve"> 15 mm HG</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Quality of scan</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bl>
    <w:p>
      <w:pPr>
        <w:pStyle w:val="Normal"/>
        <w:rPr/>
      </w:pPr>
      <w:r>
        <w:rPr/>
      </w:r>
      <w:r>
        <w:br w:type="page"/>
      </w:r>
    </w:p>
    <w:p>
      <w:pPr>
        <w:pStyle w:val="Normal"/>
        <w:rPr/>
      </w:pPr>
      <w:r>
        <w:rPr/>
      </w:r>
    </w:p>
    <w:p>
      <w:pPr>
        <w:pStyle w:val="Normal"/>
        <w:rPr>
          <w:b/>
          <w:b/>
        </w:rPr>
      </w:pPr>
      <w:r>
        <w:rPr>
          <w:b/>
        </w:rPr>
        <w:t>Protocol: Carotid IMT</w:t>
      </w:r>
    </w:p>
    <w:p>
      <w:pPr>
        <w:pStyle w:val="Normal"/>
        <w:rPr>
          <w:b/>
          <w:b/>
        </w:rPr>
      </w:pPr>
      <w:r>
        <w:rPr>
          <w:b/>
        </w:rPr>
        <w:t>Form Name: Ultrasound IMT</w:t>
      </w:r>
    </w:p>
    <w:p>
      <w:pPr>
        <w:pStyle w:val="Normal"/>
        <w:rPr>
          <w:b/>
          <w:b/>
        </w:rPr>
      </w:pPr>
      <w:r>
        <w:rPr>
          <w:b/>
        </w:rPr>
      </w:r>
    </w:p>
    <w:tbl>
      <w:tblPr>
        <w:tblW w:w="8388" w:type="dxa"/>
        <w:jc w:val="left"/>
        <w:tblInd w:w="-5" w:type="dxa"/>
        <w:tblLayout w:type="fixed"/>
        <w:tblCellMar>
          <w:top w:w="0" w:type="dxa"/>
          <w:left w:w="108" w:type="dxa"/>
          <w:bottom w:w="0" w:type="dxa"/>
          <w:right w:w="108" w:type="dxa"/>
        </w:tblCellMar>
      </w:tblPr>
      <w:tblGrid>
        <w:gridCol w:w="2520"/>
        <w:gridCol w:w="2866"/>
        <w:gridCol w:w="3002"/>
      </w:tblGrid>
      <w:tr>
        <w:trPr/>
        <w:tc>
          <w:tcPr>
            <w:tcW w:w="252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2866"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3002"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Results of Carotid IMT scan:</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14"/>
              </w:numPr>
              <w:rPr/>
            </w:pPr>
            <w:r>
              <w:rPr/>
              <w:t>Done</w:t>
            </w:r>
          </w:p>
          <w:p>
            <w:pPr>
              <w:pStyle w:val="Normal"/>
              <w:numPr>
                <w:ilvl w:val="0"/>
                <w:numId w:val="14"/>
              </w:numPr>
              <w:rPr/>
            </w:pPr>
            <w:r>
              <w:rPr/>
              <w:t>Incomplete</w:t>
            </w:r>
          </w:p>
          <w:p>
            <w:pPr>
              <w:pStyle w:val="Normal"/>
              <w:numPr>
                <w:ilvl w:val="0"/>
                <w:numId w:val="14"/>
              </w:numPr>
              <w:rPr/>
            </w:pPr>
            <w:r>
              <w:rPr/>
              <w:t>Not Done</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#3 if it was “Done”.</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Reason Carotid IMT scan incomplete or not done:</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13"/>
              </w:numPr>
              <w:rPr/>
            </w:pPr>
            <w:r>
              <w:rPr/>
              <w:t>Equipment Malfunction</w:t>
            </w:r>
          </w:p>
          <w:p>
            <w:pPr>
              <w:pStyle w:val="Normal"/>
              <w:numPr>
                <w:ilvl w:val="0"/>
                <w:numId w:val="13"/>
              </w:numPr>
              <w:rPr/>
            </w:pPr>
            <w:r>
              <w:rPr/>
              <w:t>Time/Staff Constraints</w:t>
            </w:r>
          </w:p>
          <w:p>
            <w:pPr>
              <w:pStyle w:val="Normal"/>
              <w:numPr>
                <w:ilvl w:val="0"/>
                <w:numId w:val="13"/>
              </w:numPr>
              <w:rPr/>
            </w:pPr>
            <w:r>
              <w:rPr/>
              <w:t>Examinee refused/uncooperative</w:t>
            </w:r>
          </w:p>
          <w:p>
            <w:pPr>
              <w:pStyle w:val="Normal"/>
              <w:numPr>
                <w:ilvl w:val="0"/>
                <w:numId w:val="13"/>
              </w:numPr>
              <w:rPr/>
            </w:pPr>
            <w:r>
              <w:rPr/>
              <w:t>Examinee physically unable</w:t>
            </w:r>
          </w:p>
          <w:p>
            <w:pPr>
              <w:pStyle w:val="Normal"/>
              <w:numPr>
                <w:ilvl w:val="0"/>
                <w:numId w:val="13"/>
              </w:numPr>
              <w:rPr/>
            </w:pPr>
            <w:r>
              <w:rPr/>
              <w:t xml:space="preserve">Other </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 xml:space="preserve">Were Doppler blood flow signals detectable? </w:t>
            </w:r>
          </w:p>
          <w:p>
            <w:pPr>
              <w:pStyle w:val="Normal"/>
              <w:rPr/>
            </w:pPr>
            <w:r>
              <w:rPr/>
              <w:t>Right and Left .</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20"/>
              </w:numPr>
              <w:rPr/>
            </w:pPr>
            <w:r>
              <w:rPr/>
              <w:t>Yes</w:t>
            </w:r>
          </w:p>
          <w:p>
            <w:pPr>
              <w:pStyle w:val="Normal"/>
              <w:numPr>
                <w:ilvl w:val="0"/>
                <w:numId w:val="20"/>
              </w:numPr>
              <w:rPr/>
            </w:pPr>
            <w:r>
              <w:rPr/>
              <w:t>No</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Indicate for both the right and the left sides whether or not PW Dopplers were measured.</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Tape #</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VCR Start Time</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Pulse Wave Doppler measurements (cm/s)</w:t>
            </w:r>
          </w:p>
          <w:p>
            <w:pPr>
              <w:pStyle w:val="Normal"/>
              <w:rPr/>
            </w:pPr>
            <w:r>
              <w:rPr/>
              <w:t>- Right</w:t>
            </w:r>
          </w:p>
          <w:p>
            <w:pPr>
              <w:pStyle w:val="Normal"/>
              <w:rPr/>
            </w:pPr>
            <w:r>
              <w:rPr/>
              <w:t>- Left</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3 digits</w:t>
            </w:r>
          </w:p>
          <w:p>
            <w:pPr>
              <w:pStyle w:val="Normal"/>
              <w:rPr/>
            </w:pPr>
            <w:r>
              <w:rPr/>
              <w:t>cm/sec</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Enter PW Doppler measurement from image screen in cm/sec.</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Quality of scan</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bl>
    <w:p>
      <w:pPr>
        <w:pStyle w:val="Normal"/>
        <w:rPr/>
      </w:pPr>
      <w:r>
        <w:rPr/>
      </w:r>
      <w:r>
        <w:br w:type="page"/>
      </w:r>
    </w:p>
    <w:p>
      <w:pPr>
        <w:pStyle w:val="Normal"/>
        <w:rPr/>
      </w:pPr>
      <w:r>
        <w:rPr/>
      </w:r>
    </w:p>
    <w:p>
      <w:pPr>
        <w:pStyle w:val="Normal"/>
        <w:rPr>
          <w:b/>
          <w:b/>
        </w:rPr>
      </w:pPr>
      <w:r>
        <w:rPr>
          <w:b/>
        </w:rPr>
        <w:t>Protocol: Arterial Pulse Wave</w:t>
      </w:r>
    </w:p>
    <w:p>
      <w:pPr>
        <w:pStyle w:val="Heading2"/>
        <w:rPr/>
      </w:pPr>
      <w:r>
        <w:rPr/>
        <w:t>Form Name: Arterial Pulse Wave</w:t>
      </w:r>
    </w:p>
    <w:p>
      <w:pPr>
        <w:pStyle w:val="Normal"/>
        <w:rPr/>
      </w:pPr>
      <w:r>
        <w:rPr/>
      </w:r>
    </w:p>
    <w:tbl>
      <w:tblPr>
        <w:tblW w:w="8370" w:type="dxa"/>
        <w:jc w:val="left"/>
        <w:tblInd w:w="-5" w:type="dxa"/>
        <w:tblLayout w:type="fixed"/>
        <w:tblCellMar>
          <w:top w:w="0" w:type="dxa"/>
          <w:left w:w="108" w:type="dxa"/>
          <w:bottom w:w="0" w:type="dxa"/>
          <w:right w:w="108" w:type="dxa"/>
        </w:tblCellMar>
      </w:tblPr>
      <w:tblGrid>
        <w:gridCol w:w="2250"/>
        <w:gridCol w:w="3690"/>
        <w:gridCol w:w="2430"/>
      </w:tblGrid>
      <w:tr>
        <w:trPr/>
        <w:tc>
          <w:tcPr>
            <w:tcW w:w="225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369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43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Heading3"/>
              <w:numPr>
                <w:ilvl w:val="0"/>
                <w:numId w:val="23"/>
              </w:numPr>
              <w:tabs>
                <w:tab w:val="clear" w:pos="576"/>
              </w:tabs>
              <w:rPr/>
            </w:pPr>
            <w:r>
              <w:rPr/>
              <w:t>Results of Arterial Pulse Wave exam</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rPr/>
            </w:pPr>
            <w:r>
              <w:rPr/>
              <w:t>Done</w:t>
            </w:r>
          </w:p>
          <w:p>
            <w:pPr>
              <w:pStyle w:val="Normal"/>
              <w:numPr>
                <w:ilvl w:val="0"/>
                <w:numId w:val="31"/>
              </w:numPr>
              <w:rPr/>
            </w:pPr>
            <w:r>
              <w:rPr/>
              <w:t>Incomplete</w:t>
            </w:r>
          </w:p>
          <w:p>
            <w:pPr>
              <w:pStyle w:val="Normal"/>
              <w:numPr>
                <w:ilvl w:val="0"/>
                <w:numId w:val="31"/>
              </w:numPr>
              <w:rPr/>
            </w:pPr>
            <w:r>
              <w:rPr/>
              <w:t>Not Done</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#2 if it was “Done”.</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Normal"/>
              <w:numPr>
                <w:ilvl w:val="0"/>
                <w:numId w:val="23"/>
              </w:numPr>
              <w:rPr/>
            </w:pPr>
            <w:r>
              <w:rPr/>
              <w:t>Reason exam incomplete or not done</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Poor arterial waveform</w:t>
            </w:r>
          </w:p>
          <w:p>
            <w:pPr>
              <w:pStyle w:val="Normal"/>
              <w:numPr>
                <w:ilvl w:val="0"/>
                <w:numId w:val="38"/>
              </w:numPr>
              <w:rPr/>
            </w:pPr>
            <w:r>
              <w:rPr/>
              <w:t>Undetectable arterial waveform</w:t>
            </w:r>
          </w:p>
          <w:p>
            <w:pPr>
              <w:pStyle w:val="Normal"/>
              <w:numPr>
                <w:ilvl w:val="0"/>
                <w:numId w:val="38"/>
              </w:numPr>
              <w:rPr/>
            </w:pPr>
            <w:r>
              <w:rPr/>
              <w:t>Equipment Malfunction</w:t>
            </w:r>
          </w:p>
          <w:p>
            <w:pPr>
              <w:pStyle w:val="Normal"/>
              <w:numPr>
                <w:ilvl w:val="0"/>
                <w:numId w:val="38"/>
              </w:numPr>
              <w:rPr/>
            </w:pPr>
            <w:r>
              <w:rPr/>
              <w:t>Time/Staff/Room Constraints</w:t>
            </w:r>
          </w:p>
          <w:p>
            <w:pPr>
              <w:pStyle w:val="Normal"/>
              <w:numPr>
                <w:ilvl w:val="0"/>
                <w:numId w:val="38"/>
              </w:numPr>
              <w:rPr/>
            </w:pPr>
            <w:r>
              <w:rPr/>
              <w:t>Examinee refused/uncooperative</w:t>
            </w:r>
          </w:p>
          <w:p>
            <w:pPr>
              <w:pStyle w:val="Normal"/>
              <w:numPr>
                <w:ilvl w:val="0"/>
                <w:numId w:val="38"/>
              </w:numPr>
              <w:rPr/>
            </w:pPr>
            <w:r>
              <w:rPr/>
              <w:t>Examinee physically unable</w:t>
            </w:r>
          </w:p>
          <w:p>
            <w:pPr>
              <w:pStyle w:val="Normal"/>
              <w:numPr>
                <w:ilvl w:val="0"/>
                <w:numId w:val="38"/>
              </w:numPr>
              <w:rPr/>
            </w:pPr>
            <w:r>
              <w:rPr/>
              <w:t xml:space="preserve">Other </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Normal"/>
              <w:numPr>
                <w:ilvl w:val="0"/>
                <w:numId w:val="23"/>
              </w:numPr>
              <w:rPr/>
            </w:pPr>
            <w:r>
              <w:rPr/>
              <w:t>Quality of waveform</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waveform good, fair or poor?</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Heading3"/>
              <w:rPr/>
            </w:pPr>
            <w:r>
              <w:rPr/>
              <w:t>Comments</w:t>
            </w:r>
          </w:p>
        </w:tc>
        <w:tc>
          <w:tcPr>
            <w:tcW w:w="369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Communicate with URC regarding this participant’s Pulse Wave procedure.</w:t>
            </w:r>
          </w:p>
        </w:tc>
      </w:tr>
    </w:tbl>
    <w:p>
      <w:pPr>
        <w:pStyle w:val="Normal"/>
        <w:rPr/>
      </w:pPr>
      <w:r>
        <w:rPr/>
      </w:r>
    </w:p>
    <w:p>
      <w:pPr>
        <w:pStyle w:val="Normal"/>
        <w:rPr/>
      </w:pPr>
      <w:r>
        <w:rPr/>
      </w:r>
      <w:r>
        <w:br w:type="page"/>
      </w:r>
    </w:p>
    <w:p>
      <w:pPr>
        <w:pStyle w:val="Heading"/>
        <w:jc w:val="left"/>
        <w:rPr/>
      </w:pPr>
      <w:r>
        <w:rPr/>
        <w:t>Brachial Artery Endothelial Function Screen Annotation</w:t>
      </w:r>
    </w:p>
    <w:p>
      <w:pPr>
        <w:pStyle w:val="Heading"/>
        <w:jc w:val="left"/>
        <w:rPr>
          <w:b w:val="false"/>
          <w:b w:val="false"/>
          <w:bCs/>
        </w:rPr>
      </w:pPr>
      <w:r>
        <w:rPr>
          <w:b w:val="false"/>
          <w:bCs/>
        </w:rPr>
      </w:r>
    </w:p>
    <w:p>
      <w:pPr>
        <w:pStyle w:val="Heading"/>
        <w:jc w:val="left"/>
        <w:rPr>
          <w:b w:val="false"/>
          <w:b w:val="false"/>
          <w:bCs/>
        </w:rPr>
      </w:pPr>
      <w:r>
        <w:rPr>
          <w:b w:val="false"/>
          <w:bCs/>
        </w:rPr>
        <w:t>During the Brachial Artery Endothelial Function scan the sonographer annotates the screen to indicate the step in the protocol. The reader must know the time points in order to do the analysis. Below are step-by-step instructions for the sonographer to label the screen with consecutive labels for each subsequent step in the protocol. The labels are not deleted. They are listed consecutively.</w:t>
      </w:r>
    </w:p>
    <w:p>
      <w:pPr>
        <w:pStyle w:val="Heading"/>
        <w:jc w:val="left"/>
        <w:rPr>
          <w:b w:val="false"/>
          <w:b w:val="false"/>
          <w:bCs/>
        </w:rPr>
      </w:pPr>
      <w:r>
        <w:rPr>
          <w:b w:val="false"/>
          <w:bCs/>
        </w:rPr>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Select Brachial preset by pressing preset toggle towards “Brachial” on the preset LED panel</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“Comment” key in lower right position on key board</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Trackball comment cursor straight left as far as possible on screen</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“A” plus “set” to display “Baseline” on screen at start of test</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“Return,” then “S,” then “Set” to display “Cuff Inflate” on screen (cuff inflate is typed 1 to 2 seconds before the cuff is inflated, which allows the sonographer to type at a time when  the cuff is up but not while recording on videotape)</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“Return,” then “D,”  then “Set” to display “Pre-deflate” (pre-deflate is typed when the sonographer has started recording the beginning of the second video sequence)</w:t>
      </w:r>
    </w:p>
    <w:p>
      <w:pPr>
        <w:pStyle w:val="Heading"/>
        <w:tabs>
          <w:tab w:val="clear" w:pos="720"/>
          <w:tab w:val="right" w:pos="180" w:leader="none"/>
        </w:tabs>
        <w:ind w:left="360" w:hanging="360"/>
        <w:jc w:val="left"/>
        <w:rPr>
          <w:b w:val="false"/>
          <w:b w:val="false"/>
          <w:bCs/>
        </w:rPr>
      </w:pPr>
      <w:r>
        <w:rPr>
          <w:b w:val="false"/>
          <w:bCs/>
        </w:rPr>
        <w:tab/>
      </w:r>
      <w:r>
        <w:rPr>
          <w:rFonts w:eastAsia="Symbol" w:cs="Symbol" w:ascii="Symbol" w:hAnsi="Symbol"/>
          <w:b w:val="false"/>
          <w:bCs/>
        </w:rPr>
        <w:t></w:t>
      </w:r>
      <w:r>
        <w:rPr>
          <w:b w:val="false"/>
          <w:bCs/>
        </w:rPr>
        <w:tab/>
        <w:t>Press “return,” then “F,”  then “Set” to display “Cuff deflate” (cuff deflate is typed just before the cuff is deflated)</w:t>
      </w:r>
    </w:p>
    <w:p>
      <w:pPr>
        <w:pStyle w:val="Normal"/>
        <w:rPr>
          <w:b/>
          <w:b/>
          <w:bCs/>
        </w:rPr>
      </w:pPr>
      <w:r>
        <w:rPr>
          <w:b/>
          <w:bCs/>
        </w:rPr>
      </w:r>
    </w:p>
    <w:p>
      <w:pPr>
        <w:pStyle w:val="TextBody"/>
        <w:rPr/>
      </w:pPr>
      <w:r>
        <w:rPr/>
        <w:t>At the end of the scan the annotations displayed on the left side of the screen in the following order:</w:t>
      </w:r>
    </w:p>
    <w:p>
      <w:pPr>
        <w:pStyle w:val="Normal"/>
        <w:rPr/>
      </w:pPr>
      <w:r>
        <w:rPr/>
      </w:r>
    </w:p>
    <w:p>
      <w:pPr>
        <w:pStyle w:val="Normal"/>
        <w:tabs>
          <w:tab w:val="clear" w:pos="720"/>
          <w:tab w:val="right" w:pos="180" w:leader="none"/>
        </w:tabs>
        <w:ind w:left="360" w:hanging="360"/>
        <w:rPr/>
      </w:pPr>
      <w:r>
        <w:rPr/>
        <w:tab/>
      </w:r>
      <w:r>
        <w:rPr>
          <w:rFonts w:eastAsia="Symbol" w:cs="Symbol" w:ascii="Symbol" w:hAnsi="Symbol"/>
        </w:rPr>
        <w:t></w:t>
      </w:r>
      <w:r>
        <w:rPr/>
        <w:tab/>
        <w:t>Baseline</w:t>
      </w:r>
    </w:p>
    <w:p>
      <w:pPr>
        <w:pStyle w:val="Normal"/>
        <w:tabs>
          <w:tab w:val="clear" w:pos="720"/>
          <w:tab w:val="right" w:pos="180" w:leader="none"/>
        </w:tabs>
        <w:ind w:left="360" w:hanging="360"/>
        <w:rPr/>
      </w:pPr>
      <w:r>
        <w:rPr/>
        <w:tab/>
      </w:r>
      <w:r>
        <w:rPr>
          <w:rFonts w:eastAsia="Symbol" w:cs="Symbol" w:ascii="Symbol" w:hAnsi="Symbol"/>
        </w:rPr>
        <w:t></w:t>
      </w:r>
      <w:r>
        <w:rPr/>
        <w:tab/>
        <w:t>Cuff inflate</w:t>
      </w:r>
    </w:p>
    <w:p>
      <w:pPr>
        <w:pStyle w:val="Normal"/>
        <w:tabs>
          <w:tab w:val="clear" w:pos="720"/>
          <w:tab w:val="right" w:pos="180" w:leader="none"/>
        </w:tabs>
        <w:ind w:left="360" w:hanging="360"/>
        <w:rPr/>
      </w:pPr>
      <w:r>
        <w:rPr/>
        <w:tab/>
      </w:r>
      <w:r>
        <w:rPr>
          <w:rFonts w:eastAsia="Symbol" w:cs="Symbol" w:ascii="Symbol" w:hAnsi="Symbol"/>
        </w:rPr>
        <w:t></w:t>
      </w:r>
      <w:r>
        <w:rPr/>
        <w:tab/>
        <w:t>Pre-deflate</w:t>
      </w:r>
    </w:p>
    <w:p>
      <w:pPr>
        <w:pStyle w:val="Normal"/>
        <w:tabs>
          <w:tab w:val="clear" w:pos="720"/>
          <w:tab w:val="right" w:pos="180" w:leader="none"/>
        </w:tabs>
        <w:ind w:left="360" w:hanging="360"/>
        <w:rPr/>
      </w:pPr>
      <w:r>
        <w:rPr/>
        <w:tab/>
      </w:r>
      <w:r>
        <w:rPr>
          <w:rFonts w:eastAsia="Symbol" w:cs="Symbol" w:ascii="Symbol" w:hAnsi="Symbol"/>
        </w:rPr>
        <w:t></w:t>
      </w:r>
      <w:r>
        <w:rPr/>
        <w:tab/>
        <w:t>Cuff deflate</w:t>
      </w:r>
    </w:p>
    <w:p>
      <w:pPr>
        <w:pStyle w:val="Normal"/>
        <w:ind w:left="720" w:hanging="0"/>
        <w:rPr/>
      </w:pPr>
      <w:r>
        <w:rPr/>
      </w:r>
    </w:p>
    <w:p>
      <w:pPr>
        <w:sectPr>
          <w:headerReference w:type="even" r:id="rId136"/>
          <w:headerReference w:type="default" r:id="rId137"/>
          <w:footerReference w:type="even" r:id="rId138"/>
          <w:footerReference w:type="default" r:id="rId139"/>
          <w:type w:val="oddPage"/>
          <w:pgSz w:w="12240" w:h="15840"/>
          <w:pgMar w:left="2880" w:right="1080" w:gutter="0" w:header="720" w:top="1440" w:footer="720" w:bottom="1440"/>
          <w:pgNumType w:fmt="decimal"/>
          <w:formProt w:val="false"/>
          <w:textDirection w:val="lrTb"/>
          <w:docGrid w:type="default" w:linePitch="360" w:charSpace="0"/>
        </w:sectPr>
        <w:pStyle w:val="Normal"/>
        <w:rPr>
          <w:b/>
          <w:b/>
          <w:sz w:val="28"/>
        </w:rPr>
      </w:pPr>
      <w:r>
        <w:rPr>
          <w:b/>
          <w:sz w:val="28"/>
        </w:rPr>
      </w:r>
    </w:p>
    <w:p>
      <w:pPr>
        <w:pStyle w:val="Subsub"/>
        <w:rPr>
          <w:b/>
          <w:b/>
          <w:sz w:val="28"/>
        </w:rPr>
      </w:pPr>
      <w:r>
        <w:rPr>
          <w:b/>
          <w:sz w:val="28"/>
        </w:rPr>
      </w:r>
    </w:p>
    <w:p>
      <w:pPr>
        <w:pStyle w:val="Subsub"/>
        <w:rPr/>
      </w:pPr>
      <w:bookmarkStart w:id="33" w:name="__RefHeading___Toc503858989"/>
      <w:bookmarkEnd w:id="33"/>
      <w:r>
        <w:rPr/>
        <w:t>3.8.1  Brachial Artery Vasodilatation – Endothelial Function</w:t>
      </w:r>
    </w:p>
    <w:p>
      <w:pPr>
        <w:pStyle w:val="Normal"/>
        <w:rPr>
          <w:b/>
          <w:b/>
          <w:sz w:val="28"/>
        </w:rPr>
      </w:pPr>
      <w:r>
        <w:rPr>
          <w:b/>
          <w:sz w:val="28"/>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Romanbold"/>
        <w:rPr>
          <w:bCs w:val="false"/>
          <w:caps w:val="false"/>
          <w:smallCaps w:val="false"/>
        </w:rPr>
      </w:pPr>
      <w:r>
        <w:rPr>
          <w:bCs w:val="false"/>
          <w:caps w:val="false"/>
          <w:smallCaps w:val="false"/>
        </w:rPr>
      </w:r>
    </w:p>
    <w:p>
      <w:pPr>
        <w:pStyle w:val="Romanbold"/>
        <w:rPr/>
      </w:pPr>
      <w:r>
        <w:rPr>
          <w:bCs w:val="false"/>
          <w:caps w:val="false"/>
          <w:smallCaps w:val="false"/>
        </w:rPr>
        <w:tab/>
        <w:t>I.</w:t>
        <w:tab/>
      </w:r>
      <w:r>
        <w:rPr/>
        <w:t>Introduction</w:t>
      </w:r>
    </w:p>
    <w:p>
      <w:pPr>
        <w:pStyle w:val="Romanbody"/>
        <w:rPr/>
      </w:pPr>
      <w:r>
        <w:rPr/>
      </w:r>
    </w:p>
    <w:p>
      <w:pPr>
        <w:pStyle w:val="Romanbody"/>
        <w:rPr/>
      </w:pPr>
      <w:r>
        <w:rPr/>
        <w:t xml:space="preserve">High resolution B-mode ultrasound imaging is used to accurately measure brachial artery diameters as part of an evaluation of brachial artery reactivity (endothelial function). </w:t>
      </w:r>
    </w:p>
    <w:p>
      <w:pPr>
        <w:pStyle w:val="Romanbody"/>
        <w:rPr/>
      </w:pPr>
      <w:r>
        <w:rPr/>
      </w:r>
    </w:p>
    <w:p>
      <w:pPr>
        <w:pStyle w:val="Romanbody"/>
        <w:rPr/>
      </w:pPr>
      <w:r>
        <w:rPr/>
        <w:t xml:space="preserve">In the evaluation of endothelial function, a blood pressure (occlusive) cuff is inflated over the right forearm. The release of the blood pressure cuff after an appropriate length of time (ideally 5 minutes) induces an increase in blood flow to the ischemic muscles. Following this phase of reactive hyperemia (30 seconds), brachial artery diameter will typically increase and reach a maximum at approximately 60 seconds after the release of the occlusive cuff.  </w:t>
      </w:r>
    </w:p>
    <w:p>
      <w:pPr>
        <w:pStyle w:val="Romanbody"/>
        <w:rPr/>
      </w:pPr>
      <w:r>
        <w:rPr/>
      </w:r>
    </w:p>
    <w:p>
      <w:pPr>
        <w:pStyle w:val="Romanbody"/>
        <w:rPr/>
      </w:pPr>
      <w:r>
        <w:rPr/>
        <w:t xml:space="preserve">Endothelial function is calculated as a percent change in diameter following this stimulus. Alteration in endothelial function has been shown to be associated with prevalent cardiovascular disease. The change in brachial artery diameter is also affected by a subject’s exposure to certain acute stimuli (fatty meal, cigarette smoke). </w:t>
      </w:r>
    </w:p>
    <w:p>
      <w:pPr>
        <w:pStyle w:val="Romanbody"/>
        <w:rPr/>
      </w:pPr>
      <w:r>
        <w:rPr/>
      </w:r>
    </w:p>
    <w:p>
      <w:pPr>
        <w:pStyle w:val="Romanbody"/>
        <w:rPr/>
      </w:pPr>
      <w:r>
        <w:rPr/>
        <w:t>Baseline endothelial function may likely be predictive of long term outcomes. Care must be taken, however, to control for changes in endothelial function that may represent an acute response to a short term stimulus (fatty meal, cigarette smoke).</w:t>
      </w:r>
    </w:p>
    <w:p>
      <w:pPr>
        <w:pStyle w:val="Romanbody"/>
        <w:rPr>
          <w:b/>
          <w:b/>
        </w:rPr>
      </w:pPr>
      <w:r>
        <w:rPr>
          <w:b/>
        </w:rPr>
      </w:r>
    </w:p>
    <w:p>
      <w:pPr>
        <w:pStyle w:val="Number1"/>
        <w:rPr/>
      </w:pPr>
      <w:r>
        <w:rPr>
          <w:b/>
        </w:rPr>
        <w:tab/>
      </w:r>
      <w:r>
        <w:rPr>
          <w:bCs/>
        </w:rPr>
        <w:t>1.</w:t>
        <w:tab/>
      </w:r>
      <w:r>
        <w:rPr>
          <w:bCs/>
          <w:u w:val="single"/>
        </w:rPr>
        <w:t>Introduction to the Brachial Artery Vasodilatation Ultrasound Scanning Prot</w:t>
      </w:r>
      <w:r>
        <w:rPr>
          <w:u w:val="single"/>
        </w:rPr>
        <w:t>ocol</w:t>
      </w:r>
    </w:p>
    <w:p>
      <w:pPr>
        <w:pStyle w:val="Number11"/>
        <w:rPr/>
      </w:pPr>
      <w:r>
        <w:rPr/>
      </w:r>
    </w:p>
    <w:p>
      <w:pPr>
        <w:pStyle w:val="Number11"/>
        <w:rPr/>
      </w:pPr>
      <w:r>
        <w:rPr/>
        <w:tab/>
        <w:t>1.1</w:t>
        <w:tab/>
        <w:t xml:space="preserve">The upper extremity is supplied by the subclavian artery. On the right, the subclavian artery and right common carotid originate from the innominate artery. On the left, the subclavian artery has a separate origin from the aorta. The subclavian artery crosses the clavicle after giving off the vertebral artery, the costo-clavicular trunk and the internal mammary artery.  It then becomes the axillary artery as it crosses the first rib. The axillary continues as the brachial artery below the margin of the teres major muscle. The brachial artery parallels the course of two brachial veins.  On occasion, the brachial artery can be duplicated. At the level of the elbow, the brachial artery has three branches: the radial (lateral), ulnar (medial) and interosseous arteries. The accompanying deep veins are duplicated. It is not uncommon to see an early origin of the radial artery from the brachial artery in the upper arm. The arterial supply to digits is delivered by the superficial arch.  This arch is typically a continuation of the ulnar artery that anastomoses with the radial artery in the proximal palm. </w:t>
      </w:r>
    </w:p>
    <w:p>
      <w:pPr>
        <w:pStyle w:val="Number11"/>
        <w:rPr/>
      </w:pPr>
      <w:r>
        <w:rPr/>
        <w:t xml:space="preserve"> </w:t>
      </w:r>
    </w:p>
    <w:p>
      <w:pPr>
        <w:pStyle w:val="Number11"/>
        <w:rPr/>
      </w:pPr>
      <w:r>
        <w:rPr/>
      </w:r>
    </w:p>
    <w:p>
      <w:pPr>
        <w:pStyle w:val="Number11"/>
        <w:rPr/>
      </w:pPr>
      <w:r>
        <w:rPr/>
        <w:tab/>
        <w:t>1.2</w:t>
        <w:tab/>
        <w:t>Scan location</w:t>
      </w:r>
    </w:p>
    <w:p>
      <w:pPr>
        <w:pStyle w:val="Number11"/>
        <w:rPr/>
      </w:pPr>
      <w:r>
        <w:rPr/>
      </w:r>
    </w:p>
    <w:p>
      <w:pPr>
        <w:pStyle w:val="Number11"/>
        <w:rPr/>
      </w:pPr>
      <w:r>
        <w:rPr/>
        <w:tab/>
        <w:tab/>
        <w:t>The brachial artery can be best imaged with high-resolution ultrasound at the elbow (antecubital fossa) since it lies quite superficial. However, it can inadvertently be compressed when the ultrasound probe is held over this location. Ideally, the artery should be imaged 5 to 9 cm above the antecubital fossa (3 to 7 cm from the leading edge of a 4 cm line at array transducer) where it forms a straight segment, free of major branches. The artery lies deep in the biceps and is less likely to be compressed at this level. In addition, anatomic landmarks such a small arterial branches, tendons, or fascial planes, are readily visualized and can help the sonographer maintain the same position over the selected artery segment.</w:t>
      </w:r>
    </w:p>
    <w:p>
      <w:pPr>
        <w:pStyle w:val="Number11"/>
        <w:rPr/>
      </w:pPr>
      <w:r>
        <w:rPr/>
      </w:r>
    </w:p>
    <w:p>
      <w:pPr>
        <w:pStyle w:val="Number11"/>
        <w:rPr/>
      </w:pPr>
      <w:r>
        <w:rPr/>
        <w:tab/>
        <w:t>1.3</w:t>
        <w:tab/>
        <w:t>Blood pressure measurements</w:t>
      </w:r>
    </w:p>
    <w:p>
      <w:pPr>
        <w:pStyle w:val="Number11"/>
        <w:rPr/>
      </w:pPr>
      <w:r>
        <w:rPr/>
      </w:r>
    </w:p>
    <w:p>
      <w:pPr>
        <w:pStyle w:val="Number11"/>
        <w:rPr/>
      </w:pPr>
      <w:r>
        <w:rPr/>
        <w:tab/>
        <w:tab/>
        <w:t>Blood pressure measurements are made from the right and left arms, 1) at baseline, before inflation of the right arm cuff and 2) is repeated at 3 minutes following release of the occluding cuff (at the conclusion of the protocol). The post occlusion measurement ensures that the maneuver did not cause a change in blood pressure that may have affected the resting tone (diameter) of the artery.</w:t>
      </w:r>
    </w:p>
    <w:p>
      <w:pPr>
        <w:pStyle w:val="Normal"/>
        <w:rPr/>
      </w:pPr>
      <w:r>
        <w:rPr/>
      </w:r>
    </w:p>
    <w:p>
      <w:pPr>
        <w:pStyle w:val="Number11body"/>
        <w:rPr>
          <w:b/>
          <w:b/>
          <w:bCs/>
        </w:rPr>
      </w:pPr>
      <w:r>
        <w:rPr>
          <w:b/>
          <w:bCs/>
        </w:rPr>
        <w:t>Blood Pressure Measurements Summary</w:t>
      </w:r>
    </w:p>
    <w:p>
      <w:pPr>
        <w:pStyle w:val="Contents1"/>
        <w:rPr>
          <w:b/>
          <w:b/>
          <w:bCs/>
        </w:rPr>
      </w:pPr>
      <w:r>
        <w:rPr>
          <w:b/>
          <w:bCs/>
        </w:rPr>
      </w:r>
    </w:p>
    <w:tbl>
      <w:tblPr>
        <w:tblW w:w="4158" w:type="dxa"/>
        <w:jc w:val="left"/>
        <w:tblInd w:w="1471" w:type="dxa"/>
        <w:tblLayout w:type="fixed"/>
        <w:tblCellMar>
          <w:top w:w="0" w:type="dxa"/>
          <w:left w:w="108" w:type="dxa"/>
          <w:bottom w:w="0" w:type="dxa"/>
          <w:right w:w="108" w:type="dxa"/>
        </w:tblCellMar>
      </w:tblPr>
      <w:tblGrid>
        <w:gridCol w:w="2529"/>
        <w:gridCol w:w="1629"/>
      </w:tblGrid>
      <w:tr>
        <w:trPr/>
        <w:tc>
          <w:tcPr>
            <w:tcW w:w="25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20"/>
              </w:rPr>
            </w:pPr>
            <w:r>
              <w:rPr>
                <w:rFonts w:cs="Arial;Arial" w:ascii="Arial;Arial" w:hAnsi="Arial;Arial"/>
                <w:b/>
                <w:sz w:val="20"/>
              </w:rPr>
              <w:t>Time in Protocol</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20"/>
              </w:rPr>
            </w:pPr>
            <w:r>
              <w:rPr>
                <w:rFonts w:cs="Arial;Arial" w:ascii="Arial;Arial" w:hAnsi="Arial;Arial"/>
                <w:b/>
                <w:sz w:val="20"/>
              </w:rPr>
              <w:t>Arm</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Baseline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Right</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Baseline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Left</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 minutes after release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Left</w:t>
            </w:r>
          </w:p>
        </w:tc>
      </w:tr>
    </w:tbl>
    <w:p>
      <w:pPr>
        <w:pStyle w:val="Normal"/>
        <w:rPr/>
      </w:pPr>
      <w:r>
        <w:rPr/>
      </w:r>
    </w:p>
    <w:p>
      <w:pPr>
        <w:pStyle w:val="Number11"/>
        <w:rPr/>
      </w:pPr>
      <w:r>
        <w:rPr/>
        <w:tab/>
        <w:t>1.4</w:t>
        <w:tab/>
        <w:t>Discomfort</w:t>
      </w:r>
    </w:p>
    <w:p>
      <w:pPr>
        <w:pStyle w:val="Number11"/>
        <w:rPr/>
      </w:pPr>
      <w:r>
        <w:rPr/>
      </w:r>
    </w:p>
    <w:p>
      <w:pPr>
        <w:pStyle w:val="Number11"/>
        <w:rPr/>
      </w:pPr>
      <w:r>
        <w:rPr/>
        <w:tab/>
        <w:tab/>
        <w:t>A visual analog scale has been used to compare this testing procedure to venipuncture and to gauge the level of pain experienced by subjects. The level of discomfort is less that that experienced during a venipuncture.</w:t>
      </w:r>
    </w:p>
    <w:p>
      <w:pPr>
        <w:pStyle w:val="Number11"/>
        <w:rPr/>
      </w:pPr>
      <w:r>
        <w:rPr/>
      </w:r>
    </w:p>
    <w:p>
      <w:pPr>
        <w:pStyle w:val="Number1"/>
        <w:rPr/>
      </w:pPr>
      <w:r>
        <w:rPr/>
        <w:tab/>
        <w:t>2.</w:t>
        <w:tab/>
      </w:r>
      <w:r>
        <w:rPr>
          <w:u w:val="single"/>
        </w:rPr>
        <w:t>Participant Exclusion</w:t>
      </w:r>
    </w:p>
    <w:p>
      <w:pPr>
        <w:pStyle w:val="Number1body"/>
        <w:rPr/>
      </w:pPr>
      <w:r>
        <w:rPr/>
      </w:r>
    </w:p>
    <w:p>
      <w:pPr>
        <w:pStyle w:val="Number1body"/>
        <w:rPr/>
      </w:pPr>
      <w:r>
        <w:rPr/>
        <w:t xml:space="preserve">Participants who have any of the following are excluded from the Brachial Artery Vasodilatation- Endothelial Function procedure. </w:t>
      </w:r>
    </w:p>
    <w:p>
      <w:pPr>
        <w:pStyle w:val="Number1bodybullet"/>
        <w:rPr/>
      </w:pPr>
      <w:r>
        <w:rPr/>
      </w:r>
    </w:p>
    <w:p>
      <w:pPr>
        <w:pStyle w:val="Number1bodybullet"/>
        <w:rPr/>
      </w:pPr>
      <w:r>
        <w:rPr>
          <w:rFonts w:eastAsia="Symbol" w:cs="Symbol" w:ascii="Symbol" w:hAnsi="Symbol"/>
        </w:rPr>
        <w:t></w:t>
      </w:r>
      <w:r>
        <w:rPr/>
        <w:tab/>
        <w:t>Blood pressures in the right and left arms that differ by more than 15 mm Hg</w:t>
      </w:r>
    </w:p>
    <w:p>
      <w:pPr>
        <w:pStyle w:val="Number1bodybullet"/>
        <w:rPr/>
      </w:pPr>
      <w:r>
        <w:rPr>
          <w:rFonts w:eastAsia="Symbol" w:cs="Symbol" w:ascii="Symbol" w:hAnsi="Symbol"/>
        </w:rPr>
        <w:t></w:t>
      </w:r>
      <w:r>
        <w:rPr/>
        <w:tab/>
        <w:t>Raynaud’s phenomenon</w:t>
      </w:r>
    </w:p>
    <w:p>
      <w:pPr>
        <w:pStyle w:val="Number1bodybullet"/>
        <w:rPr/>
      </w:pPr>
      <w:r>
        <w:rPr>
          <w:rFonts w:eastAsia="Symbol" w:cs="Symbol" w:ascii="Symbol" w:hAnsi="Symbol"/>
        </w:rPr>
        <w:t></w:t>
      </w:r>
      <w:r>
        <w:rPr/>
        <w:tab/>
        <w:t>Congenital abnormality of the arm or hand</w:t>
      </w:r>
    </w:p>
    <w:p>
      <w:pPr>
        <w:pStyle w:val="Number1bodybullet"/>
        <w:rPr/>
      </w:pPr>
      <w:r>
        <w:rPr>
          <w:rFonts w:eastAsia="Symbol" w:cs="Symbol" w:ascii="Symbol" w:hAnsi="Symbol"/>
        </w:rPr>
        <w:t></w:t>
      </w:r>
      <w:r>
        <w:rPr/>
        <w:tab/>
        <w:t>Radical mastectomy on either side</w:t>
      </w:r>
    </w:p>
    <w:p>
      <w:pPr>
        <w:pStyle w:val="Number1bodybullet"/>
        <w:rPr/>
      </w:pPr>
      <w:r>
        <w:rPr/>
      </w:r>
    </w:p>
    <w:p>
      <w:pPr>
        <w:pStyle w:val="Number1"/>
        <w:rPr/>
      </w:pPr>
      <w:r>
        <w:rPr/>
        <w:tab/>
        <w:t>3.</w:t>
        <w:tab/>
      </w:r>
      <w:r>
        <w:rPr>
          <w:u w:val="single"/>
        </w:rPr>
        <w:t>Possible complications</w:t>
      </w:r>
    </w:p>
    <w:p>
      <w:pPr>
        <w:pStyle w:val="Number1"/>
        <w:rPr/>
      </w:pPr>
      <w:r>
        <w:rPr/>
      </w:r>
    </w:p>
    <w:p>
      <w:pPr>
        <w:pStyle w:val="Number11"/>
        <w:rPr/>
      </w:pPr>
      <w:r>
        <w:rPr/>
        <w:tab/>
        <w:t>3.1</w:t>
        <w:tab/>
        <w:t>Blood pressure measurements are made in both arms to verify that there are no significant gradients, 15 mm Hg or more. The protocol will not be done in individuals with a blood pressure difference between the arms of 15 mm Hg or more because the gradient may be indicative of a subclavian stenosis. Inducing a hyperemic response could then cause a subclavian steal and acute vertebro-basilar insufficiency. If this should occur, the cuff should be re-inflated and then slowly deflated over the next few minutes. The procedure should be terminated.</w:t>
      </w:r>
    </w:p>
    <w:p>
      <w:pPr>
        <w:pStyle w:val="Number11"/>
        <w:rPr/>
      </w:pPr>
      <w:r>
        <w:rPr/>
      </w:r>
    </w:p>
    <w:p>
      <w:pPr>
        <w:pStyle w:val="Number11"/>
        <w:rPr/>
      </w:pPr>
      <w:r>
        <w:rPr/>
        <w:tab/>
        <w:t>3.2</w:t>
        <w:tab/>
        <w:t>Additional relative contraindications are a</w:t>
      </w:r>
      <w:r>
        <w:rPr>
          <w:i/>
          <w:iCs/>
        </w:rPr>
        <w:t xml:space="preserve"> medically documented history of Raynaud’s phenomenon.</w:t>
      </w:r>
      <w:r>
        <w:rPr/>
        <w:t xml:space="preserve"> This is a spastic disorder of the arteries most commonly manifested as vasospasm and markedly decreased circulation to the arteries of the hand (digits) with exposure to cold. The fear is that the ischemia during the inflation of the occlusive cuff might precipitate an acute episode of vasospasm. If this occurs, the procedure should be terminated and the hand exposed to warm water. </w:t>
      </w:r>
    </w:p>
    <w:p>
      <w:pPr>
        <w:pStyle w:val="Number11"/>
        <w:rPr/>
      </w:pPr>
      <w:r>
        <w:rPr/>
      </w:r>
    </w:p>
    <w:p>
      <w:pPr>
        <w:pStyle w:val="Number11"/>
        <w:rPr/>
      </w:pPr>
      <w:r>
        <w:rPr/>
        <w:tab/>
        <w:t>3.3</w:t>
        <w:tab/>
        <w:t>Previous surgery or radiation therapy to the arm or axilla (mastectomy, lymph node dissection) is a relative counter-indication.  The previous surgery might have affected nerve function to the extremity and perturb endothelial function.  A radical mastectomy is the removal of breast, associated lymph nodes, and underlying musculature. It does not include lumpectomy or simple mastectomy.  The use of previous radiation therapy is a relative contraindication since the measurement might be affected.</w:t>
      </w:r>
    </w:p>
    <w:p>
      <w:pPr>
        <w:pStyle w:val="Number11"/>
        <w:rPr/>
      </w:pPr>
      <w:r>
        <w:rPr/>
      </w:r>
    </w:p>
    <w:p>
      <w:pPr>
        <w:pStyle w:val="Number1"/>
        <w:rPr/>
      </w:pPr>
      <w:r>
        <w:rPr/>
        <w:tab/>
        <w:t>4.</w:t>
        <w:tab/>
      </w:r>
      <w:r>
        <w:rPr>
          <w:u w:val="single"/>
        </w:rPr>
        <w:t>Alerts</w:t>
      </w:r>
    </w:p>
    <w:p>
      <w:pPr>
        <w:pStyle w:val="Number1"/>
        <w:rPr/>
      </w:pPr>
      <w:r>
        <w:rPr/>
      </w:r>
    </w:p>
    <w:p>
      <w:pPr>
        <w:pStyle w:val="Number1"/>
        <w:rPr/>
      </w:pPr>
      <w:r>
        <w:rPr/>
        <w:tab/>
        <w:tab/>
        <w:t>There are alert values related to blood pressure measurements that force cancellation of the examination:</w:t>
      </w:r>
    </w:p>
    <w:p>
      <w:pPr>
        <w:pStyle w:val="Number1"/>
        <w:rPr/>
      </w:pPr>
      <w:r>
        <w:rPr/>
      </w:r>
    </w:p>
    <w:p>
      <w:pPr>
        <w:pStyle w:val="Number1bodybullet"/>
        <w:rPr/>
      </w:pPr>
      <w:r>
        <w:rPr>
          <w:rFonts w:eastAsia="Symbol" w:cs="Symbol" w:ascii="Symbol" w:hAnsi="Symbol"/>
        </w:rPr>
        <w:t></w:t>
      </w:r>
      <w:r>
        <w:rPr/>
        <w:tab/>
        <w:t xml:space="preserve">Difference between arms </w:t>
      </w:r>
      <w:r>
        <w:rPr>
          <w:rFonts w:eastAsia="Symbol" w:cs="Symbol" w:ascii="Symbol" w:hAnsi="Symbol"/>
        </w:rPr>
        <w:t></w:t>
      </w:r>
      <w:r>
        <w:rPr/>
        <w:t>15 mm Hg</w:t>
      </w:r>
    </w:p>
    <w:p>
      <w:pPr>
        <w:pStyle w:val="Number1bodybullet"/>
        <w:rPr/>
      </w:pPr>
      <w:r>
        <w:rPr>
          <w:rFonts w:eastAsia="Symbol" w:cs="Symbol" w:ascii="Symbol" w:hAnsi="Symbol"/>
          <w:b/>
        </w:rPr>
        <w:t></w:t>
      </w:r>
      <w:r>
        <w:rPr>
          <w:b/>
        </w:rPr>
        <w:tab/>
        <w:t>Immediate:</w:t>
      </w:r>
      <w:r>
        <w:rPr/>
        <w:t xml:space="preserve"> systolic &gt;200 mm Hg or diastolic &gt;120 mm Hg</w:t>
      </w:r>
    </w:p>
    <w:p>
      <w:pPr>
        <w:pStyle w:val="Number1bodybullet"/>
        <w:rPr/>
      </w:pPr>
      <w:r>
        <w:rPr>
          <w:rFonts w:eastAsia="Symbol" w:cs="Symbol" w:ascii="Symbol" w:hAnsi="Symbol"/>
          <w:b/>
        </w:rPr>
        <w:t></w:t>
      </w:r>
      <w:r>
        <w:rPr>
          <w:b/>
        </w:rPr>
        <w:tab/>
        <w:t>Urgent:</w:t>
      </w:r>
      <w:r>
        <w:rPr/>
        <w:t xml:space="preserve"> systolic &gt;180 mm Hg or diastolic &gt;110 mm Hg</w:t>
      </w:r>
    </w:p>
    <w:p>
      <w:pPr>
        <w:pStyle w:val="Number1"/>
        <w:rPr/>
      </w:pPr>
      <w:r>
        <w:rPr/>
      </w:r>
    </w:p>
    <w:p>
      <w:pPr>
        <w:pStyle w:val="Number1body"/>
        <w:rPr/>
      </w:pPr>
      <w:r>
        <w:rPr/>
        <w:t>A record is also made of cases in which the procedure is contraindicated or terminated because of participant discomfort or other signs or symptoms. These should be immediately reported to the Ultrasound Reading Center.</w:t>
      </w:r>
    </w:p>
    <w:p>
      <w:pPr>
        <w:pStyle w:val="Number1body"/>
        <w:rPr>
          <w:b/>
          <w:b/>
        </w:rPr>
      </w:pPr>
      <w:r>
        <w:rPr>
          <w:b/>
        </w:rPr>
      </w:r>
    </w:p>
    <w:p>
      <w:pPr>
        <w:pStyle w:val="Number1body"/>
        <w:rPr>
          <w:b/>
          <w:b/>
        </w:rPr>
      </w:pPr>
      <w:r>
        <w:rPr/>
        <w:t xml:space="preserve">There are </w:t>
      </w:r>
      <w:r>
        <w:rPr>
          <w:i/>
          <w:iCs/>
        </w:rPr>
        <w:t>no alerts</w:t>
      </w:r>
      <w:r>
        <w:rPr/>
        <w:t xml:space="preserve"> associated with measurements of endothelial function, because there are no critical values of endothelial function.</w:t>
      </w:r>
    </w:p>
    <w:p>
      <w:pPr>
        <w:pStyle w:val="Number1bodybullet"/>
        <w:rPr>
          <w:b/>
          <w:b/>
        </w:rPr>
      </w:pPr>
      <w:r>
        <w:rPr>
          <w:b/>
        </w:rPr>
      </w:r>
    </w:p>
    <w:p>
      <w:pPr>
        <w:pStyle w:val="Romanbold"/>
        <w:rPr/>
      </w:pPr>
      <w:r>
        <w:rPr/>
        <w:tab/>
        <w:t>II.</w:t>
        <w:tab/>
        <w:t>Procedures</w:t>
      </w:r>
    </w:p>
    <w:p>
      <w:pPr>
        <w:pStyle w:val="Number1body"/>
        <w:rPr>
          <w:b/>
          <w:b/>
        </w:rPr>
      </w:pPr>
      <w:r>
        <w:rPr>
          <w:b/>
        </w:rPr>
      </w:r>
    </w:p>
    <w:p>
      <w:pPr>
        <w:pStyle w:val="Number1"/>
        <w:rPr/>
      </w:pPr>
      <w:r>
        <w:rPr/>
        <w:tab/>
        <w:t>1.</w:t>
        <w:tab/>
      </w:r>
      <w:r>
        <w:rPr>
          <w:u w:val="single"/>
        </w:rPr>
        <w:t>Participant Preparation</w:t>
      </w:r>
      <w:r>
        <w:rPr/>
        <w:t xml:space="preserve"> </w:t>
      </w:r>
    </w:p>
    <w:p>
      <w:pPr>
        <w:pStyle w:val="Number1body"/>
        <w:rPr/>
      </w:pPr>
      <w:r>
        <w:rPr/>
      </w:r>
    </w:p>
    <w:p>
      <w:pPr>
        <w:pStyle w:val="Number11"/>
        <w:rPr/>
      </w:pPr>
      <w:r>
        <w:rPr/>
        <w:tab/>
        <w:t>1.1</w:t>
        <w:tab/>
        <w:t>Participants should abstain from food for six hours prior to the brachial artery endothelial function scan. They may have juices or water (no coffee, milk or cream) during this period. If necessary, a small snack, mostly carbohydrates and no fat content may optionally be given 90 minutes prior to the endothelial function test. If the participant has eaten anything in the previous 90 minutes the sonographer must delay the test until 90 minutes has passed. Consumption of vitamin E or C in the six hours before the procedure is discouraged, and the participant should not have smoked any cigarettes. Juices that do not contain significant amounts of Vitamin C are recommended.</w:t>
      </w:r>
    </w:p>
    <w:p>
      <w:pPr>
        <w:pStyle w:val="Number11"/>
        <w:rPr/>
      </w:pPr>
      <w:r>
        <w:rPr/>
      </w:r>
    </w:p>
    <w:p>
      <w:pPr>
        <w:pStyle w:val="Number11"/>
        <w:rPr/>
      </w:pPr>
      <w:r>
        <w:rPr/>
        <w:tab/>
        <w:t>1.2</w:t>
        <w:tab/>
        <w:t>A special snack will be made available to participants who may require some nourishment when waiting for their studies. Record the time the snack is eaten.</w:t>
      </w:r>
    </w:p>
    <w:p>
      <w:pPr>
        <w:pStyle w:val="Number1body"/>
        <w:rPr/>
      </w:pPr>
      <w:r>
        <w:rPr/>
      </w:r>
    </w:p>
    <w:p>
      <w:pPr>
        <w:pStyle w:val="Number1"/>
        <w:rPr/>
      </w:pPr>
      <w:r>
        <w:rPr/>
        <w:tab/>
        <w:t>2.</w:t>
        <w:tab/>
      </w:r>
      <w:r>
        <w:rPr>
          <w:u w:val="single"/>
        </w:rPr>
        <w:t>Participant position and blood pressure cuff location</w:t>
      </w:r>
    </w:p>
    <w:p>
      <w:pPr>
        <w:pStyle w:val="Normal"/>
        <w:rPr/>
      </w:pPr>
      <w:r>
        <w:rPr/>
      </w:r>
    </w:p>
    <w:p>
      <w:pPr>
        <w:pStyle w:val="Number11"/>
        <w:rPr/>
      </w:pPr>
      <w:r>
        <w:rPr/>
        <w:tab/>
        <w:t>2.1</w:t>
        <w:tab/>
        <w:t xml:space="preserve">A blood pressure cuff is placed on the </w:t>
      </w:r>
      <w:r>
        <w:rPr>
          <w:i/>
          <w:iCs/>
        </w:rPr>
        <w:t>right</w:t>
      </w:r>
      <w:r>
        <w:rPr/>
        <w:t xml:space="preserve"> upper arm and is connected to the automated sphygmomanometer (Dinamap</w:t>
      </w:r>
      <w:r>
        <w:rPr>
          <w:rFonts w:eastAsia="Symbol" w:cs="Symbol" w:ascii="Symbol" w:hAnsi="Symbol"/>
        </w:rPr>
        <w:t></w:t>
      </w:r>
      <w:r>
        <w:rPr/>
        <w:t>). A blood pressure measurement is made and recorded.</w:t>
      </w:r>
    </w:p>
    <w:p>
      <w:pPr>
        <w:pStyle w:val="Number11"/>
        <w:rPr/>
      </w:pPr>
      <w:r>
        <w:rPr/>
      </w:r>
    </w:p>
    <w:p>
      <w:pPr>
        <w:pStyle w:val="Number11"/>
        <w:rPr/>
      </w:pPr>
      <w:r>
        <w:rPr/>
        <w:tab/>
        <w:t>2.2</w:t>
        <w:tab/>
        <w:t xml:space="preserve">The blood pressure cuff is then placed around the </w:t>
      </w:r>
      <w:r>
        <w:rPr>
          <w:i/>
          <w:iCs/>
        </w:rPr>
        <w:t xml:space="preserve">left </w:t>
      </w:r>
      <w:r>
        <w:rPr/>
        <w:t>upper arm and is connected to the automated sphygmomanometer (Dinamap</w:t>
      </w:r>
      <w:r>
        <w:rPr>
          <w:rFonts w:eastAsia="Symbol" w:cs="Symbol" w:ascii="Symbol" w:hAnsi="Symbol"/>
        </w:rPr>
        <w:t></w:t>
      </w:r>
      <w:r>
        <w:rPr/>
        <w:t>). A blood pressure measurement is made and recorded.</w:t>
      </w:r>
    </w:p>
    <w:p>
      <w:pPr>
        <w:pStyle w:val="Number11"/>
        <w:rPr/>
      </w:pPr>
      <w:r>
        <w:rPr/>
      </w:r>
    </w:p>
    <w:p>
      <w:pPr>
        <w:pStyle w:val="Number11"/>
        <w:rPr/>
      </w:pPr>
      <w:r>
        <w:rPr/>
        <w:tab/>
        <w:t>2.3</w:t>
        <w:tab/>
        <w:t xml:space="preserve">The highest of the two blood pressure measurements is used if it is within 15 mm Hg of the lower reading in either arm. </w:t>
      </w:r>
      <w:r>
        <w:rPr>
          <w:i/>
          <w:iCs/>
        </w:rPr>
        <w:t>If there is a greater than 15 mmHg difference, the procedure is terminated and the appropriate form completed.</w:t>
      </w:r>
    </w:p>
    <w:p>
      <w:pPr>
        <w:pStyle w:val="Number11"/>
        <w:rPr>
          <w:i/>
          <w:i/>
          <w:iCs/>
        </w:rPr>
      </w:pPr>
      <w:r>
        <w:rPr>
          <w:i/>
          <w:iCs/>
        </w:rPr>
      </w:r>
    </w:p>
    <w:p>
      <w:pPr>
        <w:pStyle w:val="Number11"/>
        <w:rPr/>
      </w:pPr>
      <w:r>
        <w:rPr/>
        <w:tab/>
        <w:t>2.4</w:t>
        <w:tab/>
        <w:t>The participant is supine during the examination and is made comfortable with the</w:t>
      </w:r>
      <w:r>
        <w:rPr>
          <w:i/>
          <w:iCs/>
        </w:rPr>
        <w:t xml:space="preserve"> right</w:t>
      </w:r>
      <w:r>
        <w:rPr/>
        <w:t xml:space="preserve"> arm supported at the elbow and wrist. The arm is held in a slightly abducted position. The sonographer places the </w:t>
      </w:r>
      <w:r>
        <w:rPr>
          <w:i/>
          <w:iCs/>
        </w:rPr>
        <w:t xml:space="preserve">occlusion blood pressure cuff over the proximal right forearm, </w:t>
      </w:r>
      <w:r>
        <w:rPr/>
        <w:t>just below the antecubital fossa. The sonographer is seated at the end of the examination table near the participant's arm and has a clear view of the ultrasound monitor. Participants may wish to turn their heads to look at the screen. The sonographer should emphasize the importance of not moving and should alert the participant to the possibility of sudden inflation/deflation of the cuff.The occlusion cuff is automatically inflated by pressing a foot switch. Deflation time and inflation pressures are standardized as follows:</w:t>
      </w:r>
    </w:p>
    <w:p>
      <w:pPr>
        <w:pStyle w:val="Normal"/>
        <w:ind w:left="360" w:hanging="360"/>
        <w:rPr/>
      </w:pPr>
      <w:r>
        <w:rPr/>
      </w:r>
    </w:p>
    <w:p>
      <w:pPr>
        <w:pStyle w:val="Number11bodybullet"/>
        <w:rPr/>
      </w:pPr>
      <w:r>
        <w:rPr/>
        <w:tab/>
      </w:r>
      <w:r>
        <w:rPr>
          <w:rFonts w:eastAsia="Symbol" w:cs="Symbol" w:ascii="Symbol" w:hAnsi="Symbol"/>
        </w:rPr>
        <w:t></w:t>
      </w:r>
      <w:r>
        <w:rPr/>
        <w:tab/>
        <w:t>Deflation time is 5 minutes after inflation of the occlusion cuff.</w:t>
      </w:r>
    </w:p>
    <w:p>
      <w:pPr>
        <w:pStyle w:val="Number11bodybullet"/>
        <w:rPr/>
      </w:pPr>
      <w:r>
        <w:rPr/>
        <w:tab/>
      </w:r>
      <w:r>
        <w:rPr>
          <w:rFonts w:eastAsia="Symbol" w:cs="Symbol" w:ascii="Symbol" w:hAnsi="Symbol"/>
        </w:rPr>
        <w:t></w:t>
      </w:r>
      <w:r>
        <w:rPr/>
        <w:tab/>
        <w:t>Inflation pressure is 200 mmHg if the systolic blood pressure is less than 150 mmHg</w:t>
      </w:r>
    </w:p>
    <w:p>
      <w:pPr>
        <w:pStyle w:val="Number11bodybullet"/>
        <w:rPr/>
      </w:pPr>
      <w:r>
        <w:rPr/>
        <w:tab/>
      </w:r>
      <w:r>
        <w:rPr>
          <w:rFonts w:eastAsia="Symbol" w:cs="Symbol" w:ascii="Symbol" w:hAnsi="Symbol"/>
        </w:rPr>
        <w:t></w:t>
      </w:r>
      <w:r>
        <w:rPr/>
        <w:tab/>
        <w:t xml:space="preserve">If the blood pressure is greater than 150 mmHg but less than 180 mmHg then </w:t>
      </w:r>
    </w:p>
    <w:p>
      <w:pPr>
        <w:pStyle w:val="Number11bodybullet"/>
        <w:rPr/>
      </w:pPr>
      <w:r>
        <w:rPr/>
        <w:tab/>
      </w:r>
      <w:r>
        <w:rPr>
          <w:rFonts w:eastAsia="Symbol" w:cs="Symbol" w:ascii="Symbol" w:hAnsi="Symbol"/>
        </w:rPr>
        <w:t></w:t>
      </w:r>
      <w:r>
        <w:rPr/>
        <w:tab/>
        <w:t xml:space="preserve">Inflation pressure is blood pressure + 50 mmHg </w:t>
      </w:r>
    </w:p>
    <w:p>
      <w:pPr>
        <w:pStyle w:val="Number11bodybullet"/>
        <w:rPr/>
      </w:pPr>
      <w:r>
        <w:rPr/>
      </w:r>
    </w:p>
    <w:p>
      <w:pPr>
        <w:pStyle w:val="Number11"/>
        <w:rPr/>
      </w:pPr>
      <w:r>
        <w:rPr/>
        <w:tab/>
        <w:t>2.5</w:t>
        <w:tab/>
        <w:t>At the end of the procedure, a final blood pressure is obtained from the left arm blood pressure cuff, which has remained connected to the Dinamap</w:t>
      </w:r>
      <w:r>
        <w:rPr>
          <w:rFonts w:eastAsia="Symbol" w:cs="Symbol" w:ascii="Symbol" w:hAnsi="Symbol"/>
        </w:rPr>
        <w:t></w:t>
      </w:r>
      <w:r>
        <w:rPr/>
        <w:t xml:space="preserve"> device.</w:t>
      </w:r>
    </w:p>
    <w:p>
      <w:pPr>
        <w:pStyle w:val="Normal"/>
        <w:rPr/>
      </w:pPr>
      <w:r>
        <w:rPr/>
      </w:r>
    </w:p>
    <w:p>
      <w:pPr>
        <w:pStyle w:val="Number1"/>
        <w:rPr/>
      </w:pPr>
      <w:r>
        <w:rPr/>
        <w:tab/>
        <w:t>3.</w:t>
        <w:tab/>
      </w:r>
      <w:r>
        <w:rPr>
          <w:u w:val="single"/>
        </w:rPr>
        <w:t>Anatomical sites of interest</w:t>
      </w:r>
    </w:p>
    <w:p>
      <w:pPr>
        <w:pStyle w:val="Normal"/>
        <w:rPr/>
      </w:pPr>
      <w:r>
        <w:rPr/>
      </w:r>
    </w:p>
    <w:p>
      <w:pPr>
        <w:pStyle w:val="Number1body"/>
        <w:rPr/>
      </w:pPr>
      <w:r>
        <w:rPr/>
        <w:t>In the lower portion of the upper arm, the distal brachial artery should lie parallel to the two brachial veins. There should not be any major branches arising from the segment of interest.</w:t>
      </w:r>
    </w:p>
    <w:p>
      <w:pPr>
        <w:pStyle w:val="Number1body"/>
        <w:rPr/>
      </w:pPr>
      <w:r>
        <w:rPr/>
      </w:r>
    </w:p>
    <w:p>
      <w:pPr>
        <w:pStyle w:val="Number1body"/>
        <w:rPr>
          <w:u w:val="single"/>
        </w:rPr>
      </w:pPr>
      <w:r>
        <w:rPr>
          <w:u w:val="single"/>
        </w:rPr>
        <w:t>Anatomical Definitions</w:t>
      </w:r>
    </w:p>
    <w:p>
      <w:pPr>
        <w:pStyle w:val="Number1body"/>
        <w:rPr>
          <w:u w:val="single"/>
        </w:rPr>
      </w:pPr>
      <w:r>
        <w:rPr>
          <w:u w:val="single"/>
        </w:rPr>
      </w:r>
    </w:p>
    <w:p>
      <w:pPr>
        <w:pStyle w:val="Number1bodybullet"/>
        <w:rPr/>
      </w:pPr>
      <w:r>
        <w:rPr>
          <w:rFonts w:eastAsia="Symbol" w:cs="Symbol" w:ascii="Symbol" w:hAnsi="Symbol"/>
        </w:rPr>
        <w:t></w:t>
      </w:r>
      <w:r>
        <w:rPr/>
        <w:tab/>
        <w:t>Very distal brachial artery: this is the segment of the brachial artery immediately before it bifurcates into the radial, ulnar and interosseous branches. It is located in the antecubital fossa.</w:t>
      </w:r>
    </w:p>
    <w:p>
      <w:pPr>
        <w:pStyle w:val="Number1bodybullet"/>
        <w:rPr/>
      </w:pPr>
      <w:r>
        <w:rPr/>
      </w:r>
    </w:p>
    <w:p>
      <w:pPr>
        <w:pStyle w:val="Number1bodybullet"/>
        <w:rPr/>
      </w:pPr>
      <w:r>
        <w:rPr>
          <w:rFonts w:eastAsia="Symbol" w:cs="Symbol" w:ascii="Symbol" w:hAnsi="Symbol"/>
        </w:rPr>
        <w:t></w:t>
      </w:r>
      <w:r>
        <w:rPr/>
        <w:tab/>
        <w:t>Distal brachial artery: the brachial artery segment in the lower half of the upper arm.</w:t>
      </w:r>
    </w:p>
    <w:p>
      <w:pPr>
        <w:pStyle w:val="Number1bodybullet"/>
        <w:rPr/>
      </w:pPr>
      <w:r>
        <w:rPr/>
      </w:r>
    </w:p>
    <w:p>
      <w:pPr>
        <w:pStyle w:val="Number1bodybullet"/>
        <w:rPr/>
      </w:pPr>
      <w:r>
        <w:rPr>
          <w:rFonts w:eastAsia="Symbol" w:cs="Symbol" w:ascii="Symbol" w:hAnsi="Symbol"/>
        </w:rPr>
        <w:t></w:t>
      </w:r>
      <w:r>
        <w:rPr/>
        <w:tab/>
        <w:t>Proximal brachial artery: the artery in the upper portion of the arm.  This segments lies above the major branches feeding the arm muscles. The vasodilatation response will be blunted at this level.</w:t>
      </w:r>
    </w:p>
    <w:p>
      <w:pPr>
        <w:pStyle w:val="Number1bodybullet"/>
        <w:rPr/>
      </w:pPr>
      <w:r>
        <w:rPr/>
      </w:r>
    </w:p>
    <w:p>
      <w:pPr>
        <w:pStyle w:val="Number1"/>
        <w:rPr/>
      </w:pPr>
      <w:r>
        <w:rPr/>
        <w:tab/>
        <w:t>4.</w:t>
        <w:tab/>
        <w:t>Initial Scan</w:t>
      </w:r>
    </w:p>
    <w:p>
      <w:pPr>
        <w:pStyle w:val="Normal"/>
        <w:rPr/>
      </w:pPr>
      <w:r>
        <w:rPr/>
      </w:r>
    </w:p>
    <w:p>
      <w:pPr>
        <w:pStyle w:val="Number1body"/>
        <w:rPr/>
      </w:pPr>
      <w:r>
        <w:rPr/>
        <w:t>The purpose of the initial scan is to orient the sonographer to the participant’s brachial artery anatomy, to locate the bifurcation in the antecubital fossa and to follow the artery upwards until a straight segment is identified. Color and pulse-wave Doppler can be used as identification aids to differentiate the artery from the accompanying veins.</w:t>
      </w:r>
    </w:p>
    <w:p>
      <w:pPr>
        <w:pStyle w:val="Number1body"/>
        <w:rPr/>
      </w:pPr>
      <w:r>
        <w:rPr/>
      </w:r>
    </w:p>
    <w:p>
      <w:pPr>
        <w:pStyle w:val="Number1body"/>
        <w:rPr/>
      </w:pPr>
      <w:r>
        <w:rPr/>
        <w:t>A Brachial Artery Endothelial Function preset has been entered in the GE Logiq 700 device.</w:t>
      </w:r>
    </w:p>
    <w:p>
      <w:pPr>
        <w:pStyle w:val="Number1body"/>
        <w:rPr/>
      </w:pPr>
      <w:r>
        <w:rPr/>
      </w:r>
    </w:p>
    <w:p>
      <w:pPr>
        <w:pStyle w:val="Number11body"/>
        <w:rPr>
          <w:rFonts w:ascii="Arial;Arial" w:hAnsi="Arial;Arial" w:cs="Arial;Arial"/>
          <w:sz w:val="20"/>
        </w:rPr>
      </w:pPr>
      <w:r>
        <w:rPr>
          <w:rFonts w:cs="Arial;Arial" w:ascii="Arial;Arial" w:hAnsi="Arial;Arial"/>
          <w:sz w:val="20"/>
        </w:rPr>
        <w:t>M12L transducer</w:t>
      </w:r>
    </w:p>
    <w:p>
      <w:pPr>
        <w:pStyle w:val="Number11body"/>
        <w:rPr>
          <w:rFonts w:ascii="Arial;Arial" w:hAnsi="Arial;Arial" w:cs="Arial;Arial"/>
          <w:sz w:val="20"/>
        </w:rPr>
      </w:pPr>
      <w:r>
        <w:rPr>
          <w:rFonts w:cs="Arial;Arial" w:ascii="Arial;Arial" w:hAnsi="Arial;Arial"/>
          <w:sz w:val="20"/>
        </w:rPr>
        <w:t>2 focal zones</w:t>
      </w:r>
    </w:p>
    <w:p>
      <w:pPr>
        <w:pStyle w:val="Number11body"/>
        <w:rPr>
          <w:rFonts w:ascii="Arial;Arial" w:hAnsi="Arial;Arial" w:cs="Arial;Arial"/>
          <w:sz w:val="20"/>
        </w:rPr>
      </w:pPr>
      <w:r>
        <w:rPr>
          <w:rFonts w:cs="Arial;Arial" w:ascii="Arial;Arial" w:hAnsi="Arial;Arial"/>
          <w:sz w:val="20"/>
        </w:rPr>
        <w:t>2 focal zones should be placed in mid artery</w:t>
      </w:r>
    </w:p>
    <w:p>
      <w:pPr>
        <w:pStyle w:val="Number11body"/>
        <w:rPr>
          <w:rFonts w:ascii="Arial;Arial" w:hAnsi="Arial;Arial" w:cs="Arial;Arial"/>
          <w:sz w:val="20"/>
        </w:rPr>
      </w:pPr>
      <w:r>
        <w:rPr>
          <w:rFonts w:cs="Arial;Arial" w:ascii="Arial;Arial" w:hAnsi="Arial;Arial"/>
          <w:sz w:val="20"/>
        </w:rPr>
        <w:t>Frequency: 9 MHz</w:t>
      </w:r>
    </w:p>
    <w:p>
      <w:pPr>
        <w:pStyle w:val="Number11body"/>
        <w:rPr>
          <w:rFonts w:ascii="Arial;Arial" w:hAnsi="Arial;Arial" w:cs="Arial;Arial"/>
          <w:sz w:val="20"/>
        </w:rPr>
      </w:pPr>
      <w:r>
        <w:rPr>
          <w:rFonts w:cs="Arial;Arial" w:ascii="Arial;Arial" w:hAnsi="Arial;Arial"/>
          <w:sz w:val="20"/>
        </w:rPr>
        <w:t>66 Dyn Range</w:t>
      </w:r>
    </w:p>
    <w:p>
      <w:pPr>
        <w:pStyle w:val="Number11body"/>
        <w:rPr>
          <w:rFonts w:ascii="Arial;Arial" w:hAnsi="Arial;Arial" w:cs="Arial;Arial"/>
          <w:sz w:val="20"/>
        </w:rPr>
      </w:pPr>
      <w:r>
        <w:rPr>
          <w:rFonts w:cs="Arial;Arial" w:ascii="Arial;Arial" w:hAnsi="Arial;Arial"/>
          <w:sz w:val="20"/>
        </w:rPr>
        <w:t>Res</w:t>
      </w:r>
    </w:p>
    <w:p>
      <w:pPr>
        <w:pStyle w:val="Number11body"/>
        <w:rPr>
          <w:rFonts w:ascii="Arial;Arial" w:hAnsi="Arial;Arial" w:cs="Arial;Arial"/>
          <w:sz w:val="20"/>
        </w:rPr>
      </w:pPr>
      <w:r>
        <w:rPr>
          <w:rFonts w:cs="Arial;Arial" w:ascii="Arial;Arial" w:hAnsi="Arial;Arial"/>
          <w:sz w:val="20"/>
        </w:rPr>
        <w:t>Edge 3</w:t>
      </w:r>
    </w:p>
    <w:p>
      <w:pPr>
        <w:pStyle w:val="Number11body"/>
        <w:rPr>
          <w:rFonts w:ascii="Arial;Arial" w:hAnsi="Arial;Arial" w:cs="Arial;Arial"/>
          <w:sz w:val="20"/>
        </w:rPr>
      </w:pPr>
      <w:r>
        <w:rPr>
          <w:rFonts w:cs="Arial;Arial" w:ascii="Arial;Arial" w:hAnsi="Arial;Arial"/>
          <w:sz w:val="20"/>
        </w:rPr>
        <w:t>Map G</w:t>
      </w:r>
    </w:p>
    <w:p>
      <w:pPr>
        <w:pStyle w:val="Number11body"/>
        <w:rPr>
          <w:rFonts w:ascii="Arial;Arial" w:hAnsi="Arial;Arial" w:cs="Arial;Arial"/>
          <w:sz w:val="20"/>
        </w:rPr>
      </w:pPr>
      <w:r>
        <w:rPr>
          <w:rFonts w:cs="Arial;Arial" w:ascii="Arial;Arial" w:hAnsi="Arial;Arial"/>
          <w:sz w:val="20"/>
        </w:rPr>
        <w:t>Ave. 2</w:t>
      </w:r>
    </w:p>
    <w:p>
      <w:pPr>
        <w:pStyle w:val="Normal"/>
        <w:rPr>
          <w:rFonts w:ascii="Arial;Arial" w:hAnsi="Arial;Arial" w:cs="Arial;Arial"/>
          <w:sz w:val="20"/>
        </w:rPr>
      </w:pPr>
      <w:r>
        <w:rPr>
          <w:rFonts w:cs="Arial;Arial" w:ascii="Arial;Arial" w:hAnsi="Arial;Arial"/>
          <w:sz w:val="20"/>
        </w:rPr>
      </w:r>
    </w:p>
    <w:p>
      <w:pPr>
        <w:pStyle w:val="Number1"/>
        <w:rPr/>
      </w:pPr>
      <w:r>
        <w:rPr/>
        <w:tab/>
        <w:t>5.</w:t>
        <w:tab/>
      </w:r>
      <w:r>
        <w:rPr>
          <w:u w:val="single"/>
        </w:rPr>
        <w:t>Standard brachial artery vasodilatation imaging sequences</w:t>
      </w:r>
    </w:p>
    <w:p>
      <w:pPr>
        <w:pStyle w:val="TextBody"/>
        <w:rPr>
          <w:rFonts w:ascii="Times" w:hAnsi="Times" w:cs="Times"/>
        </w:rPr>
      </w:pPr>
      <w:r>
        <w:rPr>
          <w:rFonts w:cs="Times" w:ascii="Times" w:hAnsi="Times"/>
        </w:rPr>
      </w:r>
    </w:p>
    <w:p>
      <w:pPr>
        <w:pStyle w:val="Number1body"/>
        <w:rPr/>
      </w:pPr>
      <w:r>
        <w:rPr/>
        <w:t>Image acquisition will be performed after the blood pressure is measured in the left arm.  The inflation pressure is set on the inflation device. The inflation pressure is 200 mmHg unless the systolic blood pressure is greater than 150 mm Hg. Then the occlusion pressure is the systolic blood pressure + 50 mm Hg. Keep in mind that a systolic pressure of 180 mm Hg is a MESA alert and the scan is not done. The study will be acquired as three video segments with appropriate narration.</w:t>
      </w:r>
    </w:p>
    <w:p>
      <w:pPr>
        <w:pStyle w:val="Number1body"/>
        <w:rPr/>
      </w:pPr>
      <w:r>
        <w:rPr/>
      </w:r>
    </w:p>
    <w:p>
      <w:pPr>
        <w:pStyle w:val="Number1bodybullet"/>
        <w:rPr/>
      </w:pPr>
      <w:r>
        <w:rPr>
          <w:rFonts w:eastAsia="Symbol" w:cs="Symbol" w:ascii="Symbol" w:hAnsi="Symbol"/>
        </w:rPr>
        <w:t></w:t>
      </w:r>
      <w:r>
        <w:rPr/>
        <w:tab/>
        <w:t>Enter the participant ID number</w:t>
      </w:r>
    </w:p>
    <w:p>
      <w:pPr>
        <w:pStyle w:val="Number1bodybullet"/>
        <w:rPr/>
      </w:pPr>
      <w:r>
        <w:rPr>
          <w:rFonts w:eastAsia="Symbol" w:cs="Symbol" w:ascii="Symbol" w:hAnsi="Symbol"/>
        </w:rPr>
        <w:t></w:t>
      </w:r>
      <w:r>
        <w:rPr/>
        <w:tab/>
        <w:t>Press "New patient"</w:t>
      </w:r>
    </w:p>
    <w:p>
      <w:pPr>
        <w:pStyle w:val="Number1bodybullet"/>
        <w:rPr/>
      </w:pPr>
      <w:r>
        <w:rPr>
          <w:rFonts w:eastAsia="Symbol" w:cs="Symbol" w:ascii="Symbol" w:hAnsi="Symbol"/>
        </w:rPr>
        <w:t></w:t>
      </w:r>
      <w:r>
        <w:rPr/>
        <w:tab/>
        <w:t>Hit "return" until you reach the new patient question (Y/N); type "Y" and then return</w:t>
      </w:r>
    </w:p>
    <w:p>
      <w:pPr>
        <w:pStyle w:val="Number1bodybullet"/>
        <w:rPr/>
      </w:pPr>
      <w:r>
        <w:rPr>
          <w:rFonts w:eastAsia="Symbol" w:cs="Symbol" w:ascii="Symbol" w:hAnsi="Symbol"/>
        </w:rPr>
        <w:t></w:t>
      </w:r>
      <w:r>
        <w:rPr/>
        <w:tab/>
        <w:t>Keep hitting return until the Last Name field: Type "right brachial"</w:t>
      </w:r>
    </w:p>
    <w:p>
      <w:pPr>
        <w:pStyle w:val="Number1bodybullet"/>
        <w:rPr/>
      </w:pPr>
      <w:r>
        <w:rPr>
          <w:rFonts w:eastAsia="Symbol" w:cs="Symbol" w:ascii="Symbol" w:hAnsi="Symbol"/>
        </w:rPr>
        <w:t></w:t>
      </w:r>
      <w:r>
        <w:rPr/>
        <w:tab/>
        <w:t>Keep hitting return until the ID# field: enter the ID number</w:t>
      </w:r>
    </w:p>
    <w:p>
      <w:pPr>
        <w:pStyle w:val="Number1bodybullet"/>
        <w:rPr/>
      </w:pPr>
      <w:r>
        <w:rPr>
          <w:rFonts w:eastAsia="Symbol" w:cs="Symbol" w:ascii="Symbol" w:hAnsi="Symbol"/>
        </w:rPr>
        <w:t></w:t>
      </w:r>
      <w:r>
        <w:rPr/>
        <w:tab/>
        <w:t>Hit return for gender (M or F)</w:t>
      </w:r>
    </w:p>
    <w:p>
      <w:pPr>
        <w:pStyle w:val="Number1bodybullet"/>
        <w:rPr/>
      </w:pPr>
      <w:r>
        <w:rPr>
          <w:rFonts w:eastAsia="Symbol" w:cs="Symbol" w:ascii="Symbol" w:hAnsi="Symbol"/>
        </w:rPr>
        <w:t></w:t>
      </w:r>
      <w:r>
        <w:rPr/>
        <w:tab/>
        <w:t>Hit return and enter your ID</w:t>
      </w:r>
    </w:p>
    <w:p>
      <w:pPr>
        <w:pStyle w:val="Number1bodybullet"/>
        <w:rPr/>
      </w:pPr>
      <w:r>
        <w:rPr>
          <w:rFonts w:eastAsia="Symbol" w:cs="Symbol" w:ascii="Symbol" w:hAnsi="Symbol"/>
        </w:rPr>
        <w:t></w:t>
      </w:r>
      <w:r>
        <w:rPr/>
        <w:tab/>
        <w:t>Hit the "Exit" key to exit</w:t>
      </w:r>
    </w:p>
    <w:p>
      <w:pPr>
        <w:pStyle w:val="Number1body"/>
        <w:rPr/>
      </w:pPr>
      <w:r>
        <w:rPr/>
      </w:r>
    </w:p>
    <w:p>
      <w:pPr>
        <w:pStyle w:val="Number1body"/>
        <w:rPr/>
      </w:pPr>
      <w:r>
        <w:rPr/>
      </w:r>
    </w:p>
    <w:p>
      <w:pPr>
        <w:pStyle w:val="Number11"/>
        <w:rPr/>
      </w:pPr>
      <w:r>
        <w:rPr/>
        <w:tab/>
        <w:t>5.1</w:t>
        <w:tab/>
        <w:t>Video sequence 1 description (5 seconds; Doppler; 4 cm field-of-view)</w:t>
      </w:r>
    </w:p>
    <w:p>
      <w:pPr>
        <w:pStyle w:val="Normal"/>
        <w:rPr/>
      </w:pPr>
      <w:r>
        <w:rPr/>
      </w:r>
    </w:p>
    <w:p>
      <w:pPr>
        <w:pStyle w:val="Number11body"/>
        <w:rPr/>
      </w:pPr>
      <w:r>
        <w:rPr/>
        <w:t>The first sequence is a baseline video segment of 5–10 seconds. It is performed after a blood pressure has been measured in the left arm. The video sequence consists of longitudinal images acquired at the fastest frame rate (with 2 focal zones) and a 4 cm field-of-view. It serves as a baseline to verify the location of the brachial artery, the heart rate and the baseline hemodynamic state of the artery.</w:t>
      </w:r>
    </w:p>
    <w:p>
      <w:pPr>
        <w:pStyle w:val="Normal"/>
        <w:rPr/>
      </w:pPr>
      <w:r>
        <w:rPr/>
      </w:r>
    </w:p>
    <w:p>
      <w:pPr>
        <w:pStyle w:val="DList"/>
        <w:keepLines w:val="false"/>
        <w:spacing w:before="0" w:after="0"/>
        <w:ind w:left="0" w:hanging="0"/>
        <w:rPr>
          <w:rFonts w:ascii="Times" w:hAnsi="Times" w:cs="Times"/>
        </w:rPr>
      </w:pPr>
      <w:r>
        <w:rPr>
          <w:rFonts w:cs="Times" w:ascii="Times" w:hAnsi="Times"/>
        </w:rPr>
        <w:drawing>
          <wp:inline distT="0" distB="0" distL="0" distR="0">
            <wp:extent cx="5308600" cy="5088890"/>
            <wp:effectExtent l="0" t="0" r="0" b="0"/>
            <wp:docPr id="2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descr=""/>
                    <pic:cNvPicPr>
                      <a:picLocks noChangeAspect="1" noChangeArrowheads="1"/>
                    </pic:cNvPicPr>
                  </pic:nvPicPr>
                  <pic:blipFill>
                    <a:blip r:embed="rId140"/>
                    <a:srcRect l="-7" t="-7" r="-7" b="-7"/>
                    <a:stretch>
                      <a:fillRect/>
                    </a:stretch>
                  </pic:blipFill>
                  <pic:spPr bwMode="auto">
                    <a:xfrm>
                      <a:off x="0" y="0"/>
                      <a:ext cx="5308600" cy="5088890"/>
                    </a:xfrm>
                    <a:prstGeom prst="rect">
                      <a:avLst/>
                    </a:prstGeom>
                  </pic:spPr>
                </pic:pic>
              </a:graphicData>
            </a:graphic>
          </wp:inline>
        </w:drawing>
      </w:r>
    </w:p>
    <w:p>
      <w:pPr>
        <w:pStyle w:val="DList"/>
        <w:keepLines w:val="false"/>
        <w:spacing w:before="0" w:after="0"/>
        <w:ind w:left="0" w:hanging="0"/>
        <w:rPr>
          <w:rFonts w:ascii="Times" w:hAnsi="Times" w:cs="Times"/>
        </w:rPr>
      </w:pPr>
      <w:r>
        <w:rPr>
          <w:rFonts w:cs="Times" w:ascii="Times" w:hAnsi="Times"/>
        </w:rPr>
      </w:r>
    </w:p>
    <w:p>
      <w:pPr>
        <w:pStyle w:val="Number11body"/>
        <w:rPr/>
      </w:pPr>
      <w:r>
        <w:rPr/>
        <w:t>The Doppler velocity waveforms are obtained from the brachial artery for 5-10 seconds in duplex mode (the tape can be stopped while the sonographer prepares for the next steps). The sonographer does not need to perform any velocity measurements. The "measure function" of the GE Logiq 700 will do so automatically.</w:t>
      </w:r>
    </w:p>
    <w:p>
      <w:pPr>
        <w:pStyle w:val="Number11bodybullet"/>
        <w:rPr/>
      </w:pPr>
      <w:r>
        <w:rPr/>
      </w:r>
    </w:p>
    <w:p>
      <w:pPr>
        <w:pStyle w:val="Number11bodybullet"/>
        <w:rPr/>
      </w:pPr>
      <w:r>
        <w:rPr/>
        <w:tab/>
      </w:r>
      <w:r>
        <w:rPr>
          <w:rFonts w:eastAsia="Symbol" w:cs="Symbol" w:ascii="Symbol" w:hAnsi="Symbol"/>
        </w:rPr>
        <w:t></w:t>
      </w:r>
      <w:r>
        <w:rPr/>
        <w:tab/>
        <w:t>Hit the "cursor" key.</w:t>
      </w:r>
    </w:p>
    <w:p>
      <w:pPr>
        <w:pStyle w:val="Number11bodybullet"/>
        <w:rPr/>
      </w:pPr>
      <w:r>
        <w:rPr/>
        <w:tab/>
      </w:r>
      <w:r>
        <w:rPr>
          <w:rFonts w:eastAsia="Symbol" w:cs="Symbol" w:ascii="Symbol" w:hAnsi="Symbol"/>
        </w:rPr>
        <w:t></w:t>
      </w:r>
      <w:r>
        <w:rPr/>
        <w:tab/>
        <w:t>Move the cursor to the middle of the artery with the trackball</w:t>
      </w:r>
    </w:p>
    <w:p>
      <w:pPr>
        <w:pStyle w:val="Number11bodybullet"/>
        <w:rPr/>
      </w:pPr>
      <w:r>
        <w:rPr/>
        <w:tab/>
      </w:r>
      <w:r>
        <w:rPr>
          <w:rFonts w:eastAsia="Symbol" w:cs="Symbol" w:ascii="Symbol" w:hAnsi="Symbol"/>
        </w:rPr>
        <w:t></w:t>
      </w:r>
      <w:r>
        <w:rPr/>
        <w:tab/>
        <w:t>Press the toggle switches ("angle steer" and "angle correct") until there is an angle of 60 degrees or less between artery axis and the ultrasound beam. The cursor used for angle correction must be parallel to the artery wall. It may be necessary for the sonographer to “heel” or  “toe’ the transducer to achieve both an angle of 60 degrees or less and a cursor parallel to the artery wall.</w:t>
      </w:r>
    </w:p>
    <w:p>
      <w:pPr>
        <w:pStyle w:val="Number11bodybullet"/>
        <w:rPr/>
      </w:pPr>
      <w:r>
        <w:rPr/>
        <w:tab/>
      </w:r>
      <w:r>
        <w:rPr>
          <w:rFonts w:eastAsia="Symbol" w:cs="Symbol" w:ascii="Symbol" w:hAnsi="Symbol"/>
        </w:rPr>
        <w:t></w:t>
      </w:r>
      <w:r>
        <w:rPr/>
        <w:tab/>
        <w:t>Press the PW button. Adjust the velocity scale so that the Doppler waveform fits the display (Y-axis).</w:t>
      </w:r>
    </w:p>
    <w:p>
      <w:pPr>
        <w:pStyle w:val="Number11bodybullet"/>
        <w:rPr/>
      </w:pPr>
      <w:r>
        <w:rPr/>
        <w:tab/>
      </w:r>
      <w:r>
        <w:rPr>
          <w:rFonts w:eastAsia="Symbol" w:cs="Symbol" w:ascii="Symbol" w:hAnsi="Symbol"/>
        </w:rPr>
        <w:t></w:t>
      </w:r>
      <w:r>
        <w:rPr/>
        <w:tab/>
        <w:t>Freeze the image once a satisfactory Doppler waveform with automatic measurement of Doppler velocities has been obtained</w:t>
      </w:r>
    </w:p>
    <w:p>
      <w:pPr>
        <w:pStyle w:val="Number11bodybullet"/>
        <w:rPr/>
      </w:pPr>
      <w:r>
        <w:rPr/>
        <w:tab/>
      </w:r>
      <w:r>
        <w:rPr>
          <w:rFonts w:eastAsia="Symbol" w:cs="Symbol" w:ascii="Symbol" w:hAnsi="Symbol"/>
        </w:rPr>
        <w:t></w:t>
      </w:r>
      <w:r>
        <w:rPr/>
        <w:tab/>
        <w:t>Turn the videotape on for 5 seconds, recording the frozen image of the Doppler tracing.</w:t>
      </w:r>
    </w:p>
    <w:p>
      <w:pPr>
        <w:pStyle w:val="Number11bodybullet"/>
        <w:rPr/>
      </w:pPr>
      <w:r>
        <w:rPr/>
      </w:r>
    </w:p>
    <w:p>
      <w:pPr>
        <w:pStyle w:val="Number11"/>
        <w:rPr/>
      </w:pPr>
      <w:r>
        <w:rPr/>
        <w:tab/>
        <w:t>5.2</w:t>
        <w:tab/>
        <w:t>Video sequence 2 description (30 seconds; gray scale; default "ZOOM" mode)</w:t>
      </w:r>
    </w:p>
    <w:p>
      <w:pPr>
        <w:pStyle w:val="Normal"/>
        <w:rPr/>
      </w:pPr>
      <w:r>
        <w:rPr/>
      </w:r>
    </w:p>
    <w:p>
      <w:pPr>
        <w:pStyle w:val="Number11body"/>
        <w:rPr/>
      </w:pPr>
      <w:r>
        <w:rPr/>
        <w:t>The second sequence is a 30 second long gray scale imaging segment, with narration. It starts 20 seconds before inflation of the occlusion cuff and continues for another 10 seconds after inflation. It consists of longitudinal images acquired at the fastest frame rate (with 2 focal zones). It serves as a baseline to verify the range of variability in the resting brachial artery diameter. The sonographer can do a narration while performing the scan, pointing out landmarks of interest.</w:t>
      </w:r>
    </w:p>
    <w:p>
      <w:pPr>
        <w:pStyle w:val="Normal"/>
        <w:rPr/>
      </w:pPr>
      <w:r>
        <w:rPr/>
        <w:t xml:space="preserve"> </w:t>
      </w:r>
    </w:p>
    <w:p>
      <w:pPr>
        <w:pStyle w:val="Normal"/>
        <w:rPr/>
      </w:pPr>
      <w:r>
        <w:rPr/>
        <w:drawing>
          <wp:inline distT="0" distB="0" distL="0" distR="0">
            <wp:extent cx="5307965" cy="3757930"/>
            <wp:effectExtent l="0" t="0" r="0" b="0"/>
            <wp:docPr id="2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 descr=""/>
                    <pic:cNvPicPr>
                      <a:picLocks noChangeAspect="1" noChangeArrowheads="1"/>
                    </pic:cNvPicPr>
                  </pic:nvPicPr>
                  <pic:blipFill>
                    <a:blip r:embed="rId141"/>
                    <a:srcRect l="-5" t="-7" r="-5" b="-7"/>
                    <a:stretch>
                      <a:fillRect/>
                    </a:stretch>
                  </pic:blipFill>
                  <pic:spPr bwMode="auto">
                    <a:xfrm>
                      <a:off x="0" y="0"/>
                      <a:ext cx="5307965" cy="3757930"/>
                    </a:xfrm>
                    <a:prstGeom prst="rect">
                      <a:avLst/>
                    </a:prstGeom>
                  </pic:spPr>
                </pic:pic>
              </a:graphicData>
            </a:graphic>
          </wp:inline>
        </w:drawing>
      </w:r>
    </w:p>
    <w:p>
      <w:pPr>
        <w:pStyle w:val="Normal"/>
        <w:rPr/>
      </w:pPr>
      <w:r>
        <w:rPr/>
      </w:r>
    </w:p>
    <w:p>
      <w:pPr>
        <w:pStyle w:val="Number11body"/>
        <w:rPr/>
      </w:pPr>
      <w:r>
        <w:rPr/>
        <w:t>The default zoom is set by pressing the "ZOOM" button. A region-of-interest BOX appears on the image. The track ball is used to center the BOX on the brachial artery. A segment of the brachial artery that is straight and has sharp interfaces for both the near and far wall is selected.  The transducer should be positioned (heal/toe) to place the artery walls parallel to the X-axis (horizontal). Press ”Set” to activate “ZOOM.”</w:t>
      </w:r>
    </w:p>
    <w:p>
      <w:pPr>
        <w:pStyle w:val="Number11body"/>
        <w:rPr/>
      </w:pPr>
      <w:r>
        <w:rPr/>
      </w:r>
    </w:p>
    <w:p>
      <w:pPr>
        <w:pStyle w:val="Number11body"/>
        <w:rPr/>
      </w:pPr>
      <w:r>
        <w:rPr/>
        <w:t>Two reference points (landmarks) are then set by the sonographer so that the sonographer can keep the relative position of the transducer over the brachial artery. The first reference point is the center of the artery (letter “o”) and the center of the image. The second reference point is a small side branch, the intersection of a soft tissue plane/muscle that can be followed during the examination (letter “v”). These landmarks  are placed on the screen after hitting the "comment" key. After placing the markers (the letters “v” and “o”), you must hit the "comment" key one more time. Reposition the cursor by hitting the "home" key and moving the cursor to the upper left hand of the image.</w:t>
      </w:r>
    </w:p>
    <w:p>
      <w:pPr>
        <w:pStyle w:val="Number11bodybullet"/>
        <w:rPr/>
      </w:pPr>
      <w:r>
        <w:rPr/>
      </w:r>
    </w:p>
    <w:p>
      <w:pPr>
        <w:pStyle w:val="Number11bodybullet"/>
        <w:rPr/>
      </w:pPr>
      <w:r>
        <w:rPr/>
        <w:tab/>
      </w:r>
      <w:r>
        <w:rPr>
          <w:rFonts w:eastAsia="Symbol" w:cs="Symbol" w:ascii="Symbol" w:hAnsi="Symbol"/>
        </w:rPr>
        <w:t></w:t>
      </w:r>
      <w:r>
        <w:rPr/>
        <w:tab/>
        <w:t>The sonographer presses the letter "a" or letter “b”(used as a preset key) on the keyboard, followed by the "set" button. This places a "baseline" message on the screen.</w:t>
      </w:r>
    </w:p>
    <w:p>
      <w:pPr>
        <w:pStyle w:val="Number11bodybullet"/>
        <w:rPr/>
      </w:pPr>
      <w:r>
        <w:rPr/>
        <w:tab/>
      </w:r>
      <w:r>
        <w:rPr>
          <w:rFonts w:eastAsia="Symbol" w:cs="Symbol" w:ascii="Symbol" w:hAnsi="Symbol"/>
        </w:rPr>
        <w:t></w:t>
      </w:r>
      <w:r>
        <w:rPr/>
        <w:tab/>
        <w:t xml:space="preserve">The sonographer hits the “return” key.  </w:t>
      </w:r>
    </w:p>
    <w:p>
      <w:pPr>
        <w:pStyle w:val="Number11bodybullet"/>
        <w:rPr/>
      </w:pPr>
      <w:r>
        <w:rPr/>
        <w:tab/>
      </w:r>
      <w:r>
        <w:rPr>
          <w:rFonts w:eastAsia="Symbol" w:cs="Symbol" w:ascii="Symbol" w:hAnsi="Symbol"/>
        </w:rPr>
        <w:t></w:t>
      </w:r>
      <w:r>
        <w:rPr/>
        <w:tab/>
        <w:t xml:space="preserve">High-resolution images are then taken in the position adopted for acquiring the brachial artery measurements: this is done for 20 seconds.  </w:t>
      </w:r>
    </w:p>
    <w:p>
      <w:pPr>
        <w:pStyle w:val="Number11bodybullet"/>
        <w:rPr/>
      </w:pPr>
      <w:r>
        <w:rPr/>
        <w:tab/>
      </w:r>
      <w:r>
        <w:rPr>
          <w:rFonts w:eastAsia="Symbol" w:cs="Symbol" w:ascii="Symbol" w:hAnsi="Symbol"/>
        </w:rPr>
        <w:t></w:t>
      </w:r>
      <w:r>
        <w:rPr/>
        <w:tab/>
        <w:t xml:space="preserve">The sonographer then presses the letter "s" or the letter “c”(used as a preset key) on the keyboard, followed by the "set" button. This places a "cuff inflate" message on the screen.  </w:t>
      </w:r>
    </w:p>
    <w:p>
      <w:pPr>
        <w:pStyle w:val="Number11bodybullet"/>
        <w:rPr/>
      </w:pPr>
      <w:r>
        <w:rPr/>
        <w:tab/>
      </w:r>
      <w:r>
        <w:rPr>
          <w:rFonts w:eastAsia="Symbol" w:cs="Symbol" w:ascii="Symbol" w:hAnsi="Symbol"/>
        </w:rPr>
        <w:t></w:t>
      </w:r>
      <w:r>
        <w:rPr/>
        <w:tab/>
        <w:t>The sonographer hits the “return” key.</w:t>
      </w:r>
    </w:p>
    <w:p>
      <w:pPr>
        <w:pStyle w:val="Number11bodybullet"/>
        <w:rPr/>
      </w:pPr>
      <w:r>
        <w:rPr/>
        <w:tab/>
      </w:r>
      <w:r>
        <w:rPr>
          <w:rFonts w:eastAsia="Symbol" w:cs="Symbol" w:ascii="Symbol" w:hAnsi="Symbol"/>
        </w:rPr>
        <w:t></w:t>
      </w:r>
      <w:r>
        <w:rPr/>
        <w:tab/>
        <w:t>The occlusion cuff is then inflated by pressing on the foot switch.</w:t>
      </w:r>
    </w:p>
    <w:p>
      <w:pPr>
        <w:pStyle w:val="Number11bodybullet"/>
        <w:rPr/>
      </w:pPr>
      <w:r>
        <w:rPr/>
        <w:tab/>
      </w:r>
      <w:r>
        <w:rPr>
          <w:rFonts w:eastAsia="Symbol" w:cs="Symbol" w:ascii="Symbol" w:hAnsi="Symbol"/>
        </w:rPr>
        <w:t></w:t>
      </w:r>
      <w:r>
        <w:rPr/>
        <w:tab/>
        <w:t>The recording is continued for 10 seconds with narration confirming inflation of the occlusion cuff.</w:t>
      </w:r>
    </w:p>
    <w:p>
      <w:pPr>
        <w:pStyle w:val="Number11bodybullet"/>
        <w:rPr/>
      </w:pPr>
      <w:r>
        <w:rPr/>
        <w:tab/>
      </w:r>
      <w:r>
        <w:rPr>
          <w:rFonts w:eastAsia="Symbol" w:cs="Symbol" w:ascii="Symbol" w:hAnsi="Symbol"/>
        </w:rPr>
        <w:t></w:t>
      </w:r>
      <w:r>
        <w:rPr/>
        <w:tab/>
        <w:t>The videotape is stopped.</w:t>
      </w:r>
    </w:p>
    <w:p>
      <w:pPr>
        <w:pStyle w:val="Number11bodybullet"/>
        <w:rPr/>
      </w:pPr>
      <w:r>
        <w:rPr/>
        <w:tab/>
      </w:r>
      <w:r>
        <w:rPr>
          <w:rFonts w:eastAsia="Symbol" w:cs="Symbol" w:ascii="Symbol" w:hAnsi="Symbol"/>
        </w:rPr>
        <w:t></w:t>
      </w:r>
      <w:r>
        <w:rPr/>
        <w:tab/>
        <w:t>The sonographer maintains position over the artery for 5 minutes</w:t>
      </w:r>
    </w:p>
    <w:p>
      <w:pPr>
        <w:pStyle w:val="Number11bodybullet"/>
        <w:rPr/>
      </w:pPr>
      <w:r>
        <w:rPr/>
      </w:r>
    </w:p>
    <w:p>
      <w:pPr>
        <w:pStyle w:val="Number11"/>
        <w:rPr/>
      </w:pPr>
      <w:r>
        <w:rPr/>
        <w:tab/>
        <w:t>5.3</w:t>
        <w:tab/>
        <w:t>Video sequence 3 description (105 seconds; gray scale; default "ZOOM" mode)</w:t>
      </w:r>
    </w:p>
    <w:p>
      <w:pPr>
        <w:pStyle w:val="Number11"/>
        <w:rPr/>
      </w:pPr>
      <w:r>
        <w:rPr/>
      </w:r>
    </w:p>
    <w:p>
      <w:pPr>
        <w:pStyle w:val="Number11"/>
        <w:rPr/>
      </w:pPr>
      <w:r>
        <w:rPr/>
        <w:tab/>
        <w:tab/>
        <w:t>The third sequence starts 15 seconds before release of the occlusion cuff and continues for another 90 seconds after deflation of the occlusion cuff. The total length of this segment is 1 minutes and 45 seconds (105 seconds).</w:t>
      </w:r>
    </w:p>
    <w:p>
      <w:pPr>
        <w:pStyle w:val="Number11"/>
        <w:rPr/>
      </w:pPr>
      <w:r>
        <w:rPr/>
      </w:r>
    </w:p>
    <w:p>
      <w:pPr>
        <w:pStyle w:val="Number11bodybullet"/>
        <w:rPr/>
      </w:pPr>
      <w:r>
        <w:rPr/>
        <w:tab/>
      </w:r>
      <w:r>
        <w:rPr>
          <w:rFonts w:eastAsia="Symbol" w:cs="Symbol" w:ascii="Symbol" w:hAnsi="Symbol"/>
        </w:rPr>
        <w:t></w:t>
      </w:r>
      <w:r>
        <w:rPr/>
        <w:tab/>
        <w:t>The videotape is turned on and imaging is started at a time point 4 minutes and 45 seconds after inflation of the occlusion cuff (15 seconds before deflation).  The landmarks identified on the second video sequence should be the same on the current images.</w:t>
      </w:r>
    </w:p>
    <w:p>
      <w:pPr>
        <w:pStyle w:val="Number11bodybullet"/>
        <w:rPr/>
      </w:pPr>
      <w:r>
        <w:rPr/>
        <w:tab/>
      </w:r>
      <w:r>
        <w:rPr>
          <w:rFonts w:eastAsia="Symbol" w:cs="Symbol" w:ascii="Symbol" w:hAnsi="Symbol"/>
        </w:rPr>
        <w:t></w:t>
      </w:r>
      <w:r>
        <w:rPr/>
        <w:tab/>
        <w:t>The sonographer presses the letter "d" or letter “p”(used as a preset key) on the keyboard, followed by the "set" button. This places a "pre-deflate" message on the screen.</w:t>
      </w:r>
    </w:p>
    <w:p>
      <w:pPr>
        <w:pStyle w:val="Number11bodybullet"/>
        <w:rPr/>
      </w:pPr>
      <w:r>
        <w:rPr/>
        <w:tab/>
      </w:r>
      <w:r>
        <w:rPr>
          <w:rFonts w:eastAsia="Symbol" w:cs="Symbol" w:ascii="Symbol" w:hAnsi="Symbol"/>
        </w:rPr>
        <w:t></w:t>
      </w:r>
      <w:r>
        <w:rPr/>
        <w:tab/>
        <w:t xml:space="preserve">The sonographer hits the “return” key.  </w:t>
      </w:r>
    </w:p>
    <w:p>
      <w:pPr>
        <w:pStyle w:val="Number11bodybullet"/>
        <w:rPr/>
      </w:pPr>
      <w:r>
        <w:rPr/>
        <w:tab/>
      </w:r>
      <w:r>
        <w:rPr>
          <w:rFonts w:eastAsia="Symbol" w:cs="Symbol" w:ascii="Symbol" w:hAnsi="Symbol"/>
        </w:rPr>
        <w:t></w:t>
      </w:r>
      <w:r>
        <w:rPr/>
        <w:tab/>
        <w:t>The sonographer narrates while gray scale images are acquired for 15 seconds.</w:t>
      </w:r>
    </w:p>
    <w:p>
      <w:pPr>
        <w:pStyle w:val="Number11bodybullet"/>
        <w:rPr/>
      </w:pPr>
      <w:r>
        <w:rPr/>
        <w:tab/>
      </w:r>
      <w:r>
        <w:rPr>
          <w:rFonts w:eastAsia="Symbol" w:cs="Symbol" w:ascii="Symbol" w:hAnsi="Symbol"/>
        </w:rPr>
        <w:t></w:t>
      </w:r>
      <w:r>
        <w:rPr/>
        <w:tab/>
        <w:t xml:space="preserve">The sonographer then presses the letter "f" or “x” on the keyboard, followed by the "set" button. This places a "cuff deflate" message on the screen.    </w:t>
      </w:r>
    </w:p>
    <w:p>
      <w:pPr>
        <w:pStyle w:val="Number11bodybullet"/>
        <w:rPr/>
      </w:pPr>
      <w:r>
        <w:rPr>
          <w:rFonts w:cs="Times" w:ascii="Times" w:hAnsi="Times"/>
        </w:rPr>
        <w:tab/>
      </w:r>
      <w:r>
        <w:rPr>
          <w:rFonts w:eastAsia="Symbol" w:cs="Symbol" w:ascii="Symbol" w:hAnsi="Symbol"/>
        </w:rPr>
        <w:t></w:t>
      </w:r>
      <w:r>
        <w:rPr>
          <w:rFonts w:cs="Times" w:ascii="Times" w:hAnsi="Times"/>
        </w:rPr>
        <w:tab/>
        <w:t xml:space="preserve">The occlusive cuff is then released by pressing on the foot switch.  </w:t>
      </w:r>
    </w:p>
    <w:p>
      <w:pPr>
        <w:pStyle w:val="Number11bodybullet"/>
        <w:rPr/>
      </w:pPr>
      <w:r>
        <w:rPr>
          <w:rFonts w:cs="Times" w:ascii="Times" w:hAnsi="Times"/>
        </w:rPr>
        <w:tab/>
      </w:r>
      <w:r>
        <w:rPr>
          <w:rFonts w:eastAsia="Symbol" w:cs="Symbol" w:ascii="Symbol" w:hAnsi="Symbol"/>
        </w:rPr>
        <w:t></w:t>
      </w:r>
      <w:r>
        <w:rPr>
          <w:rFonts w:cs="Times" w:ascii="Times" w:hAnsi="Times"/>
        </w:rPr>
        <w:tab/>
        <w:t xml:space="preserve">Gray scale images are then acquired continuously for an additional 90 seconds and the videotape is stopped. </w:t>
      </w:r>
    </w:p>
    <w:p>
      <w:pPr>
        <w:pStyle w:val="Number11bodybullet"/>
        <w:rPr/>
      </w:pPr>
      <w:r>
        <w:rPr/>
        <w:tab/>
      </w:r>
      <w:r>
        <w:rPr>
          <w:rFonts w:eastAsia="Symbol" w:cs="Symbol" w:ascii="Symbol" w:hAnsi="Symbol"/>
        </w:rPr>
        <w:t></w:t>
      </w:r>
      <w:r>
        <w:rPr/>
        <w:tab/>
        <w:t>A left arm blood pressure measurement is taken 3 minutes after deflation of the occlusion cuff.</w:t>
      </w:r>
    </w:p>
    <w:p>
      <w:pPr>
        <w:pStyle w:val="Number11bodybullet"/>
        <w:rPr/>
      </w:pPr>
      <w:r>
        <w:rPr/>
      </w:r>
    </w:p>
    <w:p>
      <w:pPr>
        <w:pStyle w:val="Number1"/>
        <w:rPr/>
      </w:pPr>
      <w:r>
        <w:rPr/>
        <w:tab/>
        <w:t>6.</w:t>
        <w:tab/>
      </w:r>
      <w:r>
        <w:rPr>
          <w:u w:val="single"/>
        </w:rPr>
        <w:t>Image sequence</w:t>
      </w:r>
    </w:p>
    <w:p>
      <w:pPr>
        <w:pStyle w:val="Number1"/>
        <w:rPr/>
      </w:pPr>
      <w:r>
        <w:rPr/>
      </w:r>
    </w:p>
    <w:p>
      <w:pPr>
        <w:pStyle w:val="Number11"/>
        <w:rPr/>
      </w:pPr>
      <w:r>
        <w:rPr/>
        <w:tab/>
        <w:t>6.1</w:t>
        <w:tab/>
        <w:t>Brachial artery ultrasound image sequences are collected and videotaped in the following order:</w:t>
      </w:r>
    </w:p>
    <w:p>
      <w:pPr>
        <w:pStyle w:val="Number1"/>
        <w:rPr/>
      </w:pPr>
      <w:r>
        <w:rPr/>
      </w:r>
    </w:p>
    <w:p>
      <w:pPr>
        <w:pStyle w:val="Number11bodybullet"/>
        <w:rPr/>
      </w:pPr>
      <w:r>
        <w:rPr/>
        <w:tab/>
        <w:t>1.</w:t>
        <w:tab/>
      </w:r>
      <w:r>
        <w:rPr>
          <w:b/>
          <w:bCs/>
        </w:rPr>
        <w:t>Sequence 1: Resting brachial artery Doppler waveforms</w:t>
      </w:r>
    </w:p>
    <w:p>
      <w:pPr>
        <w:pStyle w:val="Number11bodybullet"/>
        <w:rPr>
          <w:rFonts w:ascii="Times" w:hAnsi="Times" w:cs="Times"/>
          <w:b/>
          <w:b/>
          <w:bCs/>
        </w:rPr>
      </w:pPr>
      <w:r>
        <w:rPr>
          <w:rFonts w:cs="Times" w:ascii="Times" w:hAnsi="Times"/>
          <w:b/>
          <w:bCs/>
        </w:rPr>
      </w:r>
    </w:p>
    <w:p>
      <w:pPr>
        <w:pStyle w:val="Number11bodybullet"/>
        <w:rPr>
          <w:rFonts w:ascii="Times" w:hAnsi="Times" w:cs="Times"/>
        </w:rPr>
      </w:pPr>
      <w:r>
        <w:rPr>
          <w:rFonts w:cs="Times" w:ascii="Times" w:hAnsi="Times"/>
        </w:rPr>
        <w:tab/>
        <w:tab/>
        <w:t>Sequence 1 is a series of images of the Doppler velocity waveforms in the brachial artery.  It is used for heart rate measurements and for evaluating resting hemodynamics in the brachial artery</w:t>
      </w:r>
    </w:p>
    <w:p>
      <w:pPr>
        <w:pStyle w:val="Number11bodybullet"/>
        <w:rPr>
          <w:rFonts w:ascii="Times" w:hAnsi="Times" w:cs="Times"/>
        </w:rPr>
      </w:pPr>
      <w:r>
        <w:rPr>
          <w:rFonts w:cs="Times" w:ascii="Times" w:hAnsi="Times"/>
        </w:rPr>
      </w:r>
    </w:p>
    <w:p>
      <w:pPr>
        <w:pStyle w:val="Number11bodybullet"/>
        <w:rPr/>
      </w:pPr>
      <w:r>
        <w:rPr/>
        <w:tab/>
        <w:t>2.</w:t>
        <w:tab/>
      </w:r>
      <w:r>
        <w:rPr>
          <w:b/>
          <w:bCs/>
        </w:rPr>
        <w:t>Sequence 2: Resting (baseline) brachial artery imaging</w:t>
      </w:r>
      <w:r>
        <w:rPr/>
        <w:t xml:space="preserve"> </w:t>
      </w:r>
    </w:p>
    <w:p>
      <w:pPr>
        <w:pStyle w:val="Number11bodybullet"/>
        <w:rPr/>
      </w:pPr>
      <w:r>
        <w:rPr/>
      </w:r>
    </w:p>
    <w:p>
      <w:pPr>
        <w:pStyle w:val="Number11bodybullet"/>
        <w:rPr/>
      </w:pPr>
      <w:r>
        <w:rPr/>
        <w:tab/>
        <w:tab/>
        <w:t>Sequence 2 images are obtained before inflation of the right arm occlusion and after obtaining a baseline blood pressure reading. This sequence gives a true estimate of resting baseline brachial artery diameters during 30 seconds (used for estimating the variability of brachial artery diameter measurements).</w:t>
      </w:r>
    </w:p>
    <w:p>
      <w:pPr>
        <w:pStyle w:val="Number11bodybullet"/>
        <w:rPr/>
      </w:pPr>
      <w:r>
        <w:rPr/>
      </w:r>
    </w:p>
    <w:p>
      <w:pPr>
        <w:pStyle w:val="Number11bodybullet"/>
        <w:rPr/>
      </w:pPr>
      <w:r>
        <w:rPr/>
        <w:tab/>
        <w:t>3.</w:t>
        <w:tab/>
      </w:r>
      <w:r>
        <w:rPr>
          <w:b/>
          <w:bCs/>
        </w:rPr>
        <w:t>Sequence 3: Brachial artery imaging during hyperemic response and vasodilatation</w:t>
      </w:r>
    </w:p>
    <w:p>
      <w:pPr>
        <w:pStyle w:val="Number11bodybullet"/>
        <w:rPr/>
      </w:pPr>
      <w:r>
        <w:rPr/>
      </w:r>
    </w:p>
    <w:p>
      <w:pPr>
        <w:pStyle w:val="Number11bodybullet"/>
        <w:rPr/>
      </w:pPr>
      <w:r>
        <w:rPr/>
        <w:tab/>
        <w:tab/>
        <w:t xml:space="preserve">Sequence 3 images are obtained immediately before and then after deflation of the right arm occlusion cuff. Maximal vasodilatation takes place at one minute following cuff release while peak blood flow changes take place in the first few seconds following cuff release. </w:t>
      </w:r>
    </w:p>
    <w:p>
      <w:pPr>
        <w:pStyle w:val="Number1bodybullet"/>
        <w:rPr/>
      </w:pPr>
      <w:r>
        <w:rPr/>
      </w:r>
    </w:p>
    <w:p>
      <w:pPr>
        <w:pStyle w:val="Number11"/>
        <w:rPr/>
      </w:pPr>
      <w:r>
        <w:rPr/>
        <w:tab/>
        <w:t>6.2</w:t>
        <w:tab/>
        <w:t>A blood pressure measurement is made at the end of the study to verify that the blood pressure has not changed.  Changes in blood pressure may affect brachial artery diameters.</w:t>
      </w:r>
    </w:p>
    <w:p>
      <w:pPr>
        <w:pStyle w:val="Number11"/>
        <w:rPr/>
      </w:pPr>
      <w:r>
        <w:rPr/>
      </w:r>
    </w:p>
    <w:p>
      <w:pPr>
        <w:pStyle w:val="Number1"/>
        <w:rPr/>
      </w:pPr>
      <w:r>
        <w:rPr/>
        <w:tab/>
        <w:t>7.</w:t>
        <w:tab/>
      </w:r>
      <w:r>
        <w:rPr>
          <w:u w:val="single"/>
        </w:rPr>
        <w:t>Brachial artery-endothelial function protocol</w:t>
      </w:r>
    </w:p>
    <w:p>
      <w:pPr>
        <w:pStyle w:val="Romanbold"/>
        <w:rPr/>
      </w:pPr>
      <w:r>
        <w:rPr/>
      </w:r>
    </w:p>
    <w:p>
      <w:pPr>
        <w:pStyle w:val="Number11"/>
        <w:rPr/>
      </w:pPr>
      <w:r>
        <w:rPr/>
        <w:tab/>
        <w:t xml:space="preserve">7.1 </w:t>
        <w:tab/>
        <w:t xml:space="preserve">Description of Initial Scan </w:t>
      </w:r>
      <w:r>
        <w:rPr>
          <w:i/>
        </w:rPr>
        <w:t>- not videotaped</w:t>
      </w:r>
    </w:p>
    <w:p>
      <w:pPr>
        <w:pStyle w:val="Number11body"/>
        <w:rPr>
          <w:i/>
          <w:i/>
        </w:rPr>
      </w:pPr>
      <w:r>
        <w:rPr>
          <w:i/>
        </w:rPr>
      </w:r>
    </w:p>
    <w:p>
      <w:pPr>
        <w:pStyle w:val="Number11body"/>
        <w:rPr/>
      </w:pPr>
      <w:r>
        <w:rPr/>
        <w:t>A blood pressure cuff is placed around the right upper arm. A Dinamap</w:t>
      </w:r>
      <w:r>
        <w:rPr>
          <w:rFonts w:eastAsia="Symbol" w:cs="Symbol" w:ascii="Symbol" w:hAnsi="Symbol"/>
        </w:rPr>
        <w:t></w:t>
      </w:r>
      <w:r>
        <w:rPr/>
        <w:t xml:space="preserve"> is used to measure blood pressure. </w:t>
      </w:r>
    </w:p>
    <w:p>
      <w:pPr>
        <w:pStyle w:val="Number11body"/>
        <w:rPr/>
      </w:pPr>
      <w:r>
        <w:rPr/>
      </w:r>
    </w:p>
    <w:p>
      <w:pPr>
        <w:pStyle w:val="Number11body"/>
        <w:rPr/>
      </w:pPr>
      <w:r>
        <w:rPr/>
        <w:t>A blood pressure cuff is placed around the left upper arm. A Dinamap</w:t>
      </w:r>
      <w:r>
        <w:rPr>
          <w:rFonts w:eastAsia="Symbol" w:cs="Symbol" w:ascii="Symbol" w:hAnsi="Symbol"/>
        </w:rPr>
        <w:t></w:t>
      </w:r>
      <w:r>
        <w:rPr/>
        <w:t xml:space="preserve"> is used to measure blood pressure. </w:t>
      </w:r>
    </w:p>
    <w:p>
      <w:pPr>
        <w:pStyle w:val="Number11body"/>
        <w:rPr/>
      </w:pPr>
      <w:r>
        <w:rPr/>
      </w:r>
    </w:p>
    <w:p>
      <w:pPr>
        <w:pStyle w:val="Number11body"/>
        <w:rPr/>
      </w:pPr>
      <w:r>
        <w:drawing>
          <wp:anchor behindDoc="1" distT="0" distB="0" distL="114935" distR="114935" simplePos="0" locked="0" layoutInCell="0" allowOverlap="1" relativeHeight="13">
            <wp:simplePos x="0" y="0"/>
            <wp:positionH relativeFrom="column">
              <wp:posOffset>850265</wp:posOffset>
            </wp:positionH>
            <wp:positionV relativeFrom="paragraph">
              <wp:posOffset>246380</wp:posOffset>
            </wp:positionV>
            <wp:extent cx="2522855" cy="3657600"/>
            <wp:effectExtent l="0" t="0" r="0" b="0"/>
            <wp:wrapTight wrapText="bothSides">
              <wp:wrapPolygon edited="0">
                <wp:start x="-54" y="0"/>
                <wp:lineTo x="-54" y="21559"/>
                <wp:lineTo x="21597" y="21559"/>
                <wp:lineTo x="21597" y="0"/>
                <wp:lineTo x="-54" y="0"/>
              </wp:wrapPolygon>
            </wp:wrapTight>
            <wp:docPr id="2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 descr=""/>
                    <pic:cNvPicPr>
                      <a:picLocks noChangeAspect="1" noChangeArrowheads="1"/>
                    </pic:cNvPicPr>
                  </pic:nvPicPr>
                  <pic:blipFill>
                    <a:blip r:embed="rId142"/>
                    <a:srcRect l="-6" t="-4" r="-6" b="-4"/>
                    <a:stretch>
                      <a:fillRect/>
                    </a:stretch>
                  </pic:blipFill>
                  <pic:spPr bwMode="auto">
                    <a:xfrm>
                      <a:off x="0" y="0"/>
                      <a:ext cx="2522855" cy="3657600"/>
                    </a:xfrm>
                    <a:prstGeom prst="rect">
                      <a:avLst/>
                    </a:prstGeom>
                  </pic:spPr>
                </pic:pic>
              </a:graphicData>
            </a:graphic>
          </wp:anchor>
        </w:drawing>
      </w:r>
      <w:r>
        <w:rPr/>
        <w:t>If the difference in the</w:t>
      </w:r>
      <w:r>
        <w:rPr>
          <w:rFonts w:cs="Times" w:ascii="Times" w:hAnsi="Times"/>
        </w:rPr>
        <w:t xml:space="preserve"> pressures between the left and the right arms is greater than 15 mm HG, the brachial artery vasodilatation protocol is stopped.</w:t>
      </w:r>
    </w:p>
    <w:p>
      <w:pPr>
        <w:pStyle w:val="Number11body"/>
        <w:rPr>
          <w:rFonts w:ascii="Times" w:hAnsi="Times" w:cs="Times"/>
        </w:rPr>
      </w:pPr>
      <w:r>
        <w:rPr>
          <w:rFonts w:cs="Times" w:ascii="Times" w:hAnsi="Times"/>
        </w:rPr>
      </w:r>
    </w:p>
    <w:p>
      <w:pPr>
        <w:pStyle w:val="Number11body"/>
        <w:rPr/>
      </w:pPr>
      <w:r>
        <w:rPr/>
        <w:t>An occlusion pressure cuff will be placed around the upper forearm of the right arm. The right arm is placed palm facing upwards and slightly abducted from the body.</w:t>
      </w:r>
    </w:p>
    <w:p>
      <w:pPr>
        <w:pStyle w:val="Number1"/>
        <w:rPr/>
      </w:pPr>
      <w:r>
        <w:rPr/>
      </w:r>
    </w:p>
    <w:p>
      <w:pPr>
        <w:pStyle w:val="Number11body"/>
        <w:rPr/>
      </w:pPr>
      <w:r>
        <w:rPr/>
        <w:t>A liberal amount of gel is applied to the lower medial aspect of the upper arm and to the surface of the ultrasound probe. The initial scan is not videotaped. The probe is then placed in the short axis (transverse) position just above the elbow. It is moved up along the brachial artery and veins for 5 to 9 cm. The probe is then rotated to lie longitudinal and parallel to the brachial artery, so that the edge of the probe is 3 to 7 cm from the arm crease. The sonographer will also verify proper positioning of the Doppler range gate for subsequent acquisition of Doppler velocity profiles.</w:t>
      </w:r>
    </w:p>
    <w:p>
      <w:pPr>
        <w:pStyle w:val="Number1"/>
        <w:rPr/>
      </w:pPr>
      <w:r>
        <w:rPr/>
      </w:r>
    </w:p>
    <w:p>
      <w:pPr>
        <w:pStyle w:val="Number11"/>
        <w:rPr/>
      </w:pPr>
      <w:r>
        <w:rPr/>
        <w:tab/>
        <w:t xml:space="preserve">7.2 </w:t>
        <w:tab/>
        <w:t xml:space="preserve">Standard View (Doppler Baseline Brachial Artery Sequence 1) </w:t>
      </w:r>
      <w:r>
        <w:rPr>
          <w:i/>
        </w:rPr>
        <w:t>- videotaped</w:t>
      </w:r>
    </w:p>
    <w:p>
      <w:pPr>
        <w:pStyle w:val="Number1"/>
        <w:rPr>
          <w:i/>
          <w:i/>
        </w:rPr>
      </w:pPr>
      <w:r>
        <w:rPr>
          <w:i/>
        </w:rPr>
      </w:r>
    </w:p>
    <w:p>
      <w:pPr>
        <w:pStyle w:val="Number11body"/>
        <w:rPr/>
      </w:pPr>
      <w:r>
        <w:rPr/>
        <w:t xml:space="preserve">This is a longitudinal view of pulse wave Doppler measurement of the distal brachial artery with the probe held parallel to the artery. This is the first series of views to be videotaped. The distal brachial artery (elbow) is to the left side of the screen (sonographer facing screen - to sonographer's left). The probe is then centered on the brachial artery 5 to 9 cm above the elbow (transducer edge 3 to 7 cm from the elbow crease) and the imaging field-of-view is set at 4 cm. </w:t>
      </w:r>
    </w:p>
    <w:p>
      <w:pPr>
        <w:pStyle w:val="Number11body"/>
        <w:rPr/>
      </w:pPr>
      <w:r>
        <w:rPr/>
      </w:r>
    </w:p>
    <w:p>
      <w:pPr>
        <w:pStyle w:val="Number11body"/>
        <w:rPr/>
      </w:pPr>
      <w:r>
        <w:rPr/>
        <w:t xml:space="preserve">The sonographer optimizes the relative position of the Doppler cursor in the artery lumen keeping an angle between the axis of the artery and the direction of the ultrasound beam (line connecting to the Doppler sample gate) at 60 degrees or less. The velocity scale is set to display the full width of the Doppler tracing. </w:t>
      </w:r>
    </w:p>
    <w:p>
      <w:pPr>
        <w:pStyle w:val="Number11body"/>
        <w:rPr/>
      </w:pPr>
      <w:r>
        <w:rPr/>
      </w:r>
    </w:p>
    <w:p>
      <w:pPr>
        <w:pStyle w:val="Number11body"/>
        <w:rPr/>
      </w:pPr>
      <w:r>
        <w:rPr/>
        <w:t>The transducer is held in a stable position during the recording of brachial artery Doppler waveforms.</w:t>
      </w:r>
    </w:p>
    <w:p>
      <w:pPr>
        <w:pStyle w:val="Number11body"/>
        <w:rPr/>
      </w:pPr>
      <w:r>
        <w:rPr/>
      </w:r>
    </w:p>
    <w:p>
      <w:pPr>
        <w:pStyle w:val="Number11body"/>
        <w:rPr/>
      </w:pPr>
      <w:r>
        <w:rPr/>
        <w:t>The videotape is turned on.</w:t>
      </w:r>
    </w:p>
    <w:p>
      <w:pPr>
        <w:pStyle w:val="Number11body"/>
        <w:rPr/>
      </w:pPr>
      <w:r>
        <w:rPr/>
      </w:r>
    </w:p>
    <w:p>
      <w:pPr>
        <w:pStyle w:val="Number11body"/>
        <w:rPr>
          <w:i/>
          <w:i/>
        </w:rPr>
      </w:pPr>
      <w:r>
        <w:rPr/>
        <w:t>The frozen image of acceptable Doppler velocity tracings is videotaped for 5 seconds.</w:t>
      </w:r>
    </w:p>
    <w:p>
      <w:pPr>
        <w:pStyle w:val="Number11body"/>
        <w:rPr>
          <w:i/>
          <w:i/>
        </w:rPr>
      </w:pPr>
      <w:r>
        <w:rPr>
          <w:i/>
        </w:rPr>
      </w:r>
    </w:p>
    <w:p>
      <w:pPr>
        <w:pStyle w:val="Number11body"/>
        <w:rPr/>
      </w:pPr>
      <w:r>
        <w:rPr/>
        <w:t>The videotape is turned off.</w:t>
      </w:r>
    </w:p>
    <w:p>
      <w:pPr>
        <w:pStyle w:val="Number11body"/>
        <w:rPr>
          <w:b/>
          <w:b/>
        </w:rPr>
      </w:pPr>
      <w:r>
        <w:rPr>
          <w:b/>
        </w:rPr>
      </w:r>
    </w:p>
    <w:p>
      <w:pPr>
        <w:pStyle w:val="Number11"/>
        <w:rPr/>
      </w:pPr>
      <w:r>
        <w:rPr/>
        <w:tab/>
        <w:t>7.3</w:t>
        <w:tab/>
        <w:t xml:space="preserve">Standard View (Baseline Brachial Artery Sequence 2) </w:t>
      </w:r>
      <w:r>
        <w:rPr>
          <w:i/>
        </w:rPr>
        <w:t>- videotaped</w:t>
      </w:r>
    </w:p>
    <w:p>
      <w:pPr>
        <w:pStyle w:val="Normal"/>
        <w:rPr>
          <w:i/>
          <w:i/>
        </w:rPr>
      </w:pPr>
      <w:r>
        <w:rPr>
          <w:i/>
        </w:rPr>
      </w:r>
    </w:p>
    <w:p>
      <w:pPr>
        <w:pStyle w:val="Number11body"/>
        <w:rPr/>
      </w:pPr>
      <w:r>
        <w:rPr/>
        <w:t>This is a longitudinal view of the distal brachial artery with the probe in the lateral projection. This is the second series of views to be videotaped. The distal brachial artery (elbow) is to the left side of the screen (sonographer facing screen - to sonographer's left).</w:t>
      </w:r>
    </w:p>
    <w:p>
      <w:pPr>
        <w:pStyle w:val="Number11body"/>
        <w:rPr/>
      </w:pPr>
      <w:r>
        <w:rPr/>
      </w:r>
    </w:p>
    <w:p>
      <w:pPr>
        <w:pStyle w:val="Number11body"/>
        <w:rPr/>
      </w:pPr>
      <w:r>
        <w:rPr/>
        <w:t xml:space="preserve">The sonographer optimizes the near and far wall interfaces of the brachial artery by adjusting the transducer position and gain settings. The transducer is parallel to the artery. The focal points are in the center of the artery or, the lowest focal point is at the level of the far wall.  The sonographer should adjust the TGC (time gain compensation) cursors to optimize the image: dark artery lumen, sharp wall interfaces, minimal artifacts into the artery lumen. If a plaque is present, the sonographer will move the transducer lower on the arm and make note of this action. </w:t>
      </w:r>
    </w:p>
    <w:p>
      <w:pPr>
        <w:pStyle w:val="Number11body"/>
        <w:rPr/>
      </w:pPr>
      <w:r>
        <w:rPr/>
      </w:r>
    </w:p>
    <w:p>
      <w:pPr>
        <w:pStyle w:val="Number11body"/>
        <w:rPr/>
      </w:pPr>
      <w:r>
        <w:rPr/>
        <w:t>The "ZOOM" box is centered on the artery and then "SET" button is pressed. The trackball can still be used to adjust the image position (artery in center of the image and parallel to the horizontal”.</w:t>
      </w:r>
    </w:p>
    <w:p>
      <w:pPr>
        <w:pStyle w:val="Number11body"/>
        <w:rPr/>
      </w:pPr>
      <w:r>
        <w:rPr/>
      </w:r>
    </w:p>
    <w:p>
      <w:pPr>
        <w:pStyle w:val="Number11body"/>
        <w:rPr/>
      </w:pPr>
      <w:r>
        <w:rPr/>
        <w:t>The sonographer presses the “comment” key and then identifies landmarks (one in the soft tissues “v”, the other in the middle of the artery lumen, “o”). See the image in Section 1.7 of this document, “Standard Imaging Sequences, Video Sequence 2 Description.”</w:t>
      </w:r>
    </w:p>
    <w:p>
      <w:pPr>
        <w:pStyle w:val="Number11body"/>
        <w:rPr/>
      </w:pPr>
      <w:r>
        <w:rPr/>
      </w:r>
    </w:p>
    <w:p>
      <w:pPr>
        <w:pStyle w:val="Number11body"/>
        <w:rPr/>
      </w:pPr>
      <w:r>
        <w:rPr/>
        <w:t>The sonographer moves cursor to the “home” position at the upper left hand of the image.</w:t>
      </w:r>
    </w:p>
    <w:p>
      <w:pPr>
        <w:pStyle w:val="Number11body"/>
        <w:rPr/>
      </w:pPr>
      <w:r>
        <w:rPr/>
      </w:r>
    </w:p>
    <w:p>
      <w:pPr>
        <w:pStyle w:val="Number11body"/>
        <w:rPr/>
      </w:pPr>
      <w:r>
        <w:rPr/>
        <w:t>The sonographer then types "a" or “b” and then the "SET" button. The message "baseline" appears on the screen. The sonographer then hits the “return” key.</w:t>
      </w:r>
    </w:p>
    <w:p>
      <w:pPr>
        <w:pStyle w:val="Number11body"/>
        <w:rPr/>
      </w:pPr>
      <w:r>
        <w:rPr/>
      </w:r>
    </w:p>
    <w:p>
      <w:pPr>
        <w:pStyle w:val="Number11body"/>
        <w:rPr/>
      </w:pPr>
      <w:r>
        <w:rPr/>
        <w:t>The videotape is turned on.</w:t>
      </w:r>
    </w:p>
    <w:p>
      <w:pPr>
        <w:pStyle w:val="Number11body"/>
        <w:rPr/>
      </w:pPr>
      <w:r>
        <w:rPr/>
      </w:r>
    </w:p>
    <w:p>
      <w:pPr>
        <w:pStyle w:val="Number11body"/>
        <w:rPr/>
      </w:pPr>
      <w:r>
        <w:rPr/>
        <w:t>Gray scale imaging of brachial artery is then done for 20 seconds before inflation of the occlusion cuff while</w:t>
      </w:r>
      <w:r>
        <w:rPr>
          <w:b/>
          <w:i/>
        </w:rPr>
        <w:t xml:space="preserve"> videotaping and continues through the next section.</w:t>
      </w:r>
    </w:p>
    <w:p>
      <w:pPr>
        <w:pStyle w:val="Number1body"/>
        <w:rPr/>
      </w:pPr>
      <w:r>
        <w:rPr/>
      </w:r>
    </w:p>
    <w:p>
      <w:pPr>
        <w:pStyle w:val="Number11"/>
        <w:rPr/>
      </w:pPr>
      <w:r>
        <w:rPr/>
        <w:tab/>
        <w:t>7.4</w:t>
        <w:tab/>
        <w:t>Application of occlusion cuff pressure by pressing foot switch</w:t>
      </w:r>
    </w:p>
    <w:p>
      <w:pPr>
        <w:pStyle w:val="Number11body"/>
        <w:rPr/>
      </w:pPr>
      <w:r>
        <w:rPr/>
      </w:r>
    </w:p>
    <w:p>
      <w:pPr>
        <w:pStyle w:val="Number11body"/>
        <w:rPr/>
      </w:pPr>
      <w:r>
        <w:rPr/>
        <w:t>Immediately before the inflation of the occlusion cuff, the sonographer presses the annotation key "s" or “c” and then the "SET" button. The message "cuff inflate" appears on the screen.  The sonographer then hits the “return” key.</w:t>
      </w:r>
    </w:p>
    <w:p>
      <w:pPr>
        <w:pStyle w:val="Number11body"/>
        <w:rPr/>
      </w:pPr>
      <w:r>
        <w:rPr/>
      </w:r>
    </w:p>
    <w:p>
      <w:pPr>
        <w:pStyle w:val="Number11body"/>
        <w:rPr/>
      </w:pPr>
      <w:r>
        <w:rPr/>
        <w:t>The occlusion cuff inflation is 200 mm Hg. If the systolic blood pressure is greater than 150 mm Hg, the occlusion cuff pressure is the blood pressure plus 50 mmHg (up to 230 mmHg).</w:t>
      </w:r>
    </w:p>
    <w:p>
      <w:pPr>
        <w:pStyle w:val="Number11body"/>
        <w:rPr/>
      </w:pPr>
      <w:r>
        <w:rPr/>
      </w:r>
    </w:p>
    <w:p>
      <w:pPr>
        <w:pStyle w:val="Number11body"/>
        <w:rPr/>
      </w:pPr>
      <w:r>
        <w:rPr/>
        <w:t>Gray scale imaging continues through the inflation of the occlusion cuff until approximately 10 seconds after occlusion.</w:t>
      </w:r>
      <w:r>
        <w:rPr>
          <w:b/>
          <w:i/>
        </w:rPr>
        <w:t xml:space="preserve"> videotaped</w:t>
      </w:r>
    </w:p>
    <w:p>
      <w:pPr>
        <w:pStyle w:val="Number11body"/>
        <w:rPr/>
      </w:pPr>
      <w:r>
        <w:rPr/>
      </w:r>
    </w:p>
    <w:p>
      <w:pPr>
        <w:pStyle w:val="Number11body"/>
        <w:rPr/>
      </w:pPr>
      <w:r>
        <w:rPr/>
        <w:t>The videotape is turned off.</w:t>
      </w:r>
    </w:p>
    <w:p>
      <w:pPr>
        <w:pStyle w:val="Number11body"/>
        <w:rPr/>
      </w:pPr>
      <w:r>
        <w:rPr/>
      </w:r>
    </w:p>
    <w:p>
      <w:pPr>
        <w:pStyle w:val="Number11body"/>
        <w:rPr/>
      </w:pPr>
      <w:r>
        <w:rPr/>
        <w:t>The sonographer maintains position of the transducer with the aid of the identified landmarks and the “o” and “v” annotations.</w:t>
      </w:r>
    </w:p>
    <w:p>
      <w:pPr>
        <w:pStyle w:val="Number11body"/>
        <w:rPr/>
      </w:pPr>
      <w:r>
        <w:rPr/>
      </w:r>
    </w:p>
    <w:p>
      <w:pPr>
        <w:pStyle w:val="Number11"/>
        <w:rPr/>
      </w:pPr>
      <w:r>
        <w:rPr/>
        <w:tab/>
        <w:t xml:space="preserve">7.5 </w:t>
        <w:tab/>
        <w:t xml:space="preserve">Standard View (Response Brachial Artery Vasodilatation Sequence 3) </w:t>
      </w:r>
      <w:r>
        <w:rPr>
          <w:i/>
        </w:rPr>
        <w:t>- videotaped</w:t>
      </w:r>
    </w:p>
    <w:p>
      <w:pPr>
        <w:pStyle w:val="Number11body"/>
        <w:rPr>
          <w:i/>
          <w:i/>
        </w:rPr>
      </w:pPr>
      <w:r>
        <w:rPr>
          <w:i/>
        </w:rPr>
      </w:r>
    </w:p>
    <w:p>
      <w:pPr>
        <w:pStyle w:val="Number11body"/>
        <w:rPr/>
      </w:pPr>
      <w:r>
        <w:rPr/>
        <w:t xml:space="preserve">Sequence 3 begins 15 seconds before deflation of the occlusion cuff.  </w:t>
      </w:r>
    </w:p>
    <w:p>
      <w:pPr>
        <w:pStyle w:val="Number11body"/>
        <w:rPr/>
      </w:pPr>
      <w:r>
        <w:rPr/>
      </w:r>
    </w:p>
    <w:p>
      <w:pPr>
        <w:pStyle w:val="Number11body"/>
        <w:rPr/>
      </w:pPr>
      <w:r>
        <w:rPr/>
        <w:t>The videotape is turned on.</w:t>
      </w:r>
    </w:p>
    <w:p>
      <w:pPr>
        <w:pStyle w:val="Number11body"/>
        <w:rPr/>
      </w:pPr>
      <w:r>
        <w:rPr/>
      </w:r>
    </w:p>
    <w:p>
      <w:pPr>
        <w:pStyle w:val="Number11body"/>
        <w:rPr/>
      </w:pPr>
      <w:r>
        <w:rPr/>
        <w:t>The sonographer presses the annotation key "d" or “p” and then the "SET" button. The message "pre-deflate" appears on the screen. The sonographer then hits the “return” key.</w:t>
      </w:r>
    </w:p>
    <w:p>
      <w:pPr>
        <w:pStyle w:val="Number11body"/>
        <w:rPr/>
      </w:pPr>
      <w:r>
        <w:rPr/>
      </w:r>
    </w:p>
    <w:p>
      <w:pPr>
        <w:pStyle w:val="Number11body"/>
        <w:rPr/>
      </w:pPr>
      <w:r>
        <w:rPr/>
        <w:t>Imaging is done for 15 seconds of a longitudinal view of the distal brachial artery with the probe in the lateral projection and in the same position as for Sequence 2.</w:t>
      </w:r>
      <w:r>
        <w:rPr>
          <w:b/>
          <w:i/>
        </w:rPr>
        <w:t xml:space="preserve"> videotaped</w:t>
      </w:r>
      <w:r>
        <w:rPr/>
        <w:t xml:space="preserve"> </w:t>
      </w:r>
    </w:p>
    <w:p>
      <w:pPr>
        <w:pStyle w:val="Number11body"/>
        <w:rPr/>
      </w:pPr>
      <w:r>
        <w:rPr/>
      </w:r>
    </w:p>
    <w:p>
      <w:pPr>
        <w:pStyle w:val="Number11body"/>
        <w:rPr/>
      </w:pPr>
      <w:r>
        <w:rPr/>
        <w:t>This segment is used by the reading center to confirm that confirm that position on the artery segment has been maintained. The distal brachial artery (elbow) is to the left side of the screen (sonographer facing screen - to sonographer's left).</w:t>
      </w:r>
    </w:p>
    <w:p>
      <w:pPr>
        <w:pStyle w:val="Number1body"/>
        <w:rPr/>
      </w:pPr>
      <w:r>
        <w:rPr/>
      </w:r>
    </w:p>
    <w:p>
      <w:pPr>
        <w:pStyle w:val="Number11body"/>
        <w:rPr/>
      </w:pPr>
      <w:r>
        <w:rPr/>
        <w:t>Immediately before the deflation of the occlusion cuff, the sonographer presses the annotation key "f" or “x” and then the "SET" button. The message "cuff deflate" appears on the screen.</w:t>
      </w:r>
    </w:p>
    <w:p>
      <w:pPr>
        <w:pStyle w:val="Number11body"/>
        <w:rPr/>
      </w:pPr>
      <w:r>
        <w:rPr/>
      </w:r>
    </w:p>
    <w:p>
      <w:pPr>
        <w:pStyle w:val="Number11body"/>
        <w:rPr/>
      </w:pPr>
      <w:r>
        <w:rPr/>
        <w:t>The occlusion cuff is then immediately released by pressing on the foot switch.</w:t>
      </w:r>
    </w:p>
    <w:p>
      <w:pPr>
        <w:pStyle w:val="Number11body"/>
        <w:rPr/>
      </w:pPr>
      <w:r>
        <w:rPr/>
      </w:r>
    </w:p>
    <w:p>
      <w:pPr>
        <w:pStyle w:val="Number11body"/>
        <w:rPr/>
      </w:pPr>
      <w:r>
        <w:rPr/>
        <w:t>The probe is kept centered on the brachial artery, centered 5 to 9 cm above the elbow and videotaping continues for 90 seconds.</w:t>
      </w:r>
      <w:r>
        <w:rPr>
          <w:b/>
          <w:i/>
        </w:rPr>
        <w:t xml:space="preserve"> videotaped</w:t>
      </w:r>
      <w:r>
        <w:rPr/>
        <w:t xml:space="preserve"> </w:t>
      </w:r>
    </w:p>
    <w:p>
      <w:pPr>
        <w:pStyle w:val="Number11body"/>
        <w:rPr/>
      </w:pPr>
      <w:r>
        <w:rPr/>
      </w:r>
    </w:p>
    <w:p>
      <w:pPr>
        <w:pStyle w:val="Number11body"/>
        <w:rPr/>
      </w:pPr>
      <w:r>
        <w:rPr/>
        <w:t xml:space="preserve">The videotape machine is turned off. </w:t>
      </w:r>
    </w:p>
    <w:p>
      <w:pPr>
        <w:pStyle w:val="Number11body"/>
        <w:rPr/>
      </w:pPr>
      <w:r>
        <w:rPr/>
      </w:r>
    </w:p>
    <w:p>
      <w:pPr>
        <w:pStyle w:val="Number11"/>
        <w:rPr/>
      </w:pPr>
      <w:r>
        <w:rPr/>
        <w:tab/>
        <w:t>7.6</w:t>
        <w:tab/>
        <w:t>Resting interval</w:t>
      </w:r>
    </w:p>
    <w:p>
      <w:pPr>
        <w:pStyle w:val="Number11body"/>
        <w:rPr/>
      </w:pPr>
      <w:r>
        <w:rPr/>
      </w:r>
    </w:p>
    <w:p>
      <w:pPr>
        <w:pStyle w:val="Number11body"/>
        <w:rPr>
          <w:b/>
          <w:b/>
        </w:rPr>
      </w:pPr>
      <w:r>
        <w:rPr>
          <w:b/>
        </w:rPr>
        <w:t>If Carotid Artery Distensibility does not immediately follow Brachial Artery Vasodilatation, a left arm blood pressure measurement is made at 3 minutes (180 seconds) after deflation of the occlusion cuff. The protocol is complete.</w:t>
      </w:r>
    </w:p>
    <w:p>
      <w:pPr>
        <w:pStyle w:val="Number11body"/>
        <w:rPr/>
      </w:pPr>
      <w:r>
        <w:rPr/>
      </w:r>
    </w:p>
    <w:p>
      <w:pPr>
        <w:pStyle w:val="Number11body"/>
        <w:rPr>
          <w:u w:val="single"/>
        </w:rPr>
      </w:pPr>
      <w:r>
        <w:rPr>
          <w:u w:val="single"/>
        </w:rPr>
        <w:t>NOTE: If this is a reproducibility study, or if there is difficulty with the procedure and it needs to be repeated, there will be a 15 minute resting period and the entire protocol is repeated, starting at Step 1.</w:t>
      </w:r>
    </w:p>
    <w:p>
      <w:pPr>
        <w:pStyle w:val="Number11body"/>
        <w:rPr>
          <w:u w:val="single"/>
        </w:rPr>
      </w:pPr>
      <w:r>
        <w:rPr>
          <w:u w:val="single"/>
        </w:rPr>
      </w:r>
    </w:p>
    <w:p>
      <w:pPr>
        <w:pStyle w:val="Number1"/>
        <w:rPr/>
      </w:pPr>
      <w:r>
        <w:rPr/>
        <w:tab/>
        <w:t>8.</w:t>
        <w:tab/>
      </w:r>
      <w:r>
        <w:rPr>
          <w:u w:val="single"/>
        </w:rPr>
        <w:t>Items from the MESA Endothelial Function Case Report Form</w:t>
      </w:r>
    </w:p>
    <w:p>
      <w:pPr>
        <w:pStyle w:val="Normal"/>
        <w:rPr/>
      </w:pPr>
      <w:r>
        <w:rPr/>
      </w:r>
    </w:p>
    <w:p>
      <w:pPr>
        <w:pStyle w:val="Number11"/>
        <w:rPr/>
      </w:pPr>
      <w:r>
        <w:rPr/>
        <w:tab/>
        <w:t>8.1</w:t>
        <w:tab/>
        <w:t>At the conclusion of the scan several items are to be noted on the MESA Endothelial Function case report form which will be useful if the scan is done again during a subsequent MESA exam cycle.</w:t>
      </w:r>
    </w:p>
    <w:p>
      <w:pPr>
        <w:pStyle w:val="Number11"/>
        <w:rPr/>
      </w:pPr>
      <w:r>
        <w:rPr/>
      </w:r>
    </w:p>
    <w:p>
      <w:pPr>
        <w:pStyle w:val="Number11"/>
        <w:rPr/>
      </w:pPr>
      <w:r>
        <w:rPr/>
        <w:tab/>
        <w:t>8.2</w:t>
        <w:tab/>
        <w:t>Endothelial Function Form Item 22: “What is the distance from the antecubital crease to the probe?” Measure, in centimeters, the distance from the elbow crease to the leading edge of the transducer. Place a centimeter ruler on the participant’s forearm with the 1 cm end in the right elbow crease. Extend the other end to the edge of the skin imprint made by the transducer during the scanning process. Measure and record the distance.</w:t>
      </w:r>
    </w:p>
    <w:p>
      <w:pPr>
        <w:pStyle w:val="Number11"/>
        <w:rPr/>
      </w:pPr>
      <w:r>
        <w:rPr/>
      </w:r>
    </w:p>
    <w:p>
      <w:pPr>
        <w:pStyle w:val="Number11"/>
        <w:rPr/>
      </w:pPr>
      <w:r>
        <w:rPr/>
        <w:tab/>
        <w:t>8.3</w:t>
        <w:tab/>
        <w:t>Endothelial Function Form Item 23: “What was the probe angle?” Estimate the angle closest to 10, 45, or 90 degrees from the horizontal plane of the table and record that number on the form.</w:t>
      </w:r>
    </w:p>
    <w:p>
      <w:pPr>
        <w:pStyle w:val="Normal"/>
        <w:rPr/>
      </w:pPr>
      <w:r>
        <w:rPr/>
      </w:r>
    </w:p>
    <w:p>
      <w:pPr>
        <w:pStyle w:val="Number11body"/>
        <w:rPr/>
      </w:pPr>
      <w:r>
        <w:drawing>
          <wp:anchor behindDoc="1" distT="0" distB="0" distL="114935" distR="114935" simplePos="0" locked="0" layoutInCell="0" allowOverlap="1" relativeHeight="14">
            <wp:simplePos x="0" y="0"/>
            <wp:positionH relativeFrom="column">
              <wp:posOffset>965835</wp:posOffset>
            </wp:positionH>
            <wp:positionV relativeFrom="paragraph">
              <wp:posOffset>18415</wp:posOffset>
            </wp:positionV>
            <wp:extent cx="2717800" cy="1391285"/>
            <wp:effectExtent l="0" t="0" r="0" b="0"/>
            <wp:wrapTight wrapText="bothSides">
              <wp:wrapPolygon edited="0">
                <wp:start x="-51" y="0"/>
                <wp:lineTo x="-51" y="21490"/>
                <wp:lineTo x="21600" y="21490"/>
                <wp:lineTo x="21600" y="0"/>
                <wp:lineTo x="-51" y="0"/>
              </wp:wrapPolygon>
            </wp:wrapTight>
            <wp:docPr id="2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 descr=""/>
                    <pic:cNvPicPr>
                      <a:picLocks noChangeAspect="1" noChangeArrowheads="1"/>
                    </pic:cNvPicPr>
                  </pic:nvPicPr>
                  <pic:blipFill>
                    <a:blip r:embed="rId143"/>
                    <a:srcRect l="-6" t="-11" r="-6" b="-11"/>
                    <a:stretch>
                      <a:fillRect/>
                    </a:stretch>
                  </pic:blipFill>
                  <pic:spPr bwMode="auto">
                    <a:xfrm>
                      <a:off x="0" y="0"/>
                      <a:ext cx="2717800" cy="1391285"/>
                    </a:xfrm>
                    <a:prstGeom prst="rect">
                      <a:avLst/>
                    </a:prstGeom>
                  </pic:spPr>
                </pic:pic>
              </a:graphicData>
            </a:graphic>
          </wp:anchor>
        </w:drawing>
      </w:r>
      <w:r>
        <w:rPr/>
        <w:t>Position of the probe, distance from the elbow crease, position of the participants arm (bent or straight), and relative angle of the probe with the horizontal are recorded.</w:t>
      </w:r>
    </w:p>
    <w:p>
      <w:pPr>
        <w:pStyle w:val="Number11body"/>
        <w:rPr/>
      </w:pPr>
      <w:r>
        <w:rPr/>
      </w:r>
    </w:p>
    <w:p>
      <w:pPr>
        <w:pStyle w:val="Number1"/>
        <w:rPr/>
      </w:pPr>
      <w:r>
        <w:rPr/>
        <w:tab/>
        <w:t>9.</w:t>
        <w:tab/>
      </w:r>
      <w:r>
        <w:rPr>
          <w:u w:val="single"/>
        </w:rPr>
        <w:t>Data transmission</w:t>
      </w:r>
    </w:p>
    <w:p>
      <w:pPr>
        <w:pStyle w:val="Number1"/>
        <w:rPr>
          <w:u w:val="single"/>
        </w:rPr>
      </w:pPr>
      <w:r>
        <w:rPr>
          <w:u w:val="single"/>
        </w:rPr>
      </w:r>
    </w:p>
    <w:p>
      <w:pPr>
        <w:pStyle w:val="Number1body"/>
        <w:rPr/>
      </w:pPr>
      <w:r>
        <w:rPr/>
        <w:t>Videotapes are sent weekly to Dr. O’Leary through a package delivery service with tracking capabilities at the following address. The package includes the appropriate videotape.</w:t>
      </w:r>
    </w:p>
    <w:p>
      <w:pPr>
        <w:pStyle w:val="Normal"/>
        <w:rPr/>
      </w:pPr>
      <w:r>
        <w:rPr/>
      </w:r>
    </w:p>
    <w:p>
      <w:pPr>
        <w:pStyle w:val="Number1body"/>
        <w:rPr/>
      </w:pPr>
      <w:r>
        <w:rPr/>
        <w:t>Daniel H. O'Leary, M.D.</w:t>
      </w:r>
    </w:p>
    <w:p>
      <w:pPr>
        <w:pStyle w:val="Number1body"/>
        <w:rPr/>
      </w:pPr>
      <w:r>
        <w:rPr/>
        <w:t>MESA Ultrasound Reading Center</w:t>
      </w:r>
    </w:p>
    <w:p>
      <w:pPr>
        <w:pStyle w:val="Number1body"/>
        <w:rPr/>
      </w:pPr>
      <w:r>
        <w:rPr/>
        <w:t>New England Medical Center, Box 380</w:t>
      </w:r>
    </w:p>
    <w:p>
      <w:pPr>
        <w:pStyle w:val="Number1body"/>
        <w:rPr/>
      </w:pPr>
      <w:r>
        <w:rPr/>
        <w:t>750 Washington Street</w:t>
      </w:r>
    </w:p>
    <w:p>
      <w:pPr>
        <w:pStyle w:val="Number1body"/>
        <w:rPr/>
      </w:pPr>
      <w:r>
        <w:rPr/>
        <w:t>Boston, MA 02111</w:t>
      </w:r>
    </w:p>
    <w:p>
      <w:pPr>
        <w:pStyle w:val="Number1body"/>
        <w:rPr/>
      </w:pPr>
      <w:r>
        <w:rPr/>
      </w:r>
    </w:p>
    <w:p>
      <w:pPr>
        <w:sectPr>
          <w:headerReference w:type="even" r:id="rId144"/>
          <w:headerReference w:type="default" r:id="rId145"/>
          <w:footerReference w:type="even" r:id="rId146"/>
          <w:footerReference w:type="default" r:id="rId147"/>
          <w:type w:val="oddPage"/>
          <w:pgSz w:w="12240" w:h="15840"/>
          <w:pgMar w:left="2880" w:right="1080" w:gutter="0" w:header="720" w:top="1440" w:footer="720" w:bottom="1440"/>
          <w:pgNumType w:fmt="decimal"/>
          <w:formProt w:val="false"/>
          <w:textDirection w:val="lrTb"/>
          <w:docGrid w:type="default" w:linePitch="360" w:charSpace="0"/>
        </w:sectPr>
        <w:pStyle w:val="Romanbold"/>
        <w:rPr/>
      </w:pPr>
      <w:r>
        <w:rPr/>
      </w:r>
    </w:p>
    <w:p>
      <w:pPr>
        <w:pStyle w:val="Subsub"/>
        <w:rPr/>
      </w:pPr>
      <w:bookmarkStart w:id="34" w:name="__RefHeading___Toc503858990"/>
      <w:bookmarkEnd w:id="34"/>
      <w:r>
        <w:rPr/>
        <w:t>3.8.2  Carotid Artery Distensibility</w:t>
      </w:r>
    </w:p>
    <w:p>
      <w:pPr>
        <w:pStyle w:val="Normal"/>
        <w:rPr>
          <w:b/>
          <w:b/>
          <w:sz w:val="28"/>
        </w:rPr>
      </w:pPr>
      <w:r>
        <w:rPr>
          <w:b/>
          <w:sz w:val="28"/>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Normal"/>
        <w:rPr>
          <w:b/>
          <w:b/>
        </w:rPr>
      </w:pPr>
      <w:r>
        <w:rPr>
          <w:b/>
        </w:rPr>
      </w:r>
    </w:p>
    <w:p>
      <w:pPr>
        <w:pStyle w:val="Romanbold"/>
        <w:rPr/>
      </w:pPr>
      <w:r>
        <w:rPr/>
        <w:tab/>
        <w:t>I.</w:t>
        <w:tab/>
        <w:t>Overview of the Carotid Artery Distensibility (Stiffness) Scanning Protocol</w:t>
      </w:r>
    </w:p>
    <w:p>
      <w:pPr>
        <w:pStyle w:val="TimesHeaderB"/>
        <w:spacing w:lineRule="auto" w:line="240"/>
        <w:rPr/>
      </w:pPr>
      <w:r>
        <w:rPr/>
      </w:r>
    </w:p>
    <w:p>
      <w:pPr>
        <w:pStyle w:val="Romanbody"/>
        <w:rPr/>
      </w:pPr>
      <w:r>
        <w:rPr/>
        <w:t xml:space="preserve">Changes in arterial stiffness are associated with hypertension and atherosclerotic changes in the arterial wall. Measurement of the change in diameter of the carotid artery can be combined with blood pressure measurements to give an index of arterial distensibility (inverse of stiffness).  Although blood pressure should ideally be measured in the arterial segment being studied, brachial artery pressures have been used as a substitute. An important variable affecting arterial stiffness is the thickness of the artery wall (IMT: intima-media thickness). Distensibility of an artery segment is a reflection of the mechanical stress affecting the arterial wall during the cardiac cycle. </w:t>
      </w:r>
    </w:p>
    <w:p>
      <w:pPr>
        <w:pStyle w:val="Romanbody"/>
        <w:rPr/>
      </w:pPr>
      <w:r>
        <w:rPr/>
      </w:r>
    </w:p>
    <w:p>
      <w:pPr>
        <w:pStyle w:val="Romanbody"/>
        <w:rPr/>
      </w:pPr>
      <w:r>
        <w:rPr/>
        <w:t xml:space="preserve">A comprehensive evaluation of distensibility of an arterial segment should include accurate measurements of the artery diameter, the thickness of its' wall as well as local blood pressure (or an acceptable substitute).  </w:t>
      </w:r>
    </w:p>
    <w:p>
      <w:pPr>
        <w:pStyle w:val="Romanbody"/>
        <w:rPr/>
      </w:pPr>
      <w:r>
        <w:rPr/>
      </w:r>
    </w:p>
    <w:p>
      <w:pPr>
        <w:pStyle w:val="Romanbold"/>
        <w:rPr/>
      </w:pPr>
      <w:r>
        <w:rPr>
          <w:b w:val="false"/>
          <w:bCs w:val="false"/>
          <w:caps w:val="false"/>
          <w:smallCaps w:val="false"/>
        </w:rPr>
        <w:tab/>
      </w:r>
      <w:r>
        <w:rPr>
          <w:caps w:val="false"/>
          <w:smallCaps w:val="false"/>
        </w:rPr>
        <w:t>II.</w:t>
        <w:tab/>
      </w:r>
      <w:r>
        <w:rPr/>
        <w:t>Introduction to the Carotid Artery Distensibility Scanning Protocol</w:t>
      </w:r>
    </w:p>
    <w:p>
      <w:pPr>
        <w:pStyle w:val="Normal"/>
        <w:rPr>
          <w:b/>
          <w:b/>
        </w:rPr>
      </w:pPr>
      <w:r>
        <w:rPr>
          <w:b/>
        </w:rPr>
      </w:r>
    </w:p>
    <w:p>
      <w:pPr>
        <w:pStyle w:val="Romanbody"/>
        <w:rPr/>
      </w:pPr>
      <w:r>
        <w:drawing>
          <wp:anchor behindDoc="1" distT="0" distB="0" distL="114935" distR="114935" simplePos="0" locked="0" layoutInCell="0" allowOverlap="1" relativeHeight="15">
            <wp:simplePos x="0" y="0"/>
            <wp:positionH relativeFrom="column">
              <wp:posOffset>394335</wp:posOffset>
            </wp:positionH>
            <wp:positionV relativeFrom="paragraph">
              <wp:posOffset>93980</wp:posOffset>
            </wp:positionV>
            <wp:extent cx="3213100" cy="2409825"/>
            <wp:effectExtent l="0" t="0" r="0" b="0"/>
            <wp:wrapTight wrapText="bothSides">
              <wp:wrapPolygon edited="0">
                <wp:start x="-55" y="0"/>
                <wp:lineTo x="-55" y="21520"/>
                <wp:lineTo x="21600" y="21520"/>
                <wp:lineTo x="21600" y="0"/>
                <wp:lineTo x="-55" y="0"/>
              </wp:wrapPolygon>
            </wp:wrapTight>
            <wp:docPr id="2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 descr=""/>
                    <pic:cNvPicPr>
                      <a:picLocks noChangeAspect="1" noChangeArrowheads="1"/>
                    </pic:cNvPicPr>
                  </pic:nvPicPr>
                  <pic:blipFill>
                    <a:blip r:embed="rId148"/>
                    <a:srcRect l="-4" t="-5" r="-4" b="-5"/>
                    <a:stretch>
                      <a:fillRect/>
                    </a:stretch>
                  </pic:blipFill>
                  <pic:spPr bwMode="auto">
                    <a:xfrm>
                      <a:off x="0" y="0"/>
                      <a:ext cx="3213100" cy="2409825"/>
                    </a:xfrm>
                    <a:prstGeom prst="rect">
                      <a:avLst/>
                    </a:prstGeom>
                  </pic:spPr>
                </pic:pic>
              </a:graphicData>
            </a:graphic>
          </wp:anchor>
        </w:drawing>
      </w:r>
      <w:r>
        <w:rPr/>
        <w:t xml:space="preserve">The common carotid artery (CCA) dilates to form the carotid bulb proximal to the bifurcation into the internal and external carotid arteries. The origin of the bulb can be recognized in most, though not all, subjects. The common carotid artery bulb is defined as the site where the artery begins to dilate slightly and the vessel walls curve out, i.e.: they are no longer parallel to each other. The bulb is elliptically shaped and geometrically complex in the longitudinal view. The tip of the flow divider defines the bulb’s upper limit. The tip of the flow divider also marks the origin of the internal and external carotid arteries. </w:t>
      </w:r>
    </w:p>
    <w:p>
      <w:pPr>
        <w:pStyle w:val="Normal"/>
        <w:rPr/>
      </w:pPr>
      <w:r>
        <w:rPr/>
      </w:r>
    </w:p>
    <w:p>
      <w:pPr>
        <w:pStyle w:val="Romanbody"/>
        <w:rPr/>
      </w:pPr>
      <w:r>
        <w:rPr/>
        <w:t xml:space="preserve">Evaluation of the common carotid artery stiffness is made on a segment at least 1 cm before the carotid bulb. The common carotid artery is, at this level, an elastic artery. Although distensibility requires a simultaneous measurement of common carotid artery pressures, such a measurement is not possible given the constraints of the current imaging protocol. Blood pressure measurements will be made in both arms to verify that there are no significant gradients. The highest of the two pressures will then be used for subsequent measurements and will repeated once more after recording the right common carotid images. </w:t>
      </w:r>
    </w:p>
    <w:p>
      <w:pPr>
        <w:pStyle w:val="Normal"/>
        <w:rPr/>
      </w:pPr>
      <w:r>
        <w:rPr/>
      </w:r>
    </w:p>
    <w:p>
      <w:pPr>
        <w:pStyle w:val="Romanbody"/>
        <w:rPr/>
      </w:pPr>
      <w:r>
        <w:rPr/>
        <w:t>Ideally, the average of the two systolic and diastolic pressures in the left arm will be used for further calculations of stiffness values. In cases where the right arm pressure is significantly greater (15 mmHg or more) than the blood pressure measured in the left arm, a repeat measurement will be obtained from the right arm and averaged with the other right arm measurement.</w:t>
      </w:r>
    </w:p>
    <w:p>
      <w:pPr>
        <w:pStyle w:val="Romanbody"/>
        <w:rPr/>
      </w:pPr>
      <w:r>
        <w:rPr/>
      </w:r>
    </w:p>
    <w:p>
      <w:pPr>
        <w:pStyle w:val="Romanbold"/>
        <w:rPr/>
      </w:pPr>
      <w:r>
        <w:rPr/>
        <w:tab/>
        <w:t>III.</w:t>
        <w:tab/>
        <w:t>Procedures</w:t>
      </w:r>
    </w:p>
    <w:p>
      <w:pPr>
        <w:pStyle w:val="Normal"/>
        <w:rPr>
          <w:color w:val="FF0000"/>
        </w:rPr>
      </w:pPr>
      <w:r>
        <w:rPr>
          <w:color w:val="FF0000"/>
        </w:rPr>
      </w:r>
    </w:p>
    <w:p>
      <w:pPr>
        <w:pStyle w:val="Number1"/>
        <w:rPr/>
      </w:pPr>
      <w:r>
        <w:rPr/>
        <w:tab/>
        <w:t>1.</w:t>
        <w:tab/>
      </w:r>
      <w:r>
        <w:rPr>
          <w:u w:val="single"/>
        </w:rPr>
        <w:t>Participant and blood pressure cuff positioning</w:t>
      </w:r>
    </w:p>
    <w:p>
      <w:pPr>
        <w:pStyle w:val="Normal"/>
        <w:rPr/>
      </w:pPr>
      <w:r>
        <w:rPr/>
      </w:r>
    </w:p>
    <w:p>
      <w:pPr>
        <w:pStyle w:val="Number11"/>
        <w:rPr/>
      </w:pPr>
      <w:r>
        <w:rPr/>
        <w:tab/>
        <w:t>1.1</w:t>
        <w:tab/>
        <w:t>The subject is supine during the carotid artery examination and is made comfortable in a position that allows head rotation to either side. The sonographer stands or is seated at the end of the exam table near the participant's head. The top of the head is about three inches from the end of the examination table and the head is rotated 45</w:t>
      </w:r>
      <w:r>
        <w:rPr>
          <w:position w:val="6"/>
          <w:sz w:val="20"/>
        </w:rPr>
        <w:t xml:space="preserve"> </w:t>
      </w:r>
      <w:r>
        <w:rPr/>
        <w:t xml:space="preserve">degrees to the left. Participants may wish to turn their heads to look at the screen. This should be discouraged. The sonographer may gently place his/her hands on the subject’s head as an aid to rotate the head in the correct position. The sonographer should emphasize the importance of not moving. </w:t>
      </w:r>
    </w:p>
    <w:p>
      <w:pPr>
        <w:pStyle w:val="Number11"/>
        <w:rPr/>
      </w:pPr>
      <w:r>
        <w:rPr/>
      </w:r>
    </w:p>
    <w:p>
      <w:pPr>
        <w:pStyle w:val="Number11"/>
        <w:rPr/>
      </w:pPr>
      <w:r>
        <w:rPr/>
        <w:tab/>
        <w:t>1.2</w:t>
        <w:tab/>
        <w:t>A blood pressure cuff is connected to an automated sphygmomanometer (Dinamap</w:t>
      </w:r>
      <w:r>
        <w:rPr>
          <w:rFonts w:eastAsia="Symbol" w:cs="Symbol" w:ascii="Symbol" w:hAnsi="Symbol"/>
        </w:rPr>
        <w:t></w:t>
      </w:r>
      <w:r>
        <w:rPr/>
        <w:t>) placed over the right and left upper arm. Blood pressures are recorded from the left and right arms. The arms are held slightly abducted from the body.</w:t>
      </w:r>
    </w:p>
    <w:p>
      <w:pPr>
        <w:pStyle w:val="Number11"/>
        <w:rPr/>
      </w:pPr>
      <w:r>
        <w:rPr/>
      </w:r>
    </w:p>
    <w:p>
      <w:pPr>
        <w:pStyle w:val="Number11"/>
        <w:rPr>
          <w:b/>
          <w:b/>
        </w:rPr>
      </w:pPr>
      <w:r>
        <w:rPr/>
        <w:tab/>
        <w:t>1.3</w:t>
        <w:tab/>
        <w:t xml:space="preserve">For MESA, a blood pressure cuff placed around the left arm is used to measure systolic and diastolic blood pressures. </w:t>
      </w:r>
    </w:p>
    <w:p>
      <w:pPr>
        <w:pStyle w:val="Number11"/>
        <w:rPr>
          <w:b/>
          <w:b/>
        </w:rPr>
      </w:pPr>
      <w:r>
        <w:rPr>
          <w:b/>
        </w:rPr>
      </w:r>
    </w:p>
    <w:p>
      <w:pPr>
        <w:pStyle w:val="Number1"/>
        <w:rPr/>
      </w:pPr>
      <w:r>
        <w:rPr/>
        <w:tab/>
        <w:t>2.</w:t>
        <w:tab/>
      </w:r>
      <w:r>
        <w:rPr>
          <w:u w:val="single"/>
        </w:rPr>
        <w:t>Distensibility blood pressure summary</w:t>
      </w:r>
    </w:p>
    <w:p>
      <w:pPr>
        <w:pStyle w:val="Normal"/>
        <w:rPr/>
      </w:pPr>
      <w:r>
        <w:rPr/>
      </w:r>
    </w:p>
    <w:p>
      <w:pPr>
        <w:pStyle w:val="Number11"/>
        <w:rPr/>
      </w:pPr>
      <w:r>
        <w:rPr/>
        <w:tab/>
        <w:t>2.1</w:t>
        <w:tab/>
        <w:t>Depending on the order the ultrasound protocols are conducted in MESA some blood pressures can be eliminated.</w:t>
      </w:r>
    </w:p>
    <w:p>
      <w:pPr>
        <w:pStyle w:val="Normal"/>
        <w:rPr/>
      </w:pPr>
      <w:r>
        <w:rPr/>
      </w:r>
    </w:p>
    <w:tbl>
      <w:tblPr>
        <w:tblW w:w="7200" w:type="dxa"/>
        <w:jc w:val="left"/>
        <w:tblInd w:w="985" w:type="dxa"/>
        <w:tblLayout w:type="fixed"/>
        <w:tblCellMar>
          <w:top w:w="0" w:type="dxa"/>
          <w:left w:w="108" w:type="dxa"/>
          <w:bottom w:w="0" w:type="dxa"/>
          <w:right w:w="108" w:type="dxa"/>
        </w:tblCellMar>
      </w:tblPr>
      <w:tblGrid>
        <w:gridCol w:w="1350"/>
        <w:gridCol w:w="3240"/>
        <w:gridCol w:w="2610"/>
      </w:tblGrid>
      <w:tr>
        <w:trPr/>
        <w:tc>
          <w:tcPr>
            <w:tcW w:w="13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Time in Protocol</w:t>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MESA Protocol if Distensibility follows Brachial Artery Endothelial Function</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MESA protocol if Distensibility study is done at a separate session from the Brachial study</w:t>
            </w:r>
          </w:p>
        </w:tc>
      </w:tr>
      <w:tr>
        <w:trPr>
          <w:cantSplit w:val="true"/>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Baseline</w:t>
            </w:r>
          </w:p>
        </w:tc>
        <w:tc>
          <w:tcPr>
            <w:tcW w:w="3240" w:type="dxa"/>
            <w:vMerge w:val="restart"/>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 xml:space="preserve">Left and right arm obtained during the Endothelial Function scan </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Left arm</w:t>
            </w:r>
          </w:p>
        </w:tc>
      </w:tr>
      <w:tr>
        <w:trPr>
          <w:cantSplit w:val="true"/>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Baseline</w:t>
            </w:r>
          </w:p>
        </w:tc>
        <w:tc>
          <w:tcPr>
            <w:tcW w:w="32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Right arm</w:t>
            </w:r>
          </w:p>
        </w:tc>
      </w:tr>
      <w:tr>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Post Imaging</w:t>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Obtained from left arm</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Left arm repeated unless the right systolic pressure is 15 mm HG or more higher</w:t>
            </w:r>
          </w:p>
        </w:tc>
      </w:tr>
    </w:tbl>
    <w:p>
      <w:pPr>
        <w:pStyle w:val="Contents1"/>
        <w:rPr/>
      </w:pPr>
      <w:r>
        <w:rPr/>
      </w:r>
    </w:p>
    <w:p>
      <w:pPr>
        <w:pStyle w:val="Number11"/>
        <w:rPr/>
      </w:pPr>
      <w:r>
        <w:rPr/>
        <w:tab/>
        <w:t>2.2</w:t>
        <w:tab/>
        <w:t>When the Brachial Artery Endothelial Function scan immediately precedes the Carotid Artery Distensibility scan, use the blood pressures obtained during the Brachial Artery Endothelial Function scan as the Carotid Artery Distensibility baseline blood pressure.</w:t>
      </w:r>
      <w:r>
        <w:rPr>
          <w:b/>
        </w:rPr>
        <w:t xml:space="preserve"> </w:t>
      </w:r>
      <w:r>
        <w:rPr/>
        <w:t>Transcribe the “Endothelial Function” Item 16 systolic and diastolic blood pressures to Item 3 of the “Ultrasound Distensibility case report form. In summary, when the Brachial Artery Endothelial Function scan immediately precedes Carotid Distensibility, only one set of systolic and diastolic pressure measurements are taken. This measurement is done after the acquisition of the distensibility images.</w:t>
      </w:r>
    </w:p>
    <w:p>
      <w:pPr>
        <w:pStyle w:val="Number11"/>
        <w:rPr/>
      </w:pPr>
      <w:r>
        <w:rPr/>
      </w:r>
    </w:p>
    <w:p>
      <w:pPr>
        <w:pStyle w:val="Number11"/>
        <w:rPr/>
      </w:pPr>
      <w:r>
        <w:rPr/>
        <w:tab/>
        <w:t>2.3</w:t>
        <w:tab/>
        <w:t>When the Brachial Artery Endothelial Function scan does not precede the Carotid Artery Distensibility study, baseline bilateral blood pressure measurements and a post imaging baseline blood pressure are taken and recorded on the MESA Ultrasound Distensibility case report form.</w:t>
      </w:r>
    </w:p>
    <w:p>
      <w:pPr>
        <w:pStyle w:val="Normal"/>
        <w:rPr/>
      </w:pPr>
      <w:r>
        <w:rPr/>
      </w:r>
    </w:p>
    <w:p>
      <w:pPr>
        <w:pStyle w:val="Number1"/>
        <w:rPr/>
      </w:pPr>
      <w:r>
        <w:rPr/>
        <w:tab/>
        <w:t>3.</w:t>
        <w:tab/>
      </w:r>
      <w:r>
        <w:rPr>
          <w:u w:val="single"/>
        </w:rPr>
        <w:t>Anatomical site of interest - distal common carotid artery</w:t>
      </w:r>
    </w:p>
    <w:p>
      <w:pPr>
        <w:pStyle w:val="Normal"/>
        <w:rPr/>
      </w:pPr>
      <w:r>
        <w:rPr/>
      </w:r>
    </w:p>
    <w:p>
      <w:pPr>
        <w:pStyle w:val="Number11"/>
        <w:rPr/>
      </w:pPr>
      <w:r>
        <w:rPr/>
        <w:tab/>
        <w:t>3.1</w:t>
        <w:tab/>
        <w:t xml:space="preserve">The common carotid artery segment ends at the tip of the flow divider, which is typically the most clearly defined anatomical reference in the carotid system. Adjacent to this segment is the carotid bulb, a zone where the walls of the common carotid artery diverge from parallel lines. The segment of interest is the distal common carotid artery at least 1 cm below the carotid bulb. </w:t>
      </w:r>
    </w:p>
    <w:p>
      <w:pPr>
        <w:pStyle w:val="Number11"/>
        <w:rPr/>
      </w:pPr>
      <w:r>
        <w:rPr/>
      </w:r>
    </w:p>
    <w:p>
      <w:pPr>
        <w:pStyle w:val="Number11"/>
        <w:rPr/>
      </w:pPr>
      <w:r>
        <w:rPr/>
        <w:tab/>
        <w:t>3.2</w:t>
        <w:tab/>
        <w:t>Anatomical definitions</w:t>
      </w:r>
    </w:p>
    <w:p>
      <w:pPr>
        <w:pStyle w:val="Number11bodybullet"/>
        <w:rPr/>
      </w:pPr>
      <w:r>
        <w:rPr/>
      </w:r>
    </w:p>
    <w:p>
      <w:pPr>
        <w:pStyle w:val="Number11bodybullet"/>
        <w:rPr/>
      </w:pPr>
      <w:r>
        <w:rPr/>
        <w:tab/>
      </w:r>
      <w:r>
        <w:rPr>
          <w:rFonts w:eastAsia="Symbol" w:cs="Symbol" w:ascii="Symbol" w:hAnsi="Symbol"/>
        </w:rPr>
        <w:t></w:t>
      </w:r>
      <w:r>
        <w:rPr/>
        <w:tab/>
      </w:r>
      <w:r>
        <w:rPr>
          <w:i/>
          <w:iCs/>
        </w:rPr>
        <w:t>Distal common carotid</w:t>
      </w:r>
      <w:r>
        <w:rPr/>
        <w:t xml:space="preserve"> is the segment of the common carotid artery immediately proximal to the origin of the carotid bulb, where the near and far walls of the artery are parallel to one another. The end of the distal common carotid artery is marked by the dilatation of the vessel walls, which is the carotid bulb. </w:t>
      </w:r>
    </w:p>
    <w:p>
      <w:pPr>
        <w:pStyle w:val="Number11bodybullet"/>
        <w:rPr/>
      </w:pPr>
      <w:r>
        <w:rPr/>
      </w:r>
    </w:p>
    <w:p>
      <w:pPr>
        <w:pStyle w:val="Number11bodybullet"/>
        <w:rPr/>
      </w:pPr>
      <w:r>
        <w:rPr/>
        <w:tab/>
      </w:r>
      <w:r>
        <w:rPr>
          <w:rFonts w:eastAsia="Symbol" w:cs="Symbol" w:ascii="Symbol" w:hAnsi="Symbol"/>
        </w:rPr>
        <w:t></w:t>
      </w:r>
      <w:r>
        <w:rPr/>
        <w:tab/>
      </w:r>
      <w:r>
        <w:rPr>
          <w:i/>
          <w:iCs/>
        </w:rPr>
        <w:t>Carotid bulb:</w:t>
      </w:r>
      <w:r>
        <w:rPr/>
        <w:t xml:space="preserve"> the inferior extent of the bulb is the beginning of dilatation or at least 8 mm below the tip of the flow divider. The superior extent of the bulb is defined by the very tip of the flow divider. </w:t>
      </w:r>
    </w:p>
    <w:p>
      <w:pPr>
        <w:pStyle w:val="Number11bodybullet"/>
        <w:rPr/>
      </w:pPr>
      <w:r>
        <w:rPr/>
      </w:r>
    </w:p>
    <w:p>
      <w:pPr>
        <w:pStyle w:val="Number11bodybullet"/>
        <w:rPr/>
      </w:pPr>
      <w:r>
        <w:rPr/>
        <w:tab/>
      </w:r>
      <w:r>
        <w:rPr>
          <w:rFonts w:eastAsia="Symbol" w:cs="Symbol" w:ascii="Symbol" w:hAnsi="Symbol"/>
        </w:rPr>
        <w:t></w:t>
      </w:r>
      <w:r>
        <w:rPr/>
        <w:tab/>
      </w:r>
      <w:r>
        <w:rPr>
          <w:i/>
          <w:iCs/>
        </w:rPr>
        <w:t>Internal jugular vein</w:t>
      </w:r>
      <w:r>
        <w:rPr/>
        <w:t xml:space="preserve"> lies superficial and somewhat lateral to the common carotid artery.  It serves as the imaging window for acquisition of the distensibility measurements</w:t>
      </w:r>
    </w:p>
    <w:p>
      <w:pPr>
        <w:pStyle w:val="Normal"/>
        <w:rPr/>
      </w:pPr>
      <w:r>
        <w:rPr/>
      </w:r>
    </w:p>
    <w:p>
      <w:pPr>
        <w:pStyle w:val="Number1"/>
        <w:rPr/>
      </w:pPr>
      <w:r>
        <w:rPr/>
        <w:tab/>
        <w:t>4.</w:t>
        <w:tab/>
        <w:t>Initial Scan (Videotaped for 10 seconds at a 4 cm field-of-view)</w:t>
      </w:r>
    </w:p>
    <w:p>
      <w:pPr>
        <w:pStyle w:val="Normal"/>
        <w:rPr/>
      </w:pPr>
      <w:r>
        <w:rPr/>
      </w:r>
    </w:p>
    <w:p>
      <w:pPr>
        <w:pStyle w:val="Number11"/>
        <w:rPr/>
      </w:pPr>
      <w:r>
        <w:rPr/>
        <w:tab/>
        <w:t>4.1</w:t>
        <w:tab/>
        <w:t>All images are taken only from the right common carotid artery with the Common Carotid Presets entered in the GE Logiq 700 device.</w:t>
      </w:r>
    </w:p>
    <w:p>
      <w:pPr>
        <w:pStyle w:val="Number11"/>
        <w:rPr/>
      </w:pPr>
      <w:r>
        <w:rPr/>
      </w:r>
    </w:p>
    <w:p>
      <w:pPr>
        <w:pStyle w:val="Number11body"/>
        <w:rPr/>
      </w:pPr>
      <w:r>
        <w:rPr/>
        <w:t>Frequency: 13 MHz</w:t>
      </w:r>
    </w:p>
    <w:p>
      <w:pPr>
        <w:pStyle w:val="Number11body"/>
        <w:rPr/>
      </w:pPr>
      <w:r>
        <w:rPr/>
        <w:t>66 Dyn Range</w:t>
      </w:r>
    </w:p>
    <w:p>
      <w:pPr>
        <w:pStyle w:val="Number11body"/>
        <w:rPr/>
      </w:pPr>
      <w:r>
        <w:rPr/>
        <w:t>Res</w:t>
      </w:r>
    </w:p>
    <w:p>
      <w:pPr>
        <w:pStyle w:val="Number11body"/>
        <w:rPr/>
      </w:pPr>
      <w:r>
        <w:rPr/>
        <w:t>Edge 3</w:t>
      </w:r>
    </w:p>
    <w:p>
      <w:pPr>
        <w:pStyle w:val="Number11body"/>
        <w:rPr/>
      </w:pPr>
      <w:r>
        <w:rPr/>
        <w:t>Map G</w:t>
      </w:r>
    </w:p>
    <w:p>
      <w:pPr>
        <w:pStyle w:val="Number11body"/>
        <w:rPr/>
      </w:pPr>
      <w:r>
        <w:rPr/>
        <w:t>Ave. 2</w:t>
      </w:r>
    </w:p>
    <w:p>
      <w:pPr>
        <w:pStyle w:val="Number11body"/>
        <w:rPr/>
      </w:pPr>
      <w:r>
        <w:rPr/>
        <w:t>Number focal zones: 2</w:t>
      </w:r>
    </w:p>
    <w:p>
      <w:pPr>
        <w:pStyle w:val="Number11body"/>
        <w:rPr/>
      </w:pPr>
      <w:r>
        <w:rPr/>
        <w:t>Position of focal zones: mid artery</w:t>
      </w:r>
    </w:p>
    <w:p>
      <w:pPr>
        <w:pStyle w:val="Number11"/>
        <w:rPr/>
      </w:pPr>
      <w:r>
        <w:rPr/>
        <w:t xml:space="preserve"> </w:t>
      </w:r>
    </w:p>
    <w:p>
      <w:pPr>
        <w:pStyle w:val="Number11"/>
        <w:rPr/>
      </w:pPr>
      <w:r>
        <w:rPr/>
        <w:tab/>
        <w:t>4.2</w:t>
        <w:tab/>
        <w:t>The participant ID number is entered</w:t>
      </w:r>
    </w:p>
    <w:p>
      <w:pPr>
        <w:pStyle w:val="Number11"/>
        <w:rPr/>
      </w:pPr>
      <w:r>
        <w:rPr/>
      </w:r>
    </w:p>
    <w:p>
      <w:pPr>
        <w:pStyle w:val="Number11body"/>
        <w:rPr/>
      </w:pPr>
      <w:r>
        <w:rPr/>
        <w:t>Press "New patient"</w:t>
      </w:r>
    </w:p>
    <w:p>
      <w:pPr>
        <w:pStyle w:val="Number11body"/>
        <w:rPr/>
      </w:pPr>
      <w:r>
        <w:rPr/>
        <w:t>Hit "return" until you reach the new patient question (Y/N); type "Y" and then return</w:t>
      </w:r>
    </w:p>
    <w:p>
      <w:pPr>
        <w:pStyle w:val="Number11body"/>
        <w:rPr/>
      </w:pPr>
      <w:r>
        <w:rPr/>
        <w:t>Keep hitting return until the Last Name field: Type "right cca"</w:t>
      </w:r>
    </w:p>
    <w:p>
      <w:pPr>
        <w:pStyle w:val="Number11body"/>
        <w:rPr/>
      </w:pPr>
      <w:r>
        <w:rPr/>
        <w:t>Keep hitting return until the ID# field: enter the ID number</w:t>
      </w:r>
    </w:p>
    <w:p>
      <w:pPr>
        <w:pStyle w:val="Number11body"/>
        <w:rPr/>
      </w:pPr>
      <w:r>
        <w:rPr/>
        <w:t>Hit return for gender (M or F)</w:t>
      </w:r>
    </w:p>
    <w:p>
      <w:pPr>
        <w:pStyle w:val="Number11body"/>
        <w:rPr/>
      </w:pPr>
      <w:r>
        <w:rPr/>
        <w:t>Hit return and enter your ID</w:t>
      </w:r>
    </w:p>
    <w:p>
      <w:pPr>
        <w:pStyle w:val="Number11body"/>
        <w:rPr/>
      </w:pPr>
      <w:r>
        <w:rPr/>
        <w:t>Hit the "Exit" key to exit</w:t>
      </w:r>
    </w:p>
    <w:p>
      <w:pPr>
        <w:pStyle w:val="Number11"/>
        <w:rPr/>
      </w:pPr>
      <w:r>
        <w:rPr/>
      </w:r>
    </w:p>
    <w:p>
      <w:pPr>
        <w:pStyle w:val="Number11"/>
        <w:rPr/>
      </w:pPr>
      <w:r>
        <w:rPr/>
        <w:tab/>
        <w:t>4.3</w:t>
        <w:tab/>
        <w:t>The purpose of the initial scan is to orient the sonographer to the subject’s carotid anatomy:</w:t>
      </w:r>
    </w:p>
    <w:p>
      <w:pPr>
        <w:pStyle w:val="Number11"/>
        <w:rPr/>
      </w:pPr>
      <w:r>
        <w:rPr/>
        <w:t xml:space="preserve"> </w:t>
      </w:r>
    </w:p>
    <w:p>
      <w:pPr>
        <w:pStyle w:val="Number11bodybullet"/>
        <w:rPr/>
      </w:pPr>
      <w:r>
        <w:rPr/>
        <w:tab/>
      </w:r>
      <w:r>
        <w:rPr>
          <w:rFonts w:eastAsia="Symbol" w:cs="Symbol" w:ascii="Symbol" w:hAnsi="Symbol"/>
        </w:rPr>
        <w:t></w:t>
      </w:r>
      <w:r>
        <w:rPr/>
        <w:tab/>
        <w:t xml:space="preserve">To identify the relative location of the jugular vein to the common carotid artery, </w:t>
      </w:r>
    </w:p>
    <w:p>
      <w:pPr>
        <w:pStyle w:val="Number11bodybullet"/>
        <w:rPr/>
      </w:pPr>
      <w:r>
        <w:rPr/>
        <w:tab/>
      </w:r>
      <w:r>
        <w:rPr>
          <w:rFonts w:eastAsia="Symbol" w:cs="Symbol" w:ascii="Symbol" w:hAnsi="Symbol"/>
        </w:rPr>
        <w:t></w:t>
      </w:r>
      <w:r>
        <w:rPr/>
        <w:tab/>
        <w:t xml:space="preserve">To locate the bifurcation and; </w:t>
      </w:r>
    </w:p>
    <w:p>
      <w:pPr>
        <w:pStyle w:val="Number11bodybullet"/>
        <w:rPr/>
      </w:pPr>
      <w:r>
        <w:rPr/>
        <w:tab/>
      </w:r>
      <w:r>
        <w:rPr>
          <w:rFonts w:eastAsia="Symbol" w:cs="Symbol" w:ascii="Symbol" w:hAnsi="Symbol"/>
        </w:rPr>
        <w:t></w:t>
      </w:r>
      <w:r>
        <w:rPr/>
        <w:tab/>
        <w:t xml:space="preserve">To locate the common carotid artery bulb. </w:t>
      </w:r>
    </w:p>
    <w:p>
      <w:pPr>
        <w:pStyle w:val="Number11"/>
        <w:rPr/>
      </w:pPr>
      <w:r>
        <w:rPr/>
      </w:r>
    </w:p>
    <w:p>
      <w:pPr>
        <w:pStyle w:val="Number11"/>
        <w:rPr/>
      </w:pPr>
      <w:r>
        <w:rPr/>
        <w:tab/>
        <w:t>4.4</w:t>
        <w:tab/>
        <w:t>Videotape is on.</w:t>
      </w:r>
    </w:p>
    <w:p>
      <w:pPr>
        <w:pStyle w:val="Number11"/>
        <w:rPr/>
      </w:pPr>
      <w:r>
        <w:rPr/>
      </w:r>
    </w:p>
    <w:p>
      <w:pPr>
        <w:pStyle w:val="Number11"/>
        <w:rPr/>
      </w:pPr>
      <w:r>
        <w:rPr/>
        <w:tab/>
        <w:tab/>
        <w:t>This initial scan is done in the plane transverse to the artery and vein.  The transducer is slowly swept from the low common carotid artery (just above the clavicle) to just above the origins of the internal and external carotid arteries: the transducer is kept over the internal jugular vein so that the vein is stacked on top of the artery. Once the location of the bifurcation is identified, the transducer is slowly rotated to a plane parallel to the axis of the artery and vein. The jugular vein then serves as an acoustic window for imaging of the common carotid artery. Apply only a minimal amount of pressure to the transducer in order to prevent collapse of the vein and loss of the acoustic window.</w:t>
        <w:br/>
      </w:r>
    </w:p>
    <w:p>
      <w:pPr>
        <w:pStyle w:val="Number11"/>
        <w:rPr/>
      </w:pPr>
      <w:r>
        <w:rPr/>
        <w:tab/>
        <w:t>4.5</w:t>
        <w:tab/>
        <w:t>Videotape is off.</w:t>
      </w:r>
    </w:p>
    <w:p>
      <w:pPr>
        <w:pStyle w:val="TimesHeaderB"/>
        <w:spacing w:lineRule="auto" w:line="240"/>
        <w:rPr/>
      </w:pPr>
      <w:r>
        <w:rPr/>
      </w:r>
    </w:p>
    <w:p>
      <w:pPr>
        <w:pStyle w:val="Number1"/>
        <w:rPr/>
      </w:pPr>
      <w:r>
        <w:rPr/>
        <w:tab/>
        <w:t>5.</w:t>
        <w:tab/>
      </w:r>
      <w:r>
        <w:rPr>
          <w:u w:val="single"/>
        </w:rPr>
        <w:t>Standard carotid artery distensibility ultrasound images</w:t>
      </w:r>
    </w:p>
    <w:p>
      <w:pPr>
        <w:pStyle w:val="Number1body"/>
        <w:rPr/>
      </w:pPr>
      <w:r>
        <w:rPr/>
      </w:r>
    </w:p>
    <w:p>
      <w:pPr>
        <w:pStyle w:val="Number1body"/>
        <w:rPr/>
      </w:pPr>
      <w:r>
        <w:rPr/>
        <w:t>All images are taken only from the right common carotid artery. Summary of imaging sequences:</w:t>
      </w:r>
    </w:p>
    <w:p>
      <w:pPr>
        <w:pStyle w:val="Normal"/>
        <w:rPr/>
      </w:pPr>
      <w:r>
        <w:rPr/>
      </w:r>
    </w:p>
    <w:p>
      <w:pPr>
        <w:pStyle w:val="Number1bodybullet"/>
        <w:rPr/>
      </w:pPr>
      <w:r>
        <w:rPr>
          <w:rFonts w:eastAsia="Symbol" w:cs="Symbol" w:ascii="Symbol" w:hAnsi="Symbol"/>
        </w:rPr>
        <w:t></w:t>
      </w:r>
      <w:r>
        <w:rPr/>
        <w:tab/>
        <w:t xml:space="preserve">A pulse-wave Doppler tracing is recorded over at least 5 cardiac cycles, approximately 5 seconds of </w:t>
      </w:r>
      <w:r>
        <w:rPr>
          <w:i/>
        </w:rPr>
        <w:t xml:space="preserve">real-time </w:t>
      </w:r>
      <w:r>
        <w:rPr/>
        <w:t xml:space="preserve">imaging. </w:t>
      </w:r>
      <w:r>
        <w:rPr>
          <w:b/>
        </w:rPr>
        <w:t>(Video Sequence 1)</w:t>
      </w:r>
    </w:p>
    <w:p>
      <w:pPr>
        <w:pStyle w:val="Number1bodybullet"/>
        <w:rPr>
          <w:b/>
          <w:b/>
        </w:rPr>
      </w:pPr>
      <w:r>
        <w:rPr>
          <w:b/>
        </w:rPr>
      </w:r>
    </w:p>
    <w:p>
      <w:pPr>
        <w:pStyle w:val="Number1bodybullet"/>
        <w:rPr/>
      </w:pPr>
      <w:r>
        <w:rPr>
          <w:rFonts w:eastAsia="Symbol" w:cs="Symbol" w:ascii="Symbol" w:hAnsi="Symbol"/>
        </w:rPr>
        <w:t></w:t>
      </w:r>
      <w:r>
        <w:rPr/>
        <w:tab/>
        <w:t xml:space="preserve">Videotape the optimal "zoomed" image of the common carotid artery. Both near and far wall interfaces defining the intima-media thickness should be clearly imaged over a 1 cm length. This recording is made for 20 seconds (approximately 20 cardiac cycles) </w:t>
      </w:r>
      <w:r>
        <w:rPr>
          <w:b/>
        </w:rPr>
        <w:t>(Video Sequence 2)</w:t>
      </w:r>
    </w:p>
    <w:p>
      <w:pPr>
        <w:pStyle w:val="Number1bodybullet"/>
        <w:rPr/>
      </w:pPr>
      <w:r>
        <w:rPr/>
      </w:r>
    </w:p>
    <w:p>
      <w:pPr>
        <w:pStyle w:val="Number11"/>
        <w:rPr/>
      </w:pPr>
      <w:r>
        <w:rPr/>
        <w:tab/>
        <w:t>5.1</w:t>
        <w:tab/>
        <w:t>Video sequence 1 - pulse-wave Doppler</w:t>
      </w:r>
    </w:p>
    <w:p>
      <w:pPr>
        <w:pStyle w:val="Number111"/>
        <w:rPr/>
      </w:pPr>
      <w:r>
        <w:rPr/>
      </w:r>
    </w:p>
    <w:p>
      <w:pPr>
        <w:pStyle w:val="Normal"/>
        <w:rPr/>
      </w:pPr>
      <w:r>
        <w:rPr/>
        <w:drawing>
          <wp:inline distT="0" distB="0" distL="0" distR="0">
            <wp:extent cx="5307965" cy="3213735"/>
            <wp:effectExtent l="0" t="0" r="0" b="0"/>
            <wp:docPr id="2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descr=""/>
                    <pic:cNvPicPr>
                      <a:picLocks noChangeAspect="1" noChangeArrowheads="1"/>
                    </pic:cNvPicPr>
                  </pic:nvPicPr>
                  <pic:blipFill>
                    <a:blip r:embed="rId149"/>
                    <a:srcRect l="-5" t="-8" r="-5" b="-8"/>
                    <a:stretch>
                      <a:fillRect/>
                    </a:stretch>
                  </pic:blipFill>
                  <pic:spPr bwMode="auto">
                    <a:xfrm>
                      <a:off x="0" y="0"/>
                      <a:ext cx="5307965" cy="3213735"/>
                    </a:xfrm>
                    <a:prstGeom prst="rect">
                      <a:avLst/>
                    </a:prstGeom>
                  </pic:spPr>
                </pic:pic>
              </a:graphicData>
            </a:graphic>
          </wp:inline>
        </w:drawing>
      </w:r>
    </w:p>
    <w:p>
      <w:pPr>
        <w:pStyle w:val="Normal"/>
        <w:rPr/>
      </w:pPr>
      <w:r>
        <w:rPr/>
      </w:r>
    </w:p>
    <w:p>
      <w:pPr>
        <w:pStyle w:val="Number11"/>
        <w:rPr/>
      </w:pPr>
      <w:r>
        <w:rPr/>
        <w:tab/>
        <w:tab/>
        <w:t>A 4 cm field-of-view is used as the default image size.</w:t>
      </w:r>
    </w:p>
    <w:p>
      <w:pPr>
        <w:pStyle w:val="Number11"/>
        <w:rPr/>
      </w:pPr>
      <w:r>
        <w:rPr/>
      </w:r>
    </w:p>
    <w:p>
      <w:pPr>
        <w:pStyle w:val="Number11"/>
        <w:rPr/>
      </w:pPr>
      <w:r>
        <w:rPr/>
        <w:tab/>
        <w:tab/>
        <w:t xml:space="preserve">The critical information is the peak-velocity </w:t>
      </w:r>
      <w:r>
        <w:rPr>
          <w:u w:val="single"/>
        </w:rPr>
        <w:t>in the common carotid artery</w:t>
      </w:r>
      <w:r>
        <w:rPr/>
        <w:t xml:space="preserve"> at peak systole at the point of maximum flow acceleration. A 2-mm Doppler sample gate is placed in the center of the distal common carotid artery. The audible signal can be used to facilitate placement of the Doppler sample gate. Angle correction should not exceed 60</w:t>
      </w:r>
      <w:r>
        <w:rPr>
          <w:vertAlign w:val="superscript"/>
        </w:rPr>
        <w:t xml:space="preserve"> </w:t>
      </w:r>
      <w:r>
        <w:rPr/>
        <w:t>degrees. The real time Doppler tracing is videotaped for approximately 5 to10 seconds. The image is then frozen and videotaped for another 5 seconds.</w:t>
      </w:r>
    </w:p>
    <w:p>
      <w:pPr>
        <w:pStyle w:val="Number11bodybullet"/>
        <w:rPr/>
      </w:pPr>
      <w:r>
        <w:rPr/>
      </w:r>
    </w:p>
    <w:p>
      <w:pPr>
        <w:pStyle w:val="Number11bodybullet"/>
        <w:rPr/>
      </w:pPr>
      <w:r>
        <w:rPr/>
        <w:tab/>
      </w:r>
      <w:r>
        <w:rPr>
          <w:rFonts w:eastAsia="Symbol" w:cs="Symbol" w:ascii="Symbol" w:hAnsi="Symbol"/>
        </w:rPr>
        <w:t></w:t>
      </w:r>
      <w:r>
        <w:rPr/>
        <w:tab/>
        <w:t>Hit the "cursor" key.</w:t>
      </w:r>
    </w:p>
    <w:p>
      <w:pPr>
        <w:pStyle w:val="Number11bodybullet"/>
        <w:rPr/>
      </w:pPr>
      <w:r>
        <w:rPr/>
        <w:tab/>
      </w:r>
      <w:r>
        <w:rPr>
          <w:rFonts w:eastAsia="Symbol" w:cs="Symbol" w:ascii="Symbol" w:hAnsi="Symbol"/>
        </w:rPr>
        <w:t></w:t>
      </w:r>
      <w:r>
        <w:rPr/>
        <w:tab/>
        <w:t>Move the cursor to the middle of the artery with the trackball</w:t>
      </w:r>
    </w:p>
    <w:p>
      <w:pPr>
        <w:pStyle w:val="Number11bodybullet"/>
        <w:rPr/>
      </w:pPr>
      <w:r>
        <w:rPr/>
        <w:tab/>
      </w:r>
      <w:r>
        <w:rPr>
          <w:rFonts w:eastAsia="Symbol" w:cs="Symbol" w:ascii="Symbol" w:hAnsi="Symbol"/>
        </w:rPr>
        <w:t></w:t>
      </w:r>
      <w:r>
        <w:rPr/>
        <w:tab/>
        <w:t>Press the toggle switches ("angle steer" and "angle correct") until there is an angle of 60 degrees or less between artery axis and the ultrasound beam.</w:t>
      </w:r>
    </w:p>
    <w:p>
      <w:pPr>
        <w:pStyle w:val="Number11bodybullet"/>
        <w:rPr/>
      </w:pPr>
      <w:r>
        <w:rPr/>
        <w:tab/>
      </w:r>
      <w:r>
        <w:rPr>
          <w:rFonts w:eastAsia="Symbol" w:cs="Symbol" w:ascii="Symbol" w:hAnsi="Symbol"/>
        </w:rPr>
        <w:t></w:t>
      </w:r>
      <w:r>
        <w:rPr/>
        <w:tab/>
        <w:t>Press the PW button. Adjust the velocity scale so that the Doppler waveform fits the display (Y-axis).</w:t>
      </w:r>
    </w:p>
    <w:p>
      <w:pPr>
        <w:pStyle w:val="Number11bodybullet"/>
        <w:rPr/>
      </w:pPr>
      <w:r>
        <w:rPr/>
        <w:tab/>
      </w:r>
      <w:r>
        <w:rPr>
          <w:rFonts w:eastAsia="Symbol" w:cs="Symbol" w:ascii="Symbol" w:hAnsi="Symbol"/>
        </w:rPr>
        <w:t></w:t>
      </w:r>
      <w:r>
        <w:rPr/>
        <w:tab/>
        <w:t>Turn the videotape on for 5 -10 seconds until a satisfactory Doppler tracing is obtained</w:t>
      </w:r>
    </w:p>
    <w:p>
      <w:pPr>
        <w:pStyle w:val="Number11bodybullet"/>
        <w:rPr/>
      </w:pPr>
      <w:r>
        <w:rPr/>
        <w:tab/>
      </w:r>
      <w:r>
        <w:rPr>
          <w:rFonts w:eastAsia="Symbol" w:cs="Symbol" w:ascii="Symbol" w:hAnsi="Symbol"/>
        </w:rPr>
        <w:t></w:t>
      </w:r>
      <w:r>
        <w:rPr/>
        <w:tab/>
        <w:t>Freeze the image and let the videotape record the frozen image for 5 seconds</w:t>
      </w:r>
    </w:p>
    <w:p>
      <w:pPr>
        <w:pStyle w:val="Number11bodybullet"/>
        <w:rPr/>
      </w:pPr>
      <w:r>
        <w:rPr/>
      </w:r>
    </w:p>
    <w:p>
      <w:pPr>
        <w:pStyle w:val="Number11bodybullet"/>
        <w:rPr/>
      </w:pPr>
      <w:r>
        <w:rPr/>
        <w:tab/>
      </w:r>
      <w:r>
        <w:rPr>
          <w:rFonts w:eastAsia="Symbol" w:cs="Symbol" w:ascii="Symbol" w:hAnsi="Symbol"/>
        </w:rPr>
        <w:t></w:t>
      </w:r>
      <w:r>
        <w:rPr/>
        <w:tab/>
        <w:t>N.B. The velocity scale is set so the Doppler waveform fills the display.</w:t>
      </w:r>
    </w:p>
    <w:p>
      <w:pPr>
        <w:pStyle w:val="Number11bodybullet"/>
        <w:rPr/>
      </w:pPr>
      <w:r>
        <w:rPr/>
      </w:r>
    </w:p>
    <w:p>
      <w:pPr>
        <w:pStyle w:val="Number11"/>
        <w:rPr/>
      </w:pPr>
      <w:r>
        <w:rPr/>
        <w:tab/>
        <w:t>5.2</w:t>
        <w:tab/>
        <w:t>Video sequence 2 - right common carotid real-time gray scale imaging</w:t>
      </w:r>
    </w:p>
    <w:p>
      <w:pPr>
        <w:pStyle w:val="Normal"/>
        <w:rPr/>
      </w:pPr>
      <w:r>
        <w:rPr/>
      </w:r>
    </w:p>
    <w:p>
      <w:pPr>
        <w:pStyle w:val="Number11body"/>
        <w:rPr/>
      </w:pPr>
      <w:r>
        <w:rPr/>
        <w:t xml:space="preserve">Imaging is done in the lateral projection with the jugular vein lying immediately above the common carotid artery (or at 45 degrees if the internal jugular vein is not present). The image is centered on a 10 mm segment of the right common carotid artery at least 10-mm below (caudad to) the right common carotid artery bulb. The carotid bulb may be displayed on the left side of the monitor (when facing the screen). If the bulb cannot be identified, but the tip of the flow divider can, this may substitute as the internal landmark on this view. </w:t>
      </w:r>
    </w:p>
    <w:p>
      <w:pPr>
        <w:pStyle w:val="Normal"/>
        <w:rPr/>
      </w:pPr>
      <w:r>
        <w:rPr/>
      </w:r>
    </w:p>
    <w:p>
      <w:pPr>
        <w:pStyle w:val="Normal"/>
        <w:rPr/>
      </w:pPr>
      <w:r>
        <w:rPr/>
        <w:drawing>
          <wp:inline distT="0" distB="0" distL="0" distR="0">
            <wp:extent cx="5309235" cy="3820160"/>
            <wp:effectExtent l="0" t="0" r="0" b="0"/>
            <wp:docPr id="2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 descr=""/>
                    <pic:cNvPicPr>
                      <a:picLocks noChangeAspect="1" noChangeArrowheads="1"/>
                    </pic:cNvPicPr>
                  </pic:nvPicPr>
                  <pic:blipFill>
                    <a:blip r:embed="rId150"/>
                    <a:srcRect l="-5" t="-7" r="-5" b="-7"/>
                    <a:stretch>
                      <a:fillRect/>
                    </a:stretch>
                  </pic:blipFill>
                  <pic:spPr bwMode="auto">
                    <a:xfrm>
                      <a:off x="0" y="0"/>
                      <a:ext cx="5309235" cy="3820160"/>
                    </a:xfrm>
                    <a:prstGeom prst="rect">
                      <a:avLst/>
                    </a:prstGeom>
                  </pic:spPr>
                </pic:pic>
              </a:graphicData>
            </a:graphic>
          </wp:inline>
        </w:drawing>
      </w:r>
    </w:p>
    <w:p>
      <w:pPr>
        <w:pStyle w:val="Number11body"/>
        <w:rPr/>
      </w:pPr>
      <w:r>
        <w:rPr/>
      </w:r>
    </w:p>
    <w:p>
      <w:pPr>
        <w:pStyle w:val="Number11body"/>
        <w:rPr/>
      </w:pPr>
      <w:r>
        <w:rPr/>
        <w:t>After locating the tip of the flow divider on the transverse image, the transducer is slowly moved down the neck approximately 2 to 3 cm. Rotate the transducer into the lateral plane keeping the jugular vein in the same imaging plane. The probe is then centered on the upper 2 cm of the common carotid.</w:t>
      </w:r>
    </w:p>
    <w:p>
      <w:pPr>
        <w:pStyle w:val="Number11body"/>
        <w:rPr/>
      </w:pPr>
      <w:r>
        <w:rPr/>
      </w:r>
    </w:p>
    <w:p>
      <w:pPr>
        <w:pStyle w:val="Number11body"/>
        <w:rPr/>
      </w:pPr>
      <w:r>
        <w:rPr/>
        <w:t>The sonographer magnifies the longitudinal image (jugular vein above common carotid artery).</w:t>
      </w:r>
    </w:p>
    <w:p>
      <w:pPr>
        <w:pStyle w:val="Number11body"/>
        <w:rPr/>
      </w:pPr>
      <w:r>
        <w:rPr/>
      </w:r>
    </w:p>
    <w:p>
      <w:pPr>
        <w:pStyle w:val="Number11bodybullet"/>
        <w:rPr/>
      </w:pPr>
      <w:r>
        <w:rPr/>
        <w:tab/>
      </w:r>
      <w:r>
        <w:rPr>
          <w:rFonts w:eastAsia="Symbol" w:cs="Symbol" w:ascii="Symbol" w:hAnsi="Symbol"/>
        </w:rPr>
        <w:t></w:t>
      </w:r>
      <w:r>
        <w:rPr/>
        <w:tab/>
        <w:t>Press the "ZOOM" button</w:t>
      </w:r>
    </w:p>
    <w:p>
      <w:pPr>
        <w:pStyle w:val="Number11bodybullet"/>
        <w:rPr/>
      </w:pPr>
      <w:r>
        <w:rPr/>
        <w:tab/>
      </w:r>
      <w:r>
        <w:rPr>
          <w:rFonts w:eastAsia="Symbol" w:cs="Symbol" w:ascii="Symbol" w:hAnsi="Symbol"/>
        </w:rPr>
        <w:t></w:t>
      </w:r>
      <w:r>
        <w:rPr/>
        <w:tab/>
        <w:t>Use the trackball to center the distal common carotid artery (edge of bulb occupying less than 1/3 of the image to the left hand side of the screen)</w:t>
      </w:r>
    </w:p>
    <w:p>
      <w:pPr>
        <w:pStyle w:val="Number11bodybullet"/>
        <w:rPr/>
      </w:pPr>
      <w:r>
        <w:rPr/>
        <w:tab/>
      </w:r>
      <w:r>
        <w:rPr>
          <w:rFonts w:eastAsia="Symbol" w:cs="Symbol" w:ascii="Symbol" w:hAnsi="Symbol"/>
        </w:rPr>
        <w:t></w:t>
      </w:r>
      <w:r>
        <w:rPr/>
        <w:tab/>
        <w:t>Press the "SET" button</w:t>
      </w:r>
    </w:p>
    <w:p>
      <w:pPr>
        <w:pStyle w:val="Number11bodybullet"/>
        <w:rPr/>
      </w:pPr>
      <w:r>
        <w:rPr/>
        <w:tab/>
      </w:r>
      <w:r>
        <w:rPr>
          <w:rFonts w:eastAsia="Symbol" w:cs="Symbol" w:ascii="Symbol" w:hAnsi="Symbol"/>
        </w:rPr>
        <w:t></w:t>
      </w:r>
      <w:r>
        <w:rPr/>
        <w:tab/>
        <w:t>Videotape a minimum of 20 seconds so that the images in the video sequence are from at least 20 cardiac cycles. The common carotid artery wall interfaces (near and far wall IMT interfaces) are clearly depicted during this recording.</w:t>
      </w:r>
    </w:p>
    <w:p>
      <w:pPr>
        <w:pStyle w:val="Number11bodybullet"/>
        <w:rPr/>
      </w:pPr>
      <w:r>
        <w:rPr/>
      </w:r>
    </w:p>
    <w:p>
      <w:pPr>
        <w:pStyle w:val="Number1"/>
        <w:rPr/>
      </w:pPr>
      <w:r>
        <w:rPr/>
        <w:tab/>
        <w:t>6.</w:t>
        <w:tab/>
      </w:r>
      <w:r>
        <w:rPr>
          <w:u w:val="single"/>
        </w:rPr>
        <w:t>Sonographer response to a significant stenosis – ALERT</w:t>
      </w:r>
      <w:r>
        <w:rPr/>
        <w:t xml:space="preserve"> </w:t>
      </w:r>
    </w:p>
    <w:p>
      <w:pPr>
        <w:pStyle w:val="Normal"/>
        <w:rPr/>
      </w:pPr>
      <w:r>
        <w:rPr/>
      </w:r>
    </w:p>
    <w:p>
      <w:pPr>
        <w:pStyle w:val="Number11"/>
        <w:rPr/>
      </w:pPr>
      <w:r>
        <w:rPr/>
        <w:tab/>
        <w:t>6.1</w:t>
        <w:tab/>
        <w:t xml:space="preserve">Some participants will have significant carotid stenoses, which are discovered, perhaps for the first time, during this examination. An ALERT is defined as an 70% or greater stenosis in the common carotid, the bulb or internal carotid artery. The only criteria used to estimate stenosis is the peak systolic pulse-wave Doppler. A 70% or greater stenosis is indicated by a pulse-wave Doppler measurement of 250 cm/s. Imaging data should </w:t>
      </w:r>
      <w:r>
        <w:rPr>
          <w:b/>
        </w:rPr>
        <w:t>not</w:t>
      </w:r>
      <w:r>
        <w:rPr/>
        <w:t xml:space="preserve"> be used in arriving at this conclusion; its role is limited to determining the site of the abnormality. </w:t>
      </w:r>
    </w:p>
    <w:p>
      <w:pPr>
        <w:pStyle w:val="Number11"/>
        <w:rPr/>
      </w:pPr>
      <w:r>
        <w:rPr/>
      </w:r>
    </w:p>
    <w:p>
      <w:pPr>
        <w:pStyle w:val="Number11"/>
        <w:rPr/>
      </w:pPr>
      <w:r>
        <w:rPr/>
        <w:tab/>
        <w:t>6.2</w:t>
        <w:tab/>
        <w:t xml:space="preserve">If a sonographer believes a significant vascular abnormality is present, he should double-check this finding by repeating the Doppler measurement. Under no circumstances should the impression of a problem be conveyed either directly or indirectly to the participant by the sonographer. </w:t>
      </w:r>
      <w:r>
        <w:rPr>
          <w:b/>
        </w:rPr>
        <w:t>The clinic coordinator should be told immediately after the participant has left the scanning area.</w:t>
      </w:r>
      <w:r>
        <w:rPr/>
        <w:t xml:space="preserve"> An inquiry is thereby triggered at the field center regarding the presence of relevant symptoms in the participant. It will be determined whether he is under care for the vascular abnormality and if necessary appropriate referrals will be provided</w:t>
      </w:r>
    </w:p>
    <w:p>
      <w:pPr>
        <w:pStyle w:val="Number11"/>
        <w:rPr/>
      </w:pPr>
      <w:r>
        <w:rPr/>
      </w:r>
    </w:p>
    <w:p>
      <w:pPr>
        <w:pStyle w:val="Number11"/>
        <w:rPr/>
      </w:pPr>
      <w:r>
        <w:rPr/>
        <w:tab/>
        <w:t>6.2</w:t>
        <w:tab/>
        <w:t xml:space="preserve">The responsibility of the participant’s health care is completely with the field center. Whenever a participant presents with what the sonographer suspects is a problem he is to communicate it immediately to the field center medical personnel. </w:t>
      </w:r>
      <w:r>
        <w:rPr>
          <w:b/>
        </w:rPr>
        <w:t>Do not wait for confirmation from the Ultrasound Reading Center.</w:t>
      </w:r>
      <w:r>
        <w:rPr/>
        <w:t xml:space="preserve"> The scan will not be reviewed until at least a week later. The readers and the project manager are not qualified to provide any sort of diagnostic report.</w:t>
      </w:r>
    </w:p>
    <w:p>
      <w:pPr>
        <w:pStyle w:val="Normal"/>
        <w:rPr/>
      </w:pPr>
      <w:r>
        <w:rPr/>
      </w:r>
    </w:p>
    <w:p>
      <w:pPr>
        <w:pStyle w:val="Number1"/>
        <w:rPr/>
      </w:pPr>
      <w:r>
        <w:rPr/>
        <w:tab/>
        <w:t>7.</w:t>
        <w:tab/>
        <w:t>Sonographer Response to High Blood Pressure - ALERT</w:t>
      </w:r>
    </w:p>
    <w:p>
      <w:pPr>
        <w:pStyle w:val="Normal"/>
        <w:rPr/>
      </w:pPr>
      <w:r>
        <w:rPr/>
      </w:r>
    </w:p>
    <w:p>
      <w:pPr>
        <w:pStyle w:val="TimesHeaderB"/>
        <w:spacing w:lineRule="auto" w:line="240"/>
        <w:ind w:left="990" w:hanging="0"/>
        <w:rPr/>
      </w:pPr>
      <w:r>
        <w:rPr/>
        <w:t>The sonographer is to report blood pressure alerts to the clinic coordinator immediately without indicating a concern to the participant.</w:t>
      </w:r>
    </w:p>
    <w:p>
      <w:pPr>
        <w:pStyle w:val="Normal"/>
        <w:rPr/>
      </w:pPr>
      <w:r>
        <w:rPr/>
      </w:r>
    </w:p>
    <w:p>
      <w:pPr>
        <w:pStyle w:val="Number11"/>
        <w:rPr/>
      </w:pPr>
      <w:r>
        <w:rPr/>
        <w:tab/>
        <w:t>7.1</w:t>
        <w:tab/>
        <w:t>Alert levels requiring immediate referral for MESA patients are:</w:t>
      </w:r>
    </w:p>
    <w:p>
      <w:pPr>
        <w:pStyle w:val="Number11"/>
        <w:rPr>
          <w:u w:val="single"/>
        </w:rPr>
      </w:pPr>
      <w:r>
        <w:rPr>
          <w:u w:val="single"/>
        </w:rPr>
      </w:r>
    </w:p>
    <w:p>
      <w:pPr>
        <w:pStyle w:val="Number11"/>
        <w:rPr/>
      </w:pPr>
      <w:r>
        <w:rPr/>
        <w:tab/>
        <w:tab/>
      </w:r>
      <w:r>
        <w:rPr>
          <w:u w:val="single"/>
        </w:rPr>
        <w:t>Immediate:  Systolic &gt; 200 mmHg or Diastolic &gt; 120 mmHg</w:t>
      </w:r>
    </w:p>
    <w:p>
      <w:pPr>
        <w:pStyle w:val="Number11"/>
        <w:rPr>
          <w:u w:val="single"/>
        </w:rPr>
      </w:pPr>
      <w:r>
        <w:rPr>
          <w:u w:val="single"/>
        </w:rPr>
      </w:r>
    </w:p>
    <w:p>
      <w:pPr>
        <w:pStyle w:val="Number11"/>
        <w:rPr/>
      </w:pPr>
      <w:r>
        <w:rPr/>
        <w:tab/>
        <w:t>7.2</w:t>
        <w:tab/>
        <w:t>Alert levels requiring referral within one week are:</w:t>
      </w:r>
    </w:p>
    <w:p>
      <w:pPr>
        <w:pStyle w:val="Number11"/>
        <w:rPr/>
      </w:pPr>
      <w:r>
        <w:rPr/>
      </w:r>
    </w:p>
    <w:p>
      <w:pPr>
        <w:pStyle w:val="Number11"/>
        <w:rPr/>
      </w:pPr>
      <w:r>
        <w:rPr/>
        <w:tab/>
        <w:tab/>
      </w:r>
      <w:r>
        <w:rPr>
          <w:u w:val="single"/>
        </w:rPr>
        <w:t>Urgent:       Systolic &gt; 180 mmHg or Diastolic &gt; 110 mmHg</w:t>
      </w:r>
    </w:p>
    <w:p>
      <w:pPr>
        <w:pStyle w:val="Number11"/>
        <w:rPr>
          <w:u w:val="single"/>
        </w:rPr>
      </w:pPr>
      <w:r>
        <w:rPr>
          <w:u w:val="single"/>
        </w:rPr>
      </w:r>
    </w:p>
    <w:p>
      <w:pPr>
        <w:pStyle w:val="Number1"/>
        <w:rPr/>
      </w:pPr>
      <w:r>
        <w:rPr/>
        <w:tab/>
        <w:t>8.</w:t>
        <w:tab/>
      </w:r>
      <w:r>
        <w:rPr>
          <w:u w:val="single"/>
        </w:rPr>
        <w:t xml:space="preserve">Protocol summary </w:t>
      </w:r>
    </w:p>
    <w:p>
      <w:pPr>
        <w:pStyle w:val="TimesHeaderB"/>
        <w:spacing w:lineRule="auto" w:line="240"/>
        <w:rPr/>
      </w:pPr>
      <w:r>
        <w:rPr/>
      </w:r>
    </w:p>
    <w:p>
      <w:pPr>
        <w:pStyle w:val="Number11"/>
        <w:rPr/>
      </w:pPr>
      <w:r>
        <w:rPr/>
        <w:tab/>
        <w:t>8.1</w:t>
        <w:tab/>
        <w:t>Initial blood pressure measurements</w:t>
      </w:r>
    </w:p>
    <w:p>
      <w:pPr>
        <w:pStyle w:val="Number11"/>
        <w:rPr/>
      </w:pPr>
      <w:r>
        <w:rPr/>
      </w:r>
    </w:p>
    <w:p>
      <w:pPr>
        <w:pStyle w:val="Number11bodybullet"/>
        <w:rPr/>
      </w:pPr>
      <w:r>
        <w:rPr/>
        <w:tab/>
      </w:r>
      <w:r>
        <w:rPr>
          <w:rFonts w:eastAsia="Symbol" w:cs="Symbol" w:ascii="Symbol" w:hAnsi="Symbol"/>
        </w:rPr>
        <w:t></w:t>
      </w:r>
      <w:r>
        <w:rPr/>
        <w:tab/>
        <w:t>Left Arm</w:t>
      </w:r>
    </w:p>
    <w:p>
      <w:pPr>
        <w:pStyle w:val="Number11bodybullet"/>
        <w:rPr/>
      </w:pPr>
      <w:r>
        <w:rPr/>
        <w:tab/>
      </w:r>
      <w:r>
        <w:rPr>
          <w:rFonts w:eastAsia="Symbol" w:cs="Symbol" w:ascii="Symbol" w:hAnsi="Symbol"/>
        </w:rPr>
        <w:t></w:t>
      </w:r>
      <w:r>
        <w:rPr/>
        <w:tab/>
        <w:t>Right Arm</w:t>
      </w:r>
    </w:p>
    <w:p>
      <w:pPr>
        <w:pStyle w:val="TimesHeaderB"/>
        <w:spacing w:lineRule="auto" w:line="240"/>
        <w:rPr>
          <w:b w:val="false"/>
          <w:b w:val="false"/>
        </w:rPr>
      </w:pPr>
      <w:r>
        <w:rPr>
          <w:b w:val="false"/>
        </w:rPr>
      </w:r>
    </w:p>
    <w:p>
      <w:pPr>
        <w:pStyle w:val="Number111"/>
        <w:rPr/>
      </w:pPr>
      <w:r>
        <w:rPr/>
        <w:tab/>
        <w:t>8.11</w:t>
        <w:tab/>
        <w:t>If right arm systolic pressure is 15 mm HG or more higher than left arm systolic pressure, measure the right arm blood pressure at the end of the session.</w:t>
      </w:r>
    </w:p>
    <w:p>
      <w:pPr>
        <w:pStyle w:val="Number111"/>
        <w:rPr/>
      </w:pPr>
      <w:r>
        <w:rPr/>
      </w:r>
    </w:p>
    <w:p>
      <w:pPr>
        <w:pStyle w:val="Number111"/>
        <w:rPr/>
      </w:pPr>
      <w:r>
        <w:rPr/>
        <w:tab/>
        <w:t>8.12</w:t>
        <w:tab/>
        <w:t>If the MESA Brachial Artery Endothelial Function scan immediately precedes the Carotid Distensibility scan, use the last blood pressure Brachial Artery Endothelial Function blood pressure as the Carotid Distensibility pressure.</w:t>
      </w:r>
    </w:p>
    <w:p>
      <w:pPr>
        <w:pStyle w:val="TimesHeaderB"/>
        <w:spacing w:lineRule="auto" w:line="240"/>
        <w:rPr>
          <w:b w:val="false"/>
          <w:b w:val="false"/>
        </w:rPr>
      </w:pPr>
      <w:r>
        <w:rPr>
          <w:b w:val="false"/>
        </w:rPr>
      </w:r>
    </w:p>
    <w:p>
      <w:pPr>
        <w:pStyle w:val="Number11"/>
        <w:rPr/>
      </w:pPr>
      <w:r>
        <w:rPr/>
        <w:tab/>
        <w:t>8.2</w:t>
        <w:tab/>
        <w:t>Imaging – videotape the following images, in this order:</w:t>
      </w:r>
    </w:p>
    <w:p>
      <w:pPr>
        <w:pStyle w:val="TimesHeaderB"/>
        <w:spacing w:lineRule="auto" w:line="240"/>
        <w:rPr>
          <w:b w:val="false"/>
          <w:b w:val="false"/>
        </w:rPr>
      </w:pPr>
      <w:r>
        <w:rPr>
          <w:b w:val="false"/>
        </w:rPr>
      </w:r>
    </w:p>
    <w:p>
      <w:pPr>
        <w:pStyle w:val="Number111"/>
        <w:rPr/>
      </w:pPr>
      <w:r>
        <w:rPr/>
        <w:tab/>
        <w:t>8.21</w:t>
        <w:tab/>
        <w:t>Doppler Imaging with a clear Doppler waveform from the common carotid artery: real-time 5 to 10 seconds with display of a frozen image for 5 seconds (at 4 cm field-of-view)</w:t>
      </w:r>
    </w:p>
    <w:p>
      <w:pPr>
        <w:pStyle w:val="Number111"/>
        <w:rPr/>
      </w:pPr>
      <w:r>
        <w:rPr/>
        <w:tab/>
        <w:tab/>
      </w:r>
      <w:r>
        <w:rPr>
          <w:b/>
          <w:bCs/>
        </w:rPr>
        <w:t>NOTE: A Doppler value greater than 250 cm/s is an ALERT—Tell the clinic coordinator immediately!</w:t>
      </w:r>
    </w:p>
    <w:p>
      <w:pPr>
        <w:pStyle w:val="TimesHeaderB"/>
        <w:spacing w:lineRule="auto" w:line="240"/>
        <w:ind w:left="720" w:hanging="0"/>
        <w:rPr>
          <w:b w:val="false"/>
          <w:b w:val="false"/>
          <w:bCs/>
        </w:rPr>
      </w:pPr>
      <w:r>
        <w:rPr>
          <w:b w:val="false"/>
          <w:bCs/>
        </w:rPr>
      </w:r>
    </w:p>
    <w:p>
      <w:pPr>
        <w:pStyle w:val="Number111"/>
        <w:rPr/>
      </w:pPr>
      <w:r>
        <w:rPr/>
        <w:tab/>
        <w:t>8.22</w:t>
        <w:tab/>
        <w:t xml:space="preserve">Twenty (20) seconds of (ZOOMED) </w:t>
      </w:r>
      <w:r>
        <w:rPr>
          <w:i/>
        </w:rPr>
        <w:t>real time</w:t>
      </w:r>
      <w:r>
        <w:rPr/>
        <w:t xml:space="preserve"> images of the common carotid with the jugular vein being used as an acoustic window. </w:t>
      </w:r>
    </w:p>
    <w:p>
      <w:pPr>
        <w:pStyle w:val="TimesHeaderB"/>
        <w:spacing w:lineRule="auto" w:line="240"/>
        <w:rPr>
          <w:b w:val="false"/>
          <w:b w:val="false"/>
        </w:rPr>
      </w:pPr>
      <w:r>
        <w:rPr>
          <w:b w:val="false"/>
        </w:rPr>
      </w:r>
    </w:p>
    <w:p>
      <w:pPr>
        <w:pStyle w:val="Number11"/>
        <w:rPr/>
      </w:pPr>
      <w:r>
        <w:rPr/>
        <w:tab/>
        <w:t>8.3</w:t>
        <w:tab/>
        <w:t>Post-imaging blood pressure</w:t>
      </w:r>
    </w:p>
    <w:p>
      <w:pPr>
        <w:pStyle w:val="Number11"/>
        <w:rPr/>
      </w:pPr>
      <w:r>
        <w:rPr/>
      </w:r>
    </w:p>
    <w:p>
      <w:pPr>
        <w:pStyle w:val="Number11body"/>
        <w:rPr/>
      </w:pPr>
      <w:r>
        <w:rPr/>
        <w:t>Left Arm (right arm if right arm pressure is 15 mm Hg or more than the left arm)</w:t>
      </w:r>
    </w:p>
    <w:p>
      <w:pPr>
        <w:pStyle w:val="TimesHeaderB"/>
        <w:spacing w:lineRule="auto" w:line="240"/>
        <w:rPr>
          <w:b w:val="false"/>
          <w:b w:val="false"/>
        </w:rPr>
      </w:pPr>
      <w:r>
        <w:rPr>
          <w:b w:val="false"/>
        </w:rPr>
      </w:r>
    </w:p>
    <w:p>
      <w:pPr>
        <w:pStyle w:val="Number1"/>
        <w:rPr/>
      </w:pPr>
      <w:r>
        <w:rPr/>
        <w:tab/>
        <w:t>9.</w:t>
        <w:tab/>
      </w:r>
      <w:r>
        <w:rPr>
          <w:u w:val="single"/>
        </w:rPr>
        <w:t>Data transmission</w:t>
      </w:r>
    </w:p>
    <w:p>
      <w:pPr>
        <w:pStyle w:val="Normal"/>
        <w:rPr/>
      </w:pPr>
      <w:r>
        <w:rPr/>
      </w:r>
    </w:p>
    <w:p>
      <w:pPr>
        <w:pStyle w:val="Number1body"/>
        <w:rPr/>
      </w:pPr>
      <w:r>
        <w:rPr/>
        <w:t>Videotapes are sent weekly to Dr. O’Leary through a package delivery service with tracking capabilities at the following address. The package includes the appropriate videotape and log sheet.</w:t>
      </w:r>
    </w:p>
    <w:p>
      <w:pPr>
        <w:pStyle w:val="Number1body"/>
        <w:rPr/>
      </w:pPr>
      <w:r>
        <w:rPr/>
      </w:r>
    </w:p>
    <w:p>
      <w:pPr>
        <w:pStyle w:val="Number1body"/>
        <w:rPr/>
      </w:pPr>
      <w:r>
        <w:rPr/>
        <w:t>Daniel H. O'Leary, M.D.</w:t>
      </w:r>
    </w:p>
    <w:p>
      <w:pPr>
        <w:pStyle w:val="Number1body"/>
        <w:rPr/>
      </w:pPr>
      <w:r>
        <w:rPr/>
        <w:t>MESA Ultrasound Reading Center</w:t>
      </w:r>
    </w:p>
    <w:p>
      <w:pPr>
        <w:pStyle w:val="Number1body"/>
        <w:rPr/>
      </w:pPr>
      <w:r>
        <w:rPr/>
        <w:t>New England Medical Center, Box 380</w:t>
      </w:r>
    </w:p>
    <w:p>
      <w:pPr>
        <w:pStyle w:val="Number1body"/>
        <w:rPr/>
      </w:pPr>
      <w:r>
        <w:rPr/>
        <w:t>750 Washington Street</w:t>
      </w:r>
    </w:p>
    <w:p>
      <w:pPr>
        <w:sectPr>
          <w:headerReference w:type="even" r:id="rId151"/>
          <w:headerReference w:type="default" r:id="rId152"/>
          <w:footerReference w:type="even" r:id="rId153"/>
          <w:footerReference w:type="default" r:id="rId154"/>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t>Boston, MA 02111</w:t>
      </w:r>
    </w:p>
    <w:p>
      <w:pPr>
        <w:pStyle w:val="Subsub"/>
        <w:rPr>
          <w:b w:val="false"/>
          <w:b w:val="false"/>
          <w:sz w:val="28"/>
        </w:rPr>
      </w:pPr>
      <w:bookmarkStart w:id="35" w:name="__RefHeading___Toc503858991"/>
      <w:bookmarkEnd w:id="35"/>
      <w:r>
        <w:rPr/>
        <w:t>3.8.3  Carotid Artery Intima-Media Wall Thickness (IMT)</w:t>
      </w:r>
    </w:p>
    <w:p>
      <w:pPr>
        <w:pStyle w:val="Normal"/>
        <w:jc w:val="center"/>
        <w:rPr>
          <w:b/>
          <w:b/>
          <w:sz w:val="28"/>
        </w:rPr>
      </w:pPr>
      <w:r>
        <w:rPr>
          <w:b/>
          <w:sz w:val="28"/>
        </w:rPr>
        <w:t>Sonographer Manual</w:t>
      </w:r>
    </w:p>
    <w:p>
      <w:pPr>
        <w:pStyle w:val="Normal"/>
        <w:jc w:val="center"/>
        <w:rPr>
          <w:b/>
          <w:b/>
          <w:sz w:val="28"/>
        </w:rPr>
      </w:pPr>
      <w:r>
        <w:rPr>
          <w:b/>
          <w:sz w:val="28"/>
        </w:rPr>
        <w:t>Ultrasound Reading Center, New England Medical Center</w:t>
      </w:r>
    </w:p>
    <w:p>
      <w:pPr>
        <w:pStyle w:val="Normal"/>
        <w:rPr>
          <w:b/>
          <w:b/>
          <w:sz w:val="28"/>
        </w:rPr>
      </w:pPr>
      <w:r>
        <w:rPr>
          <w:b/>
          <w:sz w:val="28"/>
        </w:rPr>
      </w:r>
    </w:p>
    <w:p>
      <w:pPr>
        <w:pStyle w:val="Romanbold"/>
        <w:rPr/>
      </w:pPr>
      <w:r>
        <w:rPr/>
        <w:tab/>
        <w:t>I.</w:t>
        <w:tab/>
        <w:t>Overview of the Carotid Ultrasound Scanning Protocol</w:t>
      </w:r>
    </w:p>
    <w:p>
      <w:pPr>
        <w:pStyle w:val="Romanbold"/>
        <w:rPr/>
      </w:pPr>
      <w:r>
        <w:rPr/>
      </w:r>
    </w:p>
    <w:p>
      <w:pPr>
        <w:pStyle w:val="Number1"/>
        <w:rPr/>
      </w:pPr>
      <w:r>
        <w:rPr/>
        <w:tab/>
        <w:t>1.</w:t>
        <w:tab/>
        <w:t>Introduction to the Carotid Ultrasound Scanning Protocol</w:t>
      </w:r>
    </w:p>
    <w:p>
      <w:pPr>
        <w:pStyle w:val="Number1"/>
        <w:rPr/>
      </w:pPr>
      <w:r>
        <w:rPr/>
        <w:tab/>
        <w:t>2.</w:t>
        <w:tab/>
        <w:t>Participant Position</w:t>
      </w:r>
    </w:p>
    <w:p>
      <w:pPr>
        <w:pStyle w:val="Number1"/>
        <w:rPr/>
      </w:pPr>
      <w:r>
        <w:rPr/>
        <w:tab/>
        <w:t>3.</w:t>
        <w:tab/>
        <w:t>Anatomical Sites</w:t>
      </w:r>
    </w:p>
    <w:p>
      <w:pPr>
        <w:pStyle w:val="Number1"/>
        <w:rPr/>
      </w:pPr>
      <w:r>
        <w:rPr/>
        <w:tab/>
        <w:t>4.</w:t>
        <w:tab/>
        <w:t>Initial Scan</w:t>
      </w:r>
    </w:p>
    <w:p>
      <w:pPr>
        <w:pStyle w:val="Number1"/>
        <w:rPr/>
      </w:pPr>
      <w:r>
        <w:rPr/>
        <w:tab/>
        <w:t>5.</w:t>
        <w:tab/>
        <w:t>Standard Carotid Ultrasound Images</w:t>
      </w:r>
    </w:p>
    <w:p>
      <w:pPr>
        <w:pStyle w:val="Number1"/>
        <w:rPr/>
      </w:pPr>
      <w:r>
        <w:rPr/>
        <w:tab/>
        <w:t>6.</w:t>
        <w:tab/>
        <w:t>Criteria for Satisfactory Images</w:t>
      </w:r>
    </w:p>
    <w:p>
      <w:pPr>
        <w:pStyle w:val="Number1"/>
        <w:rPr/>
      </w:pPr>
      <w:r>
        <w:rPr/>
        <w:tab/>
        <w:t>7.</w:t>
        <w:tab/>
        <w:t>Imaging Priorities</w:t>
      </w:r>
    </w:p>
    <w:p>
      <w:pPr>
        <w:pStyle w:val="Number1"/>
        <w:rPr/>
      </w:pPr>
      <w:r>
        <w:rPr/>
        <w:tab/>
        <w:t>8.</w:t>
        <w:tab/>
        <w:t xml:space="preserve">Sonographer Response to a Significant Stenosis – ALERT </w:t>
      </w:r>
    </w:p>
    <w:p>
      <w:pPr>
        <w:pStyle w:val="Number1"/>
        <w:rPr/>
      </w:pPr>
      <w:r>
        <w:rPr/>
        <w:tab/>
        <w:t>9.</w:t>
        <w:tab/>
        <w:t xml:space="preserve">A </w:t>
      </w:r>
      <w:r>
        <w:rPr>
          <w:i/>
        </w:rPr>
        <w:t>Good</w:t>
      </w:r>
      <w:r>
        <w:rPr/>
        <w:t xml:space="preserve"> Carotid Ultrasound Image</w:t>
      </w:r>
    </w:p>
    <w:p>
      <w:pPr>
        <w:pStyle w:val="Normal"/>
        <w:ind w:left="720" w:hanging="0"/>
        <w:rPr/>
      </w:pPr>
      <w:r>
        <w:rPr/>
      </w:r>
    </w:p>
    <w:p>
      <w:pPr>
        <w:pStyle w:val="Romanbold"/>
        <w:rPr/>
      </w:pPr>
      <w:r>
        <w:rPr/>
        <w:tab/>
        <w:t>II.</w:t>
        <w:tab/>
        <w:t>Overview of Carotid Ultrasound Analysis Protocol</w:t>
      </w:r>
    </w:p>
    <w:p>
      <w:pPr>
        <w:pStyle w:val="Romanbold"/>
        <w:rPr/>
      </w:pPr>
      <w:r>
        <w:rPr/>
      </w:r>
    </w:p>
    <w:p>
      <w:pPr>
        <w:pStyle w:val="Number1"/>
        <w:rPr/>
      </w:pPr>
      <w:r>
        <w:rPr/>
        <w:tab/>
        <w:t>1.</w:t>
        <w:tab/>
        <w:t>Preview and Digitization of a Carotid Ultrasound Study</w:t>
      </w:r>
    </w:p>
    <w:p>
      <w:pPr>
        <w:pStyle w:val="Number1"/>
        <w:rPr/>
      </w:pPr>
      <w:r>
        <w:rPr/>
        <w:tab/>
        <w:t>2.</w:t>
        <w:tab/>
        <w:t>Calibration</w:t>
      </w:r>
    </w:p>
    <w:p>
      <w:pPr>
        <w:pStyle w:val="Number1"/>
        <w:rPr/>
      </w:pPr>
      <w:r>
        <w:rPr/>
        <w:tab/>
        <w:t>3.</w:t>
        <w:tab/>
        <w:t>The Interfaces</w:t>
      </w:r>
    </w:p>
    <w:p>
      <w:pPr>
        <w:pStyle w:val="Number1"/>
        <w:rPr/>
      </w:pPr>
      <w:r>
        <w:rPr/>
        <w:tab/>
        <w:t>4.</w:t>
        <w:tab/>
        <w:t>Priorities</w:t>
      </w:r>
    </w:p>
    <w:p>
      <w:pPr>
        <w:pStyle w:val="Number1"/>
        <w:rPr/>
      </w:pPr>
      <w:r>
        <w:rPr/>
        <w:tab/>
        <w:t>5.</w:t>
        <w:tab/>
        <w:t>Quality Scores</w:t>
      </w:r>
    </w:p>
    <w:p>
      <w:pPr>
        <w:pStyle w:val="Number1"/>
        <w:rPr/>
      </w:pPr>
      <w:r>
        <w:rPr/>
        <w:tab/>
        <w:t>6.</w:t>
        <w:tab/>
        <w:t>Subjective Assessment</w:t>
      </w:r>
    </w:p>
    <w:p>
      <w:pPr>
        <w:pStyle w:val="Number11"/>
        <w:rPr/>
      </w:pPr>
      <w:r>
        <w:rPr/>
        <w:tab/>
        <w:t>6.1</w:t>
        <w:tab/>
        <w:t>Surface</w:t>
      </w:r>
    </w:p>
    <w:p>
      <w:pPr>
        <w:pStyle w:val="Number11"/>
        <w:rPr/>
      </w:pPr>
      <w:r>
        <w:rPr/>
        <w:tab/>
        <w:t>6.2</w:t>
        <w:tab/>
        <w:t>Morphology</w:t>
      </w:r>
    </w:p>
    <w:p>
      <w:pPr>
        <w:pStyle w:val="Number11"/>
        <w:rPr/>
      </w:pPr>
      <w:r>
        <w:rPr/>
        <w:tab/>
        <w:t>6.3</w:t>
        <w:tab/>
        <w:t>Percent Stenosis</w:t>
      </w:r>
    </w:p>
    <w:p>
      <w:pPr>
        <w:pStyle w:val="Number11"/>
        <w:rPr/>
      </w:pPr>
      <w:r>
        <w:rPr/>
        <w:tab/>
        <w:t>6.4</w:t>
        <w:tab/>
        <w:t>Location</w:t>
      </w:r>
    </w:p>
    <w:p>
      <w:pPr>
        <w:pStyle w:val="Number11"/>
        <w:rPr/>
      </w:pPr>
      <w:r>
        <w:rPr/>
        <w:tab/>
        <w:t>6.5</w:t>
        <w:tab/>
        <w:t>Density</w:t>
      </w:r>
    </w:p>
    <w:p>
      <w:pPr>
        <w:pStyle w:val="Number11"/>
        <w:rPr/>
      </w:pPr>
      <w:r>
        <w:rPr/>
      </w:r>
    </w:p>
    <w:p>
      <w:pPr>
        <w:pStyle w:val="Romanbold"/>
        <w:rPr/>
      </w:pPr>
      <w:r>
        <w:rPr/>
        <w:tab/>
        <w:t>III.</w:t>
        <w:tab/>
        <w:t xml:space="preserve">Data Transmission </w:t>
      </w:r>
    </w:p>
    <w:p>
      <w:pPr>
        <w:pStyle w:val="Number1"/>
        <w:rPr/>
      </w:pPr>
      <w:r>
        <w:rPr/>
        <w:tab/>
        <w:t>1.</w:t>
        <w:tab/>
        <w:t>Videotape</w:t>
      </w:r>
    </w:p>
    <w:p>
      <w:pPr>
        <w:pStyle w:val="Number1"/>
        <w:rPr/>
      </w:pPr>
      <w:r>
        <w:rPr/>
        <w:tab/>
        <w:t>2.</w:t>
        <w:tab/>
        <w:t>Labels and Log Sheets</w:t>
      </w:r>
    </w:p>
    <w:p>
      <w:pPr>
        <w:pStyle w:val="Number1"/>
        <w:rPr/>
      </w:pPr>
      <w:r>
        <w:rPr/>
        <w:tab/>
        <w:t>3.</w:t>
        <w:tab/>
        <w:t>Shipping Videotapes and Log Sheets to the Ultrasound Reading Center</w:t>
      </w:r>
    </w:p>
    <w:p>
      <w:pPr>
        <w:pStyle w:val="Number1"/>
        <w:rPr/>
      </w:pPr>
      <w:r>
        <w:rPr/>
        <w:tab/>
        <w:t>4.</w:t>
        <w:tab/>
        <w:t>Data Transmission to the Coordinating Center</w:t>
      </w:r>
    </w:p>
    <w:p>
      <w:pPr>
        <w:pStyle w:val="Number1"/>
        <w:rPr/>
      </w:pPr>
      <w:r>
        <w:rPr/>
      </w:r>
    </w:p>
    <w:p>
      <w:pPr>
        <w:pStyle w:val="Romanbold"/>
        <w:rPr/>
      </w:pPr>
      <w:r>
        <w:rPr/>
        <w:tab/>
        <w:t>IV.</w:t>
        <w:tab/>
        <w:t>Sonographer Quality Control</w:t>
      </w:r>
    </w:p>
    <w:p>
      <w:pPr>
        <w:pStyle w:val="Number1"/>
        <w:rPr/>
      </w:pPr>
      <w:r>
        <w:rPr/>
        <w:tab/>
        <w:t>1.</w:t>
        <w:tab/>
        <w:t>Clinical Center Sonographers</w:t>
      </w:r>
    </w:p>
    <w:p>
      <w:pPr>
        <w:pStyle w:val="Number1"/>
        <w:rPr/>
      </w:pPr>
      <w:r>
        <w:rPr/>
        <w:tab/>
        <w:t>2.</w:t>
        <w:tab/>
        <w:t>Ultrasound Reading Center – Sonographer Communication</w:t>
      </w:r>
    </w:p>
    <w:p>
      <w:pPr>
        <w:pStyle w:val="Number1"/>
        <w:rPr/>
      </w:pPr>
      <w:r>
        <w:rPr/>
        <w:tab/>
        <w:t>3.</w:t>
        <w:tab/>
        <w:t>Ultrasound Reading Center Report on Sonographer Performance</w:t>
      </w:r>
    </w:p>
    <w:p>
      <w:pPr>
        <w:pStyle w:val="Number1"/>
        <w:rPr/>
      </w:pPr>
      <w:r>
        <w:rPr/>
        <w:tab/>
        <w:t>4.</w:t>
        <w:tab/>
        <w:t>Performance Standards during Examination Period</w:t>
      </w:r>
    </w:p>
    <w:p>
      <w:pPr>
        <w:pStyle w:val="Number1"/>
        <w:rPr/>
      </w:pPr>
      <w:r>
        <w:rPr/>
        <w:tab/>
        <w:t>5.</w:t>
        <w:tab/>
        <w:t>Replacement or Retraining of a Sonographer</w:t>
      </w:r>
    </w:p>
    <w:p>
      <w:pPr>
        <w:pStyle w:val="Number1"/>
        <w:rPr/>
      </w:pPr>
      <w:r>
        <w:rPr/>
        <w:tab/>
        <w:t>6.</w:t>
        <w:tab/>
        <w:t>With-in Sonographer Variability Assessment</w:t>
      </w:r>
    </w:p>
    <w:p>
      <w:pPr>
        <w:pStyle w:val="Number1"/>
        <w:rPr/>
      </w:pPr>
      <w:r>
        <w:rPr/>
        <w:tab/>
        <w:t>7.</w:t>
        <w:tab/>
        <w:t>Achieving and Maintaining Quality Ultrasound Data</w:t>
      </w:r>
    </w:p>
    <w:p>
      <w:pPr>
        <w:pStyle w:val="Romanbold"/>
        <w:rPr/>
      </w:pPr>
      <w:r>
        <w:rPr/>
      </w:r>
    </w:p>
    <w:p>
      <w:pPr>
        <w:pStyle w:val="Romanbold"/>
        <w:rPr/>
      </w:pPr>
      <w:r>
        <w:rPr/>
      </w:r>
    </w:p>
    <w:p>
      <w:pPr>
        <w:pStyle w:val="Romanbold"/>
        <w:rPr/>
      </w:pPr>
      <w:r>
        <w:rPr/>
        <w:tab/>
        <w:t>I.</w:t>
        <w:tab/>
        <w:t>Overview of the Carotid Artery IMT Ultrasound Scanning Protocol</w:t>
      </w:r>
    </w:p>
    <w:p>
      <w:pPr>
        <w:pStyle w:val="Number1"/>
        <w:rPr/>
      </w:pPr>
      <w:r>
        <w:rPr/>
      </w:r>
    </w:p>
    <w:p>
      <w:pPr>
        <w:pStyle w:val="Number1"/>
        <w:rPr/>
      </w:pPr>
      <w:r>
        <w:rPr/>
        <w:tab/>
        <w:t>1.</w:t>
        <w:tab/>
      </w:r>
      <w:r>
        <w:rPr>
          <w:u w:val="single"/>
        </w:rPr>
        <w:t>Introduction to the Carotid IMT Ultrasound Scanning Protocol</w:t>
      </w:r>
    </w:p>
    <w:p>
      <w:pPr>
        <w:pStyle w:val="Normal"/>
        <w:rPr>
          <w:b/>
          <w:b/>
        </w:rPr>
      </w:pPr>
      <w:r>
        <w:rPr>
          <w:b/>
        </w:rPr>
      </w:r>
    </w:p>
    <w:p>
      <w:pPr>
        <w:pStyle w:val="Number1body"/>
        <w:rPr/>
      </w:pPr>
      <w:r>
        <w:rPr/>
        <w:t>The extracranial carotid arteries are the largest arteries in the neck. The right common carotid artery (CCA) originates from the innominate artery on the right, and the left CCA originates directly from the aortic arch. Each common carotid artery ascends in the neck, lateral to and posterior to the trachea. At the approximate level of thyroid cartilage, slightly below the angle of the mandible, the common carotid artery bifurcates into the external and internal carotid arteries. Proximal to the bifurcation, the common carotid artery dilates to form the carotid bulb. The origin of the bulb can be recognized in most, though not all, subjects. It is defined to be where the common carotid artery begins to dilate slightly and where the vessel walls curve out and are no longer parallel to the skin surface. The bulb is elliptically shaped and geometrically complex in the longitudinal view. Its upper limit is defined by the tip of the flow divider. The tip of the flow divider also marks the origin of the internal and external carotid arteries. The external carotid artery lies anterior and slightly medially to the internal carotid artery in 90% of individuals. In the remaining 10%, the orientation is reversed. The external carotid artery is usually smaller than the internal and it has branches that supply the neck and face. The internal carotid artery has no branches in the neck and ascends into the calvarium to supply the brain.</w:t>
      </w:r>
    </w:p>
    <w:p>
      <w:pPr>
        <w:pStyle w:val="Normal"/>
        <w:rPr>
          <w:b/>
          <w:b/>
        </w:rPr>
      </w:pPr>
      <w:r>
        <w:rPr>
          <w:b/>
        </w:rPr>
      </w:r>
    </w:p>
    <w:p>
      <w:pPr>
        <w:pStyle w:val="Number1"/>
        <w:rPr/>
      </w:pPr>
      <w:r>
        <w:rPr/>
        <w:tab/>
        <w:t xml:space="preserve">2. </w:t>
        <w:tab/>
      </w:r>
      <w:r>
        <w:rPr>
          <w:u w:val="single"/>
        </w:rPr>
        <w:t>Participant Position</w:t>
      </w:r>
    </w:p>
    <w:p>
      <w:pPr>
        <w:pStyle w:val="Normal"/>
        <w:rPr/>
      </w:pPr>
      <w:r>
        <w:rPr/>
      </w:r>
    </w:p>
    <w:p>
      <w:pPr>
        <w:pStyle w:val="Number1body"/>
        <w:rPr/>
      </w:pPr>
      <w:r>
        <w:rPr/>
        <w:t>The subject is supine during the carotid artery examination and is made comfortable in a position that allows head rotation to either side. The sonographer stands or is seated at the end of the exam table near the participant's head. The top of the head is about three inches from the end of the exam table and the head is rotated 35</w:t>
      </w:r>
      <w:r>
        <w:rPr>
          <w:position w:val="6"/>
          <w:sz w:val="20"/>
        </w:rPr>
        <w:t>o</w:t>
      </w:r>
      <w:r>
        <w:rPr/>
        <w:t xml:space="preserve"> away from the side examined. Participants may wish to turn their heads to look at the screen. This should be discouraged. This is best achieved by the sonographer using his hands at the start of the study to rotate the head while stressing to the participant the importance of not moving.</w:t>
      </w:r>
    </w:p>
    <w:p>
      <w:pPr>
        <w:pStyle w:val="Number1body"/>
        <w:rPr>
          <w:b/>
          <w:b/>
        </w:rPr>
      </w:pPr>
      <w:r>
        <w:rPr>
          <w:b/>
        </w:rPr>
      </w:r>
    </w:p>
    <w:p>
      <w:pPr>
        <w:pStyle w:val="Number1"/>
        <w:rPr/>
      </w:pPr>
      <w:r>
        <w:rPr/>
        <w:tab/>
        <w:t xml:space="preserve">3. </w:t>
        <w:tab/>
      </w:r>
      <w:r>
        <w:rPr>
          <w:u w:val="single"/>
        </w:rPr>
        <w:t>Anatomical Sites of Interest</w:t>
      </w:r>
    </w:p>
    <w:p>
      <w:pPr>
        <w:pStyle w:val="Normal"/>
        <w:rPr/>
      </w:pPr>
      <w:r>
        <w:rPr/>
      </w:r>
    </w:p>
    <w:p>
      <w:pPr>
        <w:pStyle w:val="Number11"/>
        <w:rPr/>
      </w:pPr>
      <w:r>
        <w:rPr/>
        <w:tab/>
        <w:t>3.1</w:t>
        <w:tab/>
        <w:t>The extracranial carotid arteries are divided into four anatomically defined segments:</w:t>
      </w:r>
    </w:p>
    <w:p>
      <w:pPr>
        <w:pStyle w:val="Number11"/>
        <w:rPr/>
      </w:pPr>
      <w:r>
        <w:rPr/>
      </w:r>
    </w:p>
    <w:p>
      <w:pPr>
        <w:pStyle w:val="Number11bodybullet"/>
        <w:rPr/>
      </w:pPr>
      <w:r>
        <w:rPr/>
        <w:tab/>
      </w:r>
      <w:r>
        <w:rPr>
          <w:rFonts w:eastAsia="Symbol" w:cs="Symbol" w:ascii="Symbol" w:hAnsi="Symbol"/>
        </w:rPr>
        <w:t></w:t>
      </w:r>
      <w:r>
        <w:rPr/>
        <w:tab/>
        <w:t>Distal common carotid artery</w:t>
      </w:r>
    </w:p>
    <w:p>
      <w:pPr>
        <w:pStyle w:val="Number11bodybullet"/>
        <w:rPr/>
      </w:pPr>
      <w:r>
        <w:rPr/>
        <w:tab/>
      </w:r>
      <w:r>
        <w:rPr>
          <w:rFonts w:eastAsia="Symbol" w:cs="Symbol" w:ascii="Symbol" w:hAnsi="Symbol"/>
        </w:rPr>
        <w:t></w:t>
      </w:r>
      <w:r>
        <w:rPr/>
        <w:tab/>
        <w:t>Carotid bulb</w:t>
      </w:r>
    </w:p>
    <w:p>
      <w:pPr>
        <w:pStyle w:val="Number11bodybullet"/>
        <w:rPr/>
      </w:pPr>
      <w:r>
        <w:rPr/>
        <w:tab/>
      </w:r>
      <w:r>
        <w:rPr>
          <w:rFonts w:eastAsia="Symbol" w:cs="Symbol" w:ascii="Symbol" w:hAnsi="Symbol"/>
        </w:rPr>
        <w:t></w:t>
      </w:r>
      <w:r>
        <w:rPr/>
        <w:tab/>
        <w:t xml:space="preserve">Internal carotid artery </w:t>
      </w:r>
    </w:p>
    <w:p>
      <w:pPr>
        <w:pStyle w:val="Number11bodybullet"/>
        <w:rPr/>
      </w:pPr>
      <w:r>
        <w:rPr/>
        <w:tab/>
      </w:r>
      <w:r>
        <w:rPr>
          <w:rFonts w:eastAsia="Symbol" w:cs="Symbol" w:ascii="Symbol" w:hAnsi="Symbol"/>
        </w:rPr>
        <w:t></w:t>
      </w:r>
      <w:r>
        <w:rPr/>
        <w:tab/>
        <w:t>External carotid artery</w:t>
      </w:r>
    </w:p>
    <w:p>
      <w:pPr>
        <w:pStyle w:val="Number11bodybullet"/>
        <w:rPr/>
      </w:pPr>
      <w:r>
        <w:rPr/>
      </w:r>
    </w:p>
    <w:p>
      <w:pPr>
        <w:pStyle w:val="Number11"/>
        <w:rPr/>
      </w:pPr>
      <w:r>
        <w:rPr/>
        <w:tab/>
        <w:t>3.2</w:t>
        <w:tab/>
        <w:t>The lateral extent of each segment is defined relative to the tip of the flow divider, which is typically the most clearly defined anatomical reference in the carotid system. The three segments of interest are the distal common carotid artery, the carotid bulb, and the internal carotid artery. No external carotid images will be recorded.</w:t>
      </w:r>
    </w:p>
    <w:p>
      <w:pPr>
        <w:pStyle w:val="Normal"/>
        <w:rPr/>
      </w:pPr>
      <w:r>
        <w:rPr/>
      </w:r>
    </w:p>
    <w:p>
      <w:pPr>
        <w:pStyle w:val="Number11"/>
        <w:rPr/>
      </w:pPr>
      <w:r>
        <w:rPr/>
        <w:tab/>
        <w:t>3.3</w:t>
        <w:tab/>
        <w:t>Anatomical Definitions</w:t>
      </w:r>
    </w:p>
    <w:p>
      <w:pPr>
        <w:pStyle w:val="Normal"/>
        <w:rPr>
          <w:u w:val="single"/>
        </w:rPr>
      </w:pPr>
      <w:r>
        <w:rPr>
          <w:u w:val="single"/>
        </w:rPr>
      </w:r>
    </w:p>
    <w:p>
      <w:pPr>
        <w:pStyle w:val="Number11bodybullet"/>
        <w:rPr/>
      </w:pPr>
      <w:r>
        <w:rPr/>
        <w:tab/>
      </w:r>
      <w:r>
        <w:rPr>
          <w:rFonts w:eastAsia="Symbol" w:cs="Symbol" w:ascii="Symbol" w:hAnsi="Symbol"/>
        </w:rPr>
        <w:t></w:t>
      </w:r>
      <w:r>
        <w:rPr/>
        <w:tab/>
      </w:r>
      <w:r>
        <w:rPr>
          <w:u w:val="single"/>
        </w:rPr>
        <w:t>Distal common carotid</w:t>
      </w:r>
      <w:r>
        <w:rPr/>
        <w:t xml:space="preserve"> is the segment of the common carotid artery immediately proximal to the origin of the carotid bulb, where the near and far walls of the artery are parallel to one another. The end of the distal common carotid artery is marked by the dilatation of the vessel walls, which is the carotid bulb. </w:t>
      </w:r>
    </w:p>
    <w:p>
      <w:pPr>
        <w:pStyle w:val="Number11bodybullet"/>
        <w:rPr/>
      </w:pPr>
      <w:r>
        <w:rPr/>
      </w:r>
    </w:p>
    <w:p>
      <w:pPr>
        <w:pStyle w:val="Number11bodybullet"/>
        <w:rPr/>
      </w:pPr>
      <w:r>
        <w:rPr/>
        <w:tab/>
      </w:r>
      <w:r>
        <w:rPr>
          <w:rFonts w:eastAsia="Symbol" w:cs="Symbol" w:ascii="Symbol" w:hAnsi="Symbol"/>
        </w:rPr>
        <w:t></w:t>
      </w:r>
      <w:r>
        <w:rPr/>
        <w:tab/>
      </w:r>
      <w:r>
        <w:rPr>
          <w:u w:val="single"/>
        </w:rPr>
        <w:t>Carotid bulb</w:t>
      </w:r>
      <w:r>
        <w:rPr/>
        <w:t xml:space="preserve">: the inferior extent of the bulb is the beginning of dilatation, or 8 mm below the tip of the flow divider. The superior extent of the bulb is defined by the very tip of the flow divider. </w:t>
      </w:r>
    </w:p>
    <w:p>
      <w:pPr>
        <w:pStyle w:val="Number11bodybullet"/>
        <w:rPr/>
      </w:pPr>
      <w:r>
        <w:rPr/>
      </w:r>
    </w:p>
    <w:p>
      <w:pPr>
        <w:pStyle w:val="Number11bodybullet"/>
        <w:rPr/>
      </w:pPr>
      <w:r>
        <w:rPr/>
        <w:tab/>
      </w:r>
      <w:r>
        <w:rPr>
          <w:rFonts w:eastAsia="Symbol" w:cs="Symbol" w:ascii="Symbol" w:hAnsi="Symbol"/>
        </w:rPr>
        <w:t></w:t>
      </w:r>
      <w:r>
        <w:rPr/>
        <w:tab/>
      </w:r>
      <w:r>
        <w:rPr>
          <w:u w:val="single"/>
        </w:rPr>
        <w:t>Internal carotid artery</w:t>
      </w:r>
      <w:r>
        <w:rPr/>
        <w:t>: the caudal, or inferior, extent is defined by the tip of the flow divider. The vessel then ascends in the neck and enters the base of the skull. For the purposes of this protocol, the ultrasound study will be limited to the initial 10 mm of the internal carotid artery.</w:t>
      </w:r>
    </w:p>
    <w:p>
      <w:pPr>
        <w:pStyle w:val="Number11body"/>
        <w:rPr/>
      </w:pPr>
      <w:r>
        <w:rPr/>
      </w:r>
    </w:p>
    <w:p>
      <w:pPr>
        <w:pStyle w:val="Number1"/>
        <w:rPr/>
      </w:pPr>
      <w:r>
        <w:rPr/>
        <w:tab/>
        <w:t xml:space="preserve">4. </w:t>
        <w:tab/>
      </w:r>
      <w:r>
        <w:rPr>
          <w:u w:val="single"/>
        </w:rPr>
        <w:t>Initial Scan</w:t>
      </w:r>
    </w:p>
    <w:p>
      <w:pPr>
        <w:pStyle w:val="Normal"/>
        <w:rPr/>
      </w:pPr>
      <w:r>
        <w:rPr/>
      </w:r>
    </w:p>
    <w:p>
      <w:pPr>
        <w:pStyle w:val="Number1body"/>
        <w:rPr/>
      </w:pPr>
      <w:r>
        <w:rPr/>
        <w:t>The purpose of the initial scan is to orient the sonographer to the subject’s carotid anatomy. The sonographer should locate the bifurcation and distinguish which vessel is the internal and which is the external carotid artery. The site of maximal wall thickening in the near or far wall, in the bulb or internal carotid artery should also be identified during the initial scan. Color and pulse-wave Doppler can be used as identification aids. The initial scan is not recorded.</w:t>
      </w:r>
    </w:p>
    <w:p>
      <w:pPr>
        <w:pStyle w:val="Number1body"/>
        <w:rPr>
          <w:bCs/>
        </w:rPr>
      </w:pPr>
      <w:r>
        <w:rPr>
          <w:bCs/>
        </w:rPr>
      </w:r>
    </w:p>
    <w:p>
      <w:pPr>
        <w:pStyle w:val="Number1"/>
        <w:rPr/>
      </w:pPr>
      <w:r>
        <w:rPr/>
        <w:tab/>
        <w:t>5.</w:t>
        <w:tab/>
      </w:r>
      <w:r>
        <w:rPr>
          <w:u w:val="single"/>
        </w:rPr>
        <w:t>Standard Carotid Ultrasound Images</w:t>
      </w:r>
    </w:p>
    <w:p>
      <w:pPr>
        <w:pStyle w:val="Normal"/>
        <w:rPr/>
      </w:pPr>
      <w:r>
        <w:rPr/>
      </w:r>
    </w:p>
    <w:p>
      <w:pPr>
        <w:pStyle w:val="Number11"/>
        <w:rPr/>
      </w:pPr>
      <w:r>
        <w:rPr/>
        <w:tab/>
        <w:t>5.1</w:t>
        <w:tab/>
        <w:t>Summary overview: one videotaped</w:t>
      </w:r>
      <w:r>
        <w:rPr>
          <w:i/>
        </w:rPr>
        <w:t xml:space="preserve"> </w:t>
      </w:r>
      <w:r>
        <w:rPr/>
        <w:t>transverse (short-axis) scanning sequence and five videotaped longitudinal images are taken from both the right and the left carotid arteries for each subject. The transverse (short-axis) scanning sequence is a sweep of the carotid from the base of the common up through the bulb into the internal and back down to the base of the common. The purpose of the transverse scanning sequence is to help the reader distinguish between real echoes that represent plaque and spurious echoes that represent artifact. Occasionally when viewing the transverse images the reader is uncertain whether echoes represent real plaque or not. The transverse view serves as the tiebreaker. The first of the five longitudinal images is a pulse-wave Doppler measurement of the peak systolic velocity in the internal carotid. Next is a standard view of the common carotid. The other three longitudinal images are of the internal carotid artery or bulb. The frozen images of the common carotid and the internal or the bulb are videotaped as both frozen images and as part of a cine loop.</w:t>
      </w:r>
    </w:p>
    <w:p>
      <w:pPr>
        <w:pStyle w:val="Number11"/>
        <w:rPr/>
      </w:pPr>
      <w:r>
        <w:rPr/>
      </w:r>
    </w:p>
    <w:p>
      <w:pPr>
        <w:pStyle w:val="Number11"/>
        <w:rPr/>
      </w:pPr>
      <w:r>
        <w:rPr/>
        <w:tab/>
        <w:t>5.2</w:t>
        <w:tab/>
        <w:t xml:space="preserve">The magnification function is used when obtaining the lateral the common carotid and the internal carotid images. It is turned “ON” immediately </w:t>
      </w:r>
      <w:r>
        <w:rPr>
          <w:u w:val="single"/>
        </w:rPr>
        <w:t>after</w:t>
      </w:r>
      <w:r>
        <w:rPr/>
        <w:t xml:space="preserve"> the pulse-wave Doppler measurement and </w:t>
      </w:r>
      <w:r>
        <w:rPr>
          <w:u w:val="single"/>
        </w:rPr>
        <w:t>before</w:t>
      </w:r>
      <w:r>
        <w:rPr/>
        <w:t xml:space="preserve"> imaging the common carotid. The magnification must be kept constant throughout the remainder of the scanning on each side. This is because the reader calibrates on the first images and assumes that the magnification remains constant. An unexpected magnification change can result in erroneous measurements.</w:t>
      </w:r>
    </w:p>
    <w:p>
      <w:pPr>
        <w:pStyle w:val="Number11"/>
        <w:rPr/>
      </w:pPr>
      <w:r>
        <w:rPr/>
      </w:r>
    </w:p>
    <w:p>
      <w:pPr>
        <w:pStyle w:val="Number11"/>
        <w:rPr/>
      </w:pPr>
      <w:r>
        <w:rPr/>
        <w:tab/>
        <w:t>5.3</w:t>
        <w:tab/>
        <w:t xml:space="preserve">In summary, the sonographer first videotapes a transverse (short-axis) scanning sweep of the common through the bulb. He/she then finds the site of peak systolic velocity as measured by pulse-wave Doppler. The common carotid is then imaged. And finally </w:t>
      </w:r>
      <w:r>
        <w:rPr>
          <w:u w:val="single"/>
        </w:rPr>
        <w:t>the site of maximal thickening in the internal artery or in the bulb is then imaged from three different angles</w:t>
      </w:r>
      <w:r>
        <w:rPr/>
        <w:t xml:space="preserve">, anterior, lateral and posterior, to obtain as much circumferential information at this site as possible. </w:t>
      </w:r>
    </w:p>
    <w:p>
      <w:pPr>
        <w:pStyle w:val="Normal"/>
        <w:rPr/>
      </w:pPr>
      <w:r>
        <w:rPr/>
      </w:r>
    </w:p>
    <w:p>
      <w:pPr>
        <w:pStyle w:val="Number11"/>
        <w:rPr/>
      </w:pPr>
      <w:r>
        <w:rPr/>
        <w:tab/>
        <w:t>5.3</w:t>
        <w:tab/>
        <w:t>Collect and videotape the carotid ultrasound images in this order:</w:t>
      </w:r>
    </w:p>
    <w:p>
      <w:pPr>
        <w:pStyle w:val="Normal"/>
        <w:jc w:val="both"/>
        <w:rPr/>
      </w:pPr>
      <w:r>
        <w:rPr/>
      </w:r>
    </w:p>
    <w:tbl>
      <w:tblPr>
        <w:tblW w:w="8021" w:type="dxa"/>
        <w:jc w:val="center"/>
        <w:tblInd w:w="0" w:type="dxa"/>
        <w:tblLayout w:type="fixed"/>
        <w:tblCellMar>
          <w:top w:w="0" w:type="dxa"/>
          <w:left w:w="108" w:type="dxa"/>
          <w:bottom w:w="0" w:type="dxa"/>
          <w:right w:w="108" w:type="dxa"/>
        </w:tblCellMar>
      </w:tblPr>
      <w:tblGrid>
        <w:gridCol w:w="2833"/>
        <w:gridCol w:w="5188"/>
      </w:tblGrid>
      <w:tr>
        <w:trPr/>
        <w:tc>
          <w:tcPr>
            <w:tcW w:w="2833" w:type="dxa"/>
            <w:tcBorders>
              <w:top w:val="single" w:sz="12" w:space="0" w:color="000000"/>
              <w:left w:val="single" w:sz="12" w:space="0" w:color="000000"/>
              <w:bottom w:val="single" w:sz="6" w:space="0" w:color="000000"/>
              <w:right w:val="single" w:sz="6" w:space="0" w:color="000000"/>
            </w:tcBorders>
            <w:shd w:fill="BFBFBF" w:val="clear"/>
          </w:tcPr>
          <w:p>
            <w:pPr>
              <w:pStyle w:val="Normal"/>
              <w:rPr>
                <w:b/>
                <w:b/>
                <w:smallCaps/>
              </w:rPr>
            </w:pPr>
            <w:r>
              <w:rPr>
                <w:b/>
                <w:smallCaps/>
              </w:rPr>
              <w:t>Image Description</w:t>
            </w:r>
          </w:p>
        </w:tc>
        <w:tc>
          <w:tcPr>
            <w:tcW w:w="5188" w:type="dxa"/>
            <w:tcBorders>
              <w:top w:val="single" w:sz="12" w:space="0" w:color="000000"/>
              <w:left w:val="single" w:sz="6" w:space="0" w:color="000000"/>
              <w:bottom w:val="single" w:sz="6" w:space="0" w:color="000000"/>
              <w:right w:val="single" w:sz="12" w:space="0" w:color="000000"/>
            </w:tcBorders>
            <w:shd w:fill="BFBFBF" w:val="clear"/>
          </w:tcPr>
          <w:p>
            <w:pPr>
              <w:pStyle w:val="Normal"/>
              <w:rPr>
                <w:b/>
                <w:b/>
                <w:smallCaps/>
              </w:rPr>
            </w:pPr>
            <w:r>
              <w:rPr>
                <w:b/>
                <w:smallCaps/>
              </w:rPr>
              <w:t>To Be Videotaped</w:t>
            </w:r>
          </w:p>
        </w:tc>
      </w:tr>
      <w:tr>
        <w:trPr/>
        <w:tc>
          <w:tcPr>
            <w:tcW w:w="2833" w:type="dxa"/>
            <w:tcBorders>
              <w:left w:val="single" w:sz="12" w:space="0" w:color="000000"/>
              <w:bottom w:val="single" w:sz="6" w:space="0" w:color="000000"/>
              <w:right w:val="single" w:sz="6" w:space="0" w:color="000000"/>
            </w:tcBorders>
          </w:tcPr>
          <w:p>
            <w:pPr>
              <w:pStyle w:val="Normal"/>
              <w:rPr>
                <w:rFonts w:ascii="Arial;Arial" w:hAnsi="Arial;Arial" w:cs="Arial;Arial"/>
                <w:b/>
                <w:b/>
                <w:sz w:val="18"/>
              </w:rPr>
            </w:pPr>
            <w:r>
              <w:rPr>
                <w:rFonts w:cs="Arial;Arial" w:ascii="Arial;Arial" w:hAnsi="Arial;Arial"/>
                <w:b/>
                <w:smallCaps/>
                <w:sz w:val="18"/>
              </w:rPr>
              <w:t>Right Side</w:t>
            </w:r>
          </w:p>
        </w:tc>
        <w:tc>
          <w:tcPr>
            <w:tcW w:w="5188" w:type="dxa"/>
            <w:tcBorders>
              <w:left w:val="single" w:sz="6" w:space="0" w:color="000000"/>
              <w:bottom w:val="single" w:sz="6" w:space="0" w:color="000000"/>
              <w:right w:val="single" w:sz="12" w:space="0" w:color="000000"/>
            </w:tcBorders>
          </w:tcPr>
          <w:p>
            <w:pPr>
              <w:pStyle w:val="Normal"/>
              <w:snapToGrid w:val="false"/>
              <w:rPr>
                <w:rFonts w:ascii="Arial;Arial" w:hAnsi="Arial;Arial" w:cs="Arial;Arial"/>
                <w:b/>
                <w:b/>
                <w:sz w:val="18"/>
              </w:rPr>
            </w:pPr>
            <w:r>
              <w:rPr>
                <w:rFonts w:cs="Arial;Arial" w:ascii="Arial;Arial" w:hAnsi="Arial;Arial"/>
                <w:b/>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umber1body"/>
              <w:ind w:left="33" w:hanging="0"/>
              <w:rPr>
                <w:rFonts w:ascii="Arial;Arial" w:hAnsi="Arial;Arial" w:cs="Arial;Arial"/>
                <w:i/>
                <w:i/>
                <w:iCs/>
                <w:sz w:val="18"/>
              </w:rPr>
            </w:pPr>
            <w:r>
              <w:rPr>
                <w:rFonts w:cs="Arial;Arial" w:ascii="Arial;Arial" w:hAnsi="Arial;Arial"/>
                <w:i/>
                <w:iCs/>
                <w:sz w:val="18"/>
              </w:rPr>
              <w:t>Standard zoom-depth = 4 cm</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napToGrid w:val="false"/>
              <w:ind w:left="0" w:hanging="0"/>
              <w:rPr>
                <w:rFonts w:ascii="Arial;Arial" w:hAnsi="Arial;Arial" w:cs="Arial;Arial"/>
                <w:i/>
                <w:i/>
                <w:iCs/>
                <w:sz w:val="18"/>
              </w:rPr>
            </w:pPr>
            <w:r>
              <w:rPr>
                <w:rFonts w:cs="Arial;Arial" w:ascii="Arial;Arial" w:hAnsi="Arial;Arial"/>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ind w:left="342" w:hanging="342"/>
              <w:rPr>
                <w:rFonts w:ascii="Arial;Arial" w:hAnsi="Arial;Arial" w:cs="Arial;Arial"/>
                <w:sz w:val="18"/>
              </w:rPr>
            </w:pPr>
            <w:r>
              <w:rPr>
                <w:rFonts w:cs="Arial;Arial" w:ascii="Arial;Arial" w:hAnsi="Arial;Arial"/>
                <w:sz w:val="18"/>
              </w:rPr>
              <w:t>Transverse (Short-axis) sweep</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 xml:space="preserve">15 second scanning sweep </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Pulse Wave Doppler ICA</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measured image</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Common Carotid</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Anterior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Lateral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tabs>
                <w:tab w:val="clear" w:pos="720"/>
                <w:tab w:val="left" w:pos="360" w:leader="none"/>
              </w:tabs>
              <w:rPr>
                <w:rFonts w:ascii="Arial;Arial" w:hAnsi="Arial;Arial" w:cs="Arial;Arial"/>
                <w:sz w:val="18"/>
              </w:rPr>
            </w:pPr>
            <w:r>
              <w:rPr>
                <w:rFonts w:cs="Arial;Arial" w:ascii="Arial;Arial" w:hAnsi="Arial;Arial"/>
                <w:sz w:val="18"/>
              </w:rPr>
              <w:t>Posterior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bCs/>
                <w:i/>
                <w:i/>
                <w:iCs/>
                <w:sz w:val="18"/>
              </w:rPr>
            </w:pPr>
            <w:r>
              <w:rPr>
                <w:rFonts w:cs="Arial;Arial" w:ascii="Arial;Arial" w:hAnsi="Arial;Arial"/>
                <w:bCs/>
                <w:i/>
                <w:iCs/>
                <w:sz w:val="18"/>
              </w:rPr>
              <w:t>Magnification “OFF”</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bCs/>
                <w:i/>
                <w:i/>
                <w:iCs/>
                <w:sz w:val="18"/>
              </w:rPr>
            </w:pPr>
            <w:r>
              <w:rPr>
                <w:rFonts w:cs="Arial;Arial" w:ascii="Arial;Arial" w:hAnsi="Arial;Arial"/>
                <w:bCs/>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sz w:val="18"/>
              </w:rPr>
            </w:pPr>
            <w:r>
              <w:rPr>
                <w:rFonts w:cs="Arial;Arial" w:ascii="Arial;Arial" w:hAnsi="Arial;Arial"/>
                <w:b/>
                <w:smallCaps/>
                <w:sz w:val="18"/>
              </w:rPr>
              <w:t>Left Side</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b/>
                <w:b/>
                <w:smallCaps/>
                <w:sz w:val="18"/>
              </w:rPr>
            </w:pPr>
            <w:r>
              <w:rPr>
                <w:rFonts w:cs="Arial;Arial" w:ascii="Arial;Arial" w:hAnsi="Arial;Arial"/>
                <w:i/>
                <w:iCs/>
                <w:sz w:val="18"/>
              </w:rPr>
              <w:t>Standard zoom-depth = 4 cm</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b/>
                <w:b/>
                <w:smallCaps/>
                <w:sz w:val="18"/>
              </w:rPr>
            </w:pPr>
            <w:r>
              <w:rPr>
                <w:rFonts w:cs="Arial;Arial" w:ascii="Arial;Arial" w:hAnsi="Arial;Arial"/>
                <w:b/>
                <w:smallCap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Transverse (Short-axis) sweep</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pPr>
            <w:r>
              <w:rPr>
                <w:rFonts w:cs="Arial;Arial" w:ascii="Arial;Arial" w:hAnsi="Arial;Arial"/>
                <w:sz w:val="18"/>
              </w:rPr>
              <w:t xml:space="preserve">15 second </w:t>
            </w:r>
            <w:r>
              <w:rPr>
                <w:rFonts w:cs="Arial;Arial" w:ascii="Arial;Arial" w:hAnsi="Arial;Arial"/>
                <w:i/>
                <w:sz w:val="18"/>
              </w:rPr>
              <w:t>real time</w:t>
            </w:r>
            <w:r>
              <w:rPr>
                <w:rFonts w:cs="Arial;Arial" w:ascii="Arial;Arial" w:hAnsi="Arial;Arial"/>
                <w:sz w:val="18"/>
              </w:rPr>
              <w:t xml:space="preserve"> scanning sweep </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Pulse Wave Doppler ICA</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measured image</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umber1"/>
              <w:rPr>
                <w:rFonts w:ascii="Arial;Arial" w:hAnsi="Arial;Arial" w:cs="Arial;Arial"/>
                <w:i/>
                <w:i/>
                <w:iCs/>
                <w:sz w:val="18"/>
              </w:rPr>
            </w:pPr>
            <w:r>
              <w:rPr>
                <w:rFonts w:cs="Arial;Arial" w:ascii="Arial;Arial" w:hAnsi="Arial;Arial"/>
                <w:i/>
                <w:iCs/>
                <w:sz w:val="18"/>
              </w:rPr>
              <w:t>Magnification “ON”</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napToGrid w:val="false"/>
              <w:ind w:left="0" w:hanging="0"/>
              <w:rPr>
                <w:rFonts w:ascii="Arial;Arial" w:hAnsi="Arial;Arial" w:cs="Arial;Arial"/>
                <w:i/>
                <w:i/>
                <w:iCs/>
                <w:sz w:val="18"/>
              </w:rPr>
            </w:pPr>
            <w:r>
              <w:rPr>
                <w:rFonts w:cs="Arial;Arial" w:ascii="Arial;Arial" w:hAnsi="Arial;Arial"/>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Common Carotid Artery</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Anterior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Lateral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12"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Posterior ICA or Bulb</w:t>
            </w:r>
          </w:p>
        </w:tc>
        <w:tc>
          <w:tcPr>
            <w:tcW w:w="5188" w:type="dxa"/>
            <w:tcBorders>
              <w:top w:val="single" w:sz="6" w:space="0" w:color="000000"/>
              <w:left w:val="single" w:sz="6" w:space="0" w:color="000000"/>
              <w:bottom w:val="single" w:sz="12" w:space="0" w:color="000000"/>
              <w:right w:val="single" w:sz="12" w:space="0" w:color="000000"/>
            </w:tcBorders>
          </w:tcPr>
          <w:p>
            <w:pPr>
              <w:pStyle w:val="Normal"/>
              <w:rPr>
                <w:rFonts w:ascii="Arial;Arial" w:hAnsi="Arial;Arial" w:cs="Arial;Arial"/>
                <w:sz w:val="18"/>
              </w:rPr>
            </w:pPr>
            <w:r>
              <w:rPr>
                <w:rFonts w:cs="Arial;Arial" w:ascii="Arial;Arial" w:hAnsi="Arial;Arial"/>
                <w:sz w:val="18"/>
              </w:rPr>
              <w:t>5 seconds of frozen image followed by the cine loop</w:t>
            </w:r>
          </w:p>
        </w:tc>
      </w:tr>
    </w:tbl>
    <w:p>
      <w:pPr>
        <w:pStyle w:val="Normal"/>
        <w:rPr/>
      </w:pPr>
      <w:r>
        <w:rPr/>
      </w:r>
    </w:p>
    <w:p>
      <w:pPr>
        <w:pStyle w:val="Number111"/>
        <w:rPr/>
      </w:pPr>
      <w:r>
        <w:rPr/>
        <w:tab/>
        <w:t>5.31</w:t>
        <w:tab/>
        <w:t>Image 1: Transverse (Short-Axis) Sweep</w:t>
      </w:r>
    </w:p>
    <w:p>
      <w:pPr>
        <w:pStyle w:val="Number111"/>
        <w:rPr/>
      </w:pPr>
      <w:r>
        <w:rPr/>
      </w:r>
    </w:p>
    <w:p>
      <w:pPr>
        <w:pStyle w:val="Number111"/>
        <w:rPr/>
      </w:pPr>
      <w:r>
        <w:rPr/>
        <w:tab/>
        <w:tab/>
        <w:t>The transverse sweep begins at the base of the common carotid and smoothly travels up through the bulb, into the internal and back down to the common. Videotape in the full sweep, up from the common, into the internal and back, for 15 seconds. The transverse scan is done with the ultrasound machine in standard zoom mode at a depth of 4 cm.</w:t>
      </w:r>
    </w:p>
    <w:p>
      <w:pPr>
        <w:pStyle w:val="Number111"/>
        <w:rPr/>
      </w:pPr>
      <w:r>
        <w:rPr/>
      </w:r>
    </w:p>
    <w:p>
      <w:pPr>
        <w:pStyle w:val="Number111"/>
        <w:rPr/>
      </w:pPr>
      <w:r>
        <w:rPr/>
        <w:tab/>
        <w:t>5.32</w:t>
        <w:tab/>
        <w:t>Image 2: Pulse-wave Doppler</w:t>
      </w:r>
    </w:p>
    <w:p>
      <w:pPr>
        <w:pStyle w:val="Number111"/>
        <w:rPr/>
      </w:pPr>
      <w:r>
        <w:rPr/>
      </w:r>
    </w:p>
    <w:p>
      <w:pPr>
        <w:pStyle w:val="Number111"/>
        <w:rPr/>
      </w:pPr>
      <w:r>
        <w:rPr/>
        <w:tab/>
        <w:tab/>
        <w:t xml:space="preserve">The critical information is the peak velocity </w:t>
      </w:r>
      <w:r>
        <w:rPr>
          <w:u w:val="single"/>
        </w:rPr>
        <w:t>in the internal carotid artery</w:t>
      </w:r>
      <w:r>
        <w:rPr/>
        <w:t xml:space="preserve"> at peak systole at the point of maximum flow acceleration. To locate it a 2-mm Doppler sample gate should first be place in the center of the distal common carotid artery. The sample gate is then moved from the common through the bulb to the proximal internal. If there is no site of disturbed or turbulent flow, the Doppler measurement should be taken from the first centimeter of the internal carotid artery. The audible signal can be used to facilitate placement of the Doppler sample gate. Angle correction must not exceed 60</w:t>
      </w:r>
      <w:r>
        <w:rPr>
          <w:vertAlign w:val="superscript"/>
        </w:rPr>
        <w:t>o</w:t>
      </w:r>
      <w:r>
        <w:rPr/>
        <w:t>. The frozen image of the measurement is videotaped for approximately five seconds. The pulse-wave Doppler measurement is done with the ultrasound machine in standard zoom mode at a depth of 4 cm.</w:t>
      </w:r>
    </w:p>
    <w:p>
      <w:pPr>
        <w:pStyle w:val="Number111"/>
        <w:rPr/>
      </w:pPr>
      <w:r>
        <w:rPr/>
      </w:r>
    </w:p>
    <w:p>
      <w:pPr>
        <w:pStyle w:val="Number111"/>
        <w:rPr/>
      </w:pPr>
      <w:r>
        <w:rPr/>
        <w:tab/>
        <w:t>5.33</w:t>
        <w:tab/>
        <w:t xml:space="preserve">Image 3: Common Carotid Artery </w:t>
      </w:r>
    </w:p>
    <w:p>
      <w:pPr>
        <w:pStyle w:val="Number111"/>
        <w:rPr/>
      </w:pPr>
      <w:r>
        <w:rPr/>
      </w:r>
    </w:p>
    <w:p>
      <w:pPr>
        <w:pStyle w:val="Number111"/>
        <w:rPr/>
      </w:pPr>
      <w:r>
        <w:rPr/>
        <w:tab/>
        <w:tab/>
        <w:t>Image 3 is a view of the distal 10-mm of the common carotid artery. Magnification is turned “ON”. The carotid bulb is displayed on the left side of the monitor (when facing the screen). If the bulb cannot be identified, but the tip of the flow divider can, this may substitute as the internal landmark on this view. After locating the tip of the flow divider and centering it on the screen, the probe is rotated into the lateral plane and moved downward 2 cm. The probe is then centered on the upper 1 cm of the common carotid. The probe should be angled to obtain the best view of the common carotid artery intima-media thickness (CCA IMT). In general the best angle to achieve the optimal CCA image is 45 degrees.</w:t>
      </w:r>
    </w:p>
    <w:p>
      <w:pPr>
        <w:pStyle w:val="Number111"/>
        <w:rPr>
          <w:b/>
          <w:b/>
        </w:rPr>
      </w:pPr>
      <w:r>
        <w:rPr>
          <w:b/>
        </w:rPr>
      </w:r>
    </w:p>
    <w:p>
      <w:pPr>
        <w:pStyle w:val="Number111"/>
        <w:rPr/>
      </w:pPr>
      <w:r>
        <w:rPr/>
        <w:tab/>
        <w:t>5.34</w:t>
        <w:tab/>
        <w:t>Images 4, 5 and 6: Internal or Bulb at the site of maximum wall thickness</w:t>
      </w:r>
    </w:p>
    <w:p>
      <w:pPr>
        <w:pStyle w:val="Number111"/>
        <w:rPr/>
      </w:pPr>
      <w:r>
        <w:rPr/>
      </w:r>
    </w:p>
    <w:p>
      <w:pPr>
        <w:pStyle w:val="Number111"/>
        <w:rPr/>
      </w:pPr>
      <w:r>
        <w:rPr/>
        <w:tab/>
        <w:tab/>
        <w:t xml:space="preserve">Images 4, 5 and 6 are images of the internal artery or the bulb. Magnification is left “ON”. Images are centered on the site of maximum wall thickness in the internal carotid artery. The objective is to image the segment of the internal that contains the single largest wall abnormality, on either near or far wall, in any one view. </w:t>
      </w:r>
      <w:r>
        <w:rPr>
          <w:smallCaps/>
          <w:u w:val="single"/>
        </w:rPr>
        <w:t xml:space="preserve">The images should </w:t>
      </w:r>
      <w:r>
        <w:rPr>
          <w:b/>
          <w:smallCaps/>
          <w:u w:val="single"/>
        </w:rPr>
        <w:t>never</w:t>
      </w:r>
      <w:r>
        <w:rPr>
          <w:smallCaps/>
          <w:u w:val="single"/>
        </w:rPr>
        <w:t xml:space="preserve"> be centered on the common carotid even if it is the site of maximum disease</w:t>
      </w:r>
      <w:r>
        <w:rPr>
          <w:b/>
        </w:rPr>
        <w:t>.</w:t>
      </w:r>
      <w:r>
        <w:rPr/>
        <w:t xml:space="preserve"> The location of the site of maximum wall thickness is determined during the initial scan. It is not the site of average maximum wall thickness, but rather it is the single site of maximum wall thickness in any single view. The sonographer can use any available technique to make this decision including long axis or short axis views, color or pulse-wave Doppler.</w:t>
      </w:r>
    </w:p>
    <w:p>
      <w:pPr>
        <w:pStyle w:val="Number111"/>
        <w:rPr/>
      </w:pPr>
      <w:r>
        <w:rPr/>
      </w:r>
    </w:p>
    <w:p>
      <w:pPr>
        <w:pStyle w:val="Number111"/>
        <w:rPr/>
      </w:pPr>
      <w:r>
        <w:rPr/>
        <w:tab/>
        <w:t>5.35</w:t>
        <w:tab/>
        <w:t>The three internal carotid images are taken from three different scanning angles, the anterior-oblique, the lateral and the posterior-oblique. The point of maximal wall thickness should be centered in the middle of the screen for each image. The sonographer should adjust the probe to maximize the lesion and wall interfaces in each projection to not exaggerate the size of the focal plaque by scanning across the vessel on an oblique axis. The Ultrasound Reading Center readers are completely dependent upon the sonographer to provide a legitimate display of a plaque. The philosophy of the URC is that image drives angle rather than angle drives image.</w:t>
      </w:r>
    </w:p>
    <w:p>
      <w:pPr>
        <w:pStyle w:val="Number111"/>
        <w:rPr/>
      </w:pPr>
      <w:r>
        <w:rPr/>
      </w:r>
    </w:p>
    <w:p>
      <w:pPr>
        <w:pStyle w:val="Number111"/>
        <w:rPr/>
      </w:pPr>
      <w:r>
        <w:rPr/>
        <w:tab/>
        <w:t>5.36</w:t>
        <w:tab/>
        <w:t>The anterior-oblique, lateral, and posterior-oblique scanning angles are defined as follows:</w:t>
      </w:r>
    </w:p>
    <w:p>
      <w:pPr>
        <w:pStyle w:val="Number111bodybullet"/>
        <w:rPr/>
      </w:pPr>
      <w:r>
        <w:rPr/>
      </w:r>
    </w:p>
    <w:p>
      <w:pPr>
        <w:pStyle w:val="Number111bodybullet"/>
        <w:rPr/>
      </w:pPr>
      <w:r>
        <w:rPr/>
        <w:tab/>
      </w:r>
      <w:r>
        <w:rPr>
          <w:rFonts w:eastAsia="Symbol" w:cs="Symbol" w:ascii="Symbol" w:hAnsi="Symbol"/>
        </w:rPr>
        <w:t></w:t>
      </w:r>
      <w:r>
        <w:rPr/>
        <w:tab/>
        <w:t>Anterior-oblique: the arch on the surface of the neck from the midline (trachea) to 55</w:t>
      </w:r>
      <w:r>
        <w:rPr>
          <w:vertAlign w:val="superscript"/>
        </w:rPr>
        <w:t>o</w:t>
      </w:r>
      <w:r>
        <w:rPr/>
        <w:t xml:space="preserve"> to a line drawn from the mid-trachea to the center of the back of the neck.</w:t>
      </w:r>
    </w:p>
    <w:p>
      <w:pPr>
        <w:pStyle w:val="Number111bodybullet"/>
        <w:rPr/>
      </w:pPr>
      <w:r>
        <w:rPr/>
      </w:r>
    </w:p>
    <w:p>
      <w:pPr>
        <w:pStyle w:val="Number111bodybullet"/>
        <w:rPr/>
      </w:pPr>
      <w:r>
        <w:rPr/>
        <w:tab/>
      </w:r>
      <w:r>
        <w:rPr>
          <w:rFonts w:eastAsia="Symbol" w:cs="Symbol" w:ascii="Symbol" w:hAnsi="Symbol"/>
        </w:rPr>
        <w:t></w:t>
      </w:r>
      <w:r>
        <w:rPr/>
        <w:tab/>
        <w:t>Lateral: the arch along the lateral surface of the neck, from 55</w:t>
      </w:r>
      <w:r>
        <w:rPr>
          <w:vertAlign w:val="superscript"/>
        </w:rPr>
        <w:t>o</w:t>
      </w:r>
      <w:r>
        <w:rPr/>
        <w:t xml:space="preserve"> to the perpendicular to 100</w:t>
      </w:r>
      <w:r>
        <w:rPr>
          <w:vertAlign w:val="superscript"/>
        </w:rPr>
        <w:t>o</w:t>
      </w:r>
      <w:r>
        <w:rPr/>
        <w:t xml:space="preserve"> (hence 45</w:t>
      </w:r>
      <w:r>
        <w:rPr>
          <w:vertAlign w:val="superscript"/>
        </w:rPr>
        <w:t>o</w:t>
      </w:r>
      <w:r>
        <w:rPr/>
        <w:t>). The sternomastoid muscle can be palpated beneath this portion of the skin’s surface.</w:t>
      </w:r>
    </w:p>
    <w:p>
      <w:pPr>
        <w:pStyle w:val="Number111bodybullet"/>
        <w:rPr/>
      </w:pPr>
      <w:r>
        <w:rPr/>
      </w:r>
    </w:p>
    <w:p>
      <w:pPr>
        <w:pStyle w:val="Number111bodybullet"/>
        <w:rPr/>
      </w:pPr>
      <w:r>
        <w:rPr/>
        <w:tab/>
      </w:r>
      <w:r>
        <w:rPr>
          <w:rFonts w:eastAsia="Symbol" w:cs="Symbol" w:ascii="Symbol" w:hAnsi="Symbol"/>
        </w:rPr>
        <w:t></w:t>
      </w:r>
      <w:r>
        <w:rPr/>
        <w:tab/>
        <w:t>Posterior-oblique: the arch from 100</w:t>
      </w:r>
      <w:r>
        <w:rPr>
          <w:vertAlign w:val="superscript"/>
        </w:rPr>
        <w:t>o</w:t>
      </w:r>
      <w:r>
        <w:rPr/>
        <w:t xml:space="preserve"> to the perpendicular to 145</w:t>
      </w:r>
      <w:r>
        <w:rPr>
          <w:vertAlign w:val="superscript"/>
        </w:rPr>
        <w:t>o</w:t>
      </w:r>
      <w:r>
        <w:rPr/>
        <w:t>. The probe almost always lies just behind the posterior margin of the sternomastoid muscle.</w:t>
      </w:r>
    </w:p>
    <w:p>
      <w:pPr>
        <w:pStyle w:val="Number111bodybullet"/>
        <w:rPr/>
      </w:pPr>
      <w:r>
        <w:rPr/>
      </w:r>
    </w:p>
    <w:p>
      <w:pPr>
        <w:pStyle w:val="Number111"/>
        <w:rPr/>
      </w:pPr>
      <w:r>
        <w:rPr/>
        <w:tab/>
        <w:tab/>
        <w:t xml:space="preserve">(Probe angle ranges are defined above to help </w:t>
      </w:r>
      <w:r>
        <w:rPr>
          <w:u w:val="single"/>
        </w:rPr>
        <w:t>guide</w:t>
      </w:r>
      <w:r>
        <w:rPr/>
        <w:t xml:space="preserve"> the sonographer. The URC emphasizes optimal images over specific probe angle, however, we don’t want three identical views of the ICA.)</w:t>
      </w:r>
    </w:p>
    <w:p>
      <w:pPr>
        <w:pStyle w:val="Normal"/>
        <w:rPr/>
      </w:pPr>
      <w:r>
        <w:rPr/>
      </w:r>
    </w:p>
    <w:p>
      <w:pPr>
        <w:pStyle w:val="Number111"/>
        <w:rPr/>
      </w:pPr>
      <w:r>
        <w:rPr/>
        <w:tab/>
        <w:t>5.37</w:t>
        <w:tab/>
        <w:t>If the artery is normal, the study will be centered on the initial 10 mm of the internal carotid artery. The tip of the flow divider is used as the point that identifies the most caudal portion or inferior boundary of the internal carotid artery. It will not always be possible to identify the tip of the flow divider in the frozen image. The priority is to display the wall interfaces of the proximal internal artery, not the tip of the flow divider.</w:t>
      </w:r>
    </w:p>
    <w:p>
      <w:pPr>
        <w:pStyle w:val="Number111"/>
        <w:rPr/>
      </w:pPr>
      <w:r>
        <w:rPr/>
      </w:r>
    </w:p>
    <w:p>
      <w:pPr>
        <w:pStyle w:val="Number111"/>
        <w:rPr/>
      </w:pPr>
      <w:r>
        <w:rPr/>
        <w:tab/>
        <w:t>5.38</w:t>
        <w:tab/>
        <w:t>A cine loop of each of the four images described above, one of the common carotid and three of the internal carotid arteries, is captured by selecting the freeze button. The sonographer then cycles through the cine loop images to select the one that best displays the intimal walls. It is videotaped for five seconds. The cine loop is then set in motion and it is videotaped in its entirety.</w:t>
      </w:r>
    </w:p>
    <w:p>
      <w:pPr>
        <w:pStyle w:val="Number111"/>
        <w:rPr/>
      </w:pPr>
      <w:r>
        <w:rPr/>
      </w:r>
    </w:p>
    <w:p>
      <w:pPr>
        <w:pStyle w:val="Number1"/>
        <w:rPr/>
      </w:pPr>
      <w:r>
        <w:rPr/>
        <w:tab/>
        <w:t xml:space="preserve">6. </w:t>
        <w:tab/>
      </w:r>
      <w:r>
        <w:rPr>
          <w:u w:val="single"/>
        </w:rPr>
        <w:t>Criteria for Satisfactory Images</w:t>
      </w:r>
      <w:r>
        <w:rPr/>
        <w:t xml:space="preserve"> </w:t>
      </w:r>
    </w:p>
    <w:p>
      <w:pPr>
        <w:pStyle w:val="Contents1"/>
        <w:rPr/>
      </w:pPr>
      <w:r>
        <w:rPr/>
      </w:r>
    </w:p>
    <w:p>
      <w:pPr>
        <w:pStyle w:val="Number11"/>
        <w:rPr/>
      </w:pPr>
      <w:r>
        <w:rPr/>
        <w:tab/>
        <w:t>6.1</w:t>
        <w:tab/>
        <w:t>The criteria for optimal B-mode ultrasound image of the carotid arteries is defined as the clear visualization on long axis views of arterial interfaces, internal arterial landmarks, and lesions.</w:t>
      </w:r>
    </w:p>
    <w:p>
      <w:pPr>
        <w:pStyle w:val="Number11"/>
        <w:rPr/>
      </w:pPr>
      <w:r>
        <w:rPr/>
      </w:r>
    </w:p>
    <w:p>
      <w:pPr>
        <w:pStyle w:val="Number11"/>
        <w:rPr/>
      </w:pPr>
      <w:r>
        <w:rPr/>
        <w:tab/>
        <w:t>6.2</w:t>
        <w:tab/>
        <w:t>Near wall - arterial wall nearest the probe</w:t>
      </w:r>
    </w:p>
    <w:p>
      <w:pPr>
        <w:pStyle w:val="Number11"/>
        <w:rPr/>
      </w:pPr>
      <w:r>
        <w:rPr/>
        <w:tab/>
        <w:tab/>
        <w:t>Adventitial - medial boundary</w:t>
      </w:r>
    </w:p>
    <w:p>
      <w:pPr>
        <w:pStyle w:val="Number11"/>
        <w:rPr/>
      </w:pPr>
      <w:r>
        <w:rPr/>
        <w:tab/>
        <w:tab/>
        <w:t>Intima  - lumen boundary</w:t>
      </w:r>
    </w:p>
    <w:p>
      <w:pPr>
        <w:pStyle w:val="Number11"/>
        <w:rPr/>
      </w:pPr>
      <w:r>
        <w:rPr/>
      </w:r>
    </w:p>
    <w:p>
      <w:pPr>
        <w:pStyle w:val="Number11"/>
        <w:rPr/>
      </w:pPr>
      <w:r>
        <w:rPr/>
        <w:tab/>
        <w:tab/>
        <w:t>Far wall - arterial wall furthest from probe</w:t>
      </w:r>
    </w:p>
    <w:p>
      <w:pPr>
        <w:pStyle w:val="Number11"/>
        <w:rPr/>
      </w:pPr>
      <w:r>
        <w:rPr/>
        <w:tab/>
        <w:tab/>
        <w:t>Lumen - intimal boundary</w:t>
      </w:r>
    </w:p>
    <w:p>
      <w:pPr>
        <w:pStyle w:val="Number11"/>
        <w:rPr/>
      </w:pPr>
      <w:r>
        <w:rPr/>
        <w:tab/>
        <w:tab/>
        <w:t>Medial - adventitial boundary</w:t>
      </w:r>
    </w:p>
    <w:p>
      <w:pPr>
        <w:pStyle w:val="Number11"/>
        <w:rPr/>
      </w:pPr>
      <w:r>
        <w:rPr/>
      </w:r>
    </w:p>
    <w:p>
      <w:pPr>
        <w:pStyle w:val="Number11"/>
        <w:rPr/>
      </w:pPr>
      <w:r>
        <w:rPr/>
        <w:tab/>
        <w:t>6.3</w:t>
        <w:tab/>
        <w:t xml:space="preserve">The area of interest will be centered in the middle of the image. Align the probe to show as much of the vessel cephalad and caudad as possible. The sonographer should optimize the visualization of the interfaces by adjusting the gain settings, beam steering, and probe placement. </w:t>
      </w:r>
    </w:p>
    <w:p>
      <w:pPr>
        <w:pStyle w:val="Number11"/>
        <w:rPr/>
      </w:pPr>
      <w:r>
        <w:rPr/>
      </w:r>
    </w:p>
    <w:p>
      <w:pPr>
        <w:pStyle w:val="Number11"/>
        <w:rPr/>
      </w:pPr>
      <w:r>
        <w:rPr/>
        <w:tab/>
        <w:t>6.4</w:t>
        <w:tab/>
        <w:t>It is expected that the lumen of a good carotid ultrasound study image will contain a significant amount of artifact. To clearly visualize the intimal linings, the gain setting will need to be set considerably higher than it is for a typical clinical study.</w:t>
      </w:r>
    </w:p>
    <w:p>
      <w:pPr>
        <w:pStyle w:val="Number11"/>
        <w:rPr/>
      </w:pPr>
      <w:r>
        <w:rPr/>
        <w:tab/>
      </w:r>
    </w:p>
    <w:p>
      <w:pPr>
        <w:pStyle w:val="Number11"/>
        <w:rPr/>
      </w:pPr>
      <w:r>
        <w:rPr/>
        <w:tab/>
        <w:t>6.5</w:t>
        <w:tab/>
        <w:t>Satisfactory images are properly magnified and the magnification level is the same for all longitudinal views. If a sonographer mistakenly uses an incorrect magnification level or changes it mid-scan, he/she should make a note of the problem in the “Comments” section of the videotape log sheet. Without a note from the sonographer the reader will assume the magnification is the same for all of the images. Thus, the image will be calibrated incorrectly, resulting in erroneous measurements.</w:t>
      </w:r>
    </w:p>
    <w:p>
      <w:pPr>
        <w:pStyle w:val="Normal"/>
        <w:rPr/>
      </w:pPr>
      <w:r>
        <w:rPr/>
      </w:r>
    </w:p>
    <w:p>
      <w:pPr>
        <w:pStyle w:val="Number1"/>
        <w:rPr/>
      </w:pPr>
      <w:r>
        <w:rPr/>
        <w:tab/>
        <w:t xml:space="preserve">7. </w:t>
        <w:tab/>
      </w:r>
      <w:r>
        <w:rPr>
          <w:u w:val="single"/>
        </w:rPr>
        <w:t>Imaging Priorities</w:t>
      </w:r>
    </w:p>
    <w:p>
      <w:pPr>
        <w:pStyle w:val="Normal"/>
        <w:rPr/>
      </w:pPr>
      <w:r>
        <w:rPr/>
      </w:r>
    </w:p>
    <w:p>
      <w:pPr>
        <w:pStyle w:val="Number1body"/>
        <w:rPr/>
      </w:pPr>
      <w:r>
        <w:rPr/>
        <w:t xml:space="preserve">Some participants will not have vascular lesions or easily visible intimal linings. For these cases the sonographer will prioritize the far wall intimal linings over the near wall intimal linings. For the more difficult cases, where there is some disease, the top priority is to provide a quality image of disease. Disease located in the carotid bulb presents a special case. When a lesion is detected in the bulb and the internal carotid artery is normal, capture images to characterize the bulb disease. Instead of capturing an anterior, a lateral and a posterior view of the internal carotid artery, image the carotid bulb disease from these three perspectives. </w:t>
      </w:r>
    </w:p>
    <w:p>
      <w:pPr>
        <w:pStyle w:val="Normal"/>
        <w:rPr/>
      </w:pPr>
      <w:r>
        <w:rPr/>
      </w:r>
    </w:p>
    <w:p>
      <w:pPr>
        <w:pStyle w:val="TextBodyIndent"/>
        <w:ind w:left="1170" w:hanging="270"/>
        <w:rPr/>
      </w:pPr>
      <w:r>
        <w:rPr/>
        <w:t>1.</w:t>
        <w:tab/>
        <w:t>Lesion: If there is a focal lesion in either the distal 10 mm of the common or in the proximal 10 mm of the internal, focus on the lesion.</w:t>
      </w:r>
    </w:p>
    <w:p>
      <w:pPr>
        <w:pStyle w:val="Normal"/>
        <w:ind w:left="1170" w:hanging="270"/>
        <w:rPr/>
      </w:pPr>
      <w:r>
        <w:rPr/>
      </w:r>
    </w:p>
    <w:p>
      <w:pPr>
        <w:pStyle w:val="Normal"/>
        <w:tabs>
          <w:tab w:val="clear" w:pos="720"/>
          <w:tab w:val="left" w:pos="360" w:leader="none"/>
        </w:tabs>
        <w:ind w:left="1170" w:hanging="270"/>
        <w:rPr/>
      </w:pPr>
      <w:r>
        <w:rPr/>
        <w:t>2.</w:t>
        <w:tab/>
        <w:t>Bulb lesion: If there is a lesion in the bulb and the internal is normal, focus on the bulb lesion.</w:t>
      </w:r>
    </w:p>
    <w:p>
      <w:pPr>
        <w:pStyle w:val="Normal"/>
        <w:ind w:left="1170" w:hanging="270"/>
        <w:rPr/>
      </w:pPr>
      <w:r>
        <w:rPr/>
      </w:r>
    </w:p>
    <w:p>
      <w:pPr>
        <w:pStyle w:val="Number1bodybullet"/>
        <w:tabs>
          <w:tab w:val="clear" w:pos="720"/>
          <w:tab w:val="left" w:pos="360" w:leader="none"/>
        </w:tabs>
        <w:rPr/>
      </w:pPr>
      <w:r>
        <w:rPr/>
        <w:t>3.</w:t>
        <w:tab/>
        <w:t>Far wall interfaces: If there is no disease, the clear visualization of the far wall is more important than that of the near wall</w:t>
      </w:r>
    </w:p>
    <w:p>
      <w:pPr>
        <w:pStyle w:val="Normal"/>
        <w:ind w:left="1170" w:hanging="270"/>
        <w:rPr/>
      </w:pPr>
      <w:r>
        <w:rPr/>
      </w:r>
    </w:p>
    <w:p>
      <w:pPr>
        <w:pStyle w:val="Normal"/>
        <w:tabs>
          <w:tab w:val="clear" w:pos="720"/>
          <w:tab w:val="left" w:pos="360" w:leader="none"/>
        </w:tabs>
        <w:ind w:left="1170" w:hanging="270"/>
        <w:rPr/>
      </w:pPr>
      <w:r>
        <w:rPr/>
        <w:t>4.</w:t>
        <w:tab/>
        <w:t>Near wall interfaces</w:t>
      </w:r>
    </w:p>
    <w:p>
      <w:pPr>
        <w:pStyle w:val="Heading2"/>
        <w:rPr/>
      </w:pPr>
      <w:r>
        <w:rPr/>
      </w:r>
    </w:p>
    <w:p>
      <w:pPr>
        <w:pStyle w:val="Number1"/>
        <w:rPr/>
      </w:pPr>
      <w:r>
        <w:rPr/>
        <w:tab/>
        <w:t xml:space="preserve">8. </w:t>
        <w:tab/>
      </w:r>
      <w:r>
        <w:rPr>
          <w:u w:val="single"/>
        </w:rPr>
        <w:t>Sonographer Response to a Significant Stenosis – ALERT</w:t>
      </w:r>
      <w:r>
        <w:rPr/>
        <w:t xml:space="preserve"> </w:t>
      </w:r>
    </w:p>
    <w:p>
      <w:pPr>
        <w:pStyle w:val="Normal"/>
        <w:rPr/>
      </w:pPr>
      <w:r>
        <w:rPr/>
      </w:r>
    </w:p>
    <w:p>
      <w:pPr>
        <w:pStyle w:val="Number11"/>
        <w:rPr/>
      </w:pPr>
      <w:r>
        <w:rPr/>
        <w:tab/>
        <w:t>8.1</w:t>
        <w:tab/>
        <w:t xml:space="preserve">Some participants will have significant carotid stenoses, which are discovered, perhaps for the first time, during this examination. An ALERT is defined as an 80% or greater stenosis in the common carotid, the bulb or internal carotid artery. The only criteria used to estimate stenosis is the peak systolic pulse-wave Doppler. An 80% or greater stenosis is indicated by a pulse-wave Doppler measurement of 250 cm/s. Imaging data should </w:t>
      </w:r>
      <w:r>
        <w:rPr>
          <w:b/>
        </w:rPr>
        <w:t>not</w:t>
      </w:r>
      <w:r>
        <w:rPr/>
        <w:t xml:space="preserve"> be used in arriving at this conclusion; its role is limited to determining the site of the abnormality.</w:t>
      </w:r>
    </w:p>
    <w:p>
      <w:pPr>
        <w:pStyle w:val="Number11"/>
        <w:rPr/>
      </w:pPr>
      <w:r>
        <w:rPr/>
      </w:r>
    </w:p>
    <w:p>
      <w:pPr>
        <w:pStyle w:val="Number11"/>
        <w:rPr/>
      </w:pPr>
      <w:r>
        <w:rPr/>
        <w:tab/>
        <w:t>8.2</w:t>
        <w:tab/>
        <w:t xml:space="preserve">If a sonographer believes a significant vascular abnormality is present, he should double-check this finding by repeating the Doppler measurement. Under no circumstances should this impression be conveyed either directly or indirectly to the participant by the sonographer. </w:t>
      </w:r>
      <w:r>
        <w:rPr>
          <w:bCs/>
          <w:i/>
          <w:iCs/>
        </w:rPr>
        <w:t>The clinic coordinator should be told immediately after the participant has left the scanning area.</w:t>
      </w:r>
      <w:r>
        <w:rPr/>
        <w:t xml:space="preserve"> An inquiry is thereby triggered at the field center regarding the presence of relevant symptoms in the participant. It will be determined whether he is under care for the vascular abnormality and if necessary appropriate referrals will be provided</w:t>
      </w:r>
    </w:p>
    <w:p>
      <w:pPr>
        <w:pStyle w:val="Number11"/>
        <w:rPr/>
      </w:pPr>
      <w:r>
        <w:rPr/>
      </w:r>
    </w:p>
    <w:p>
      <w:pPr>
        <w:pStyle w:val="Number11"/>
        <w:rPr/>
      </w:pPr>
      <w:r>
        <w:rPr/>
        <w:tab/>
        <w:t>8.3</w:t>
        <w:tab/>
        <w:t xml:space="preserve">The responsibility of the participant’s health care is completely with the field center. Whenever a participant presents with what the sonographer suspects is a problem he is to communicate it immediately to the field center medical personnel. </w:t>
      </w:r>
      <w:r>
        <w:rPr>
          <w:bCs/>
          <w:i/>
          <w:iCs/>
        </w:rPr>
        <w:t>Do not wait for confirmation from the Ultrasound Reading Center.</w:t>
      </w:r>
      <w:r>
        <w:rPr/>
        <w:t xml:space="preserve"> The scan will not be reviewed until at least a week later. The readers and the project manager are not qualified to provide any sort of diagnostic report.</w:t>
      </w:r>
    </w:p>
    <w:p>
      <w:pPr>
        <w:pStyle w:val="Number11"/>
        <w:rPr/>
      </w:pPr>
      <w:r>
        <w:rPr/>
      </w:r>
    </w:p>
    <w:p>
      <w:pPr>
        <w:pStyle w:val="Number1"/>
        <w:rPr/>
      </w:pPr>
      <w:r>
        <w:rPr/>
        <w:tab/>
        <w:t xml:space="preserve">9. </w:t>
        <w:tab/>
      </w:r>
      <w:r>
        <w:rPr>
          <w:u w:val="single"/>
        </w:rPr>
        <w:t xml:space="preserve">A </w:t>
      </w:r>
      <w:r>
        <w:rPr>
          <w:i/>
          <w:u w:val="single"/>
        </w:rPr>
        <w:t xml:space="preserve">Good </w:t>
      </w:r>
      <w:r>
        <w:rPr>
          <w:u w:val="single"/>
        </w:rPr>
        <w:t>Carotid Ultrasound Image</w:t>
      </w:r>
    </w:p>
    <w:p>
      <w:pPr>
        <w:pStyle w:val="Normal"/>
        <w:rPr/>
      </w:pPr>
      <w:r>
        <w:rPr/>
      </w:r>
    </w:p>
    <w:p>
      <w:pPr>
        <w:pStyle w:val="Number11"/>
        <w:rPr/>
      </w:pPr>
      <w:r>
        <w:rPr/>
        <w:tab/>
        <w:t>9.1</w:t>
        <w:tab/>
        <w:t>Wall boundaries can be demonstrated with high-resolution ultrasound imaging. They appear as two parallel echogenic lines separated by a hypoechoic space in longitudinal views of the carotid arteries. The artery walls are usually best observed in the common carotid artery where the vessel courses parallel to the skin surface and thus presents a target which is at a right angle to the ultrasound beam.</w:t>
      </w:r>
    </w:p>
    <w:p>
      <w:pPr>
        <w:pStyle w:val="Number11"/>
        <w:rPr/>
      </w:pPr>
      <w:r>
        <w:rPr/>
      </w:r>
    </w:p>
    <w:p>
      <w:pPr>
        <w:pStyle w:val="Number11"/>
        <w:rPr/>
      </w:pPr>
      <w:r>
        <w:rPr/>
        <w:tab/>
        <w:t>9.2</w:t>
        <w:tab/>
        <w:t xml:space="preserve">The first echo along the far wall is derived from the lumen-intima interface and the second, normally brighter, echo along the far wall originates from the media-adventitia interface. Between these interfaces lies the media, which appears as an echolucent zone. The distance between the first two lines corresponds to the combined thickness of the intima and media. Because of its collagen content the adventitia is quite echogenic and appears as a bright zone highlighted along its inner margin by the media. However the periadventia, depending on location, is composed of loose areolar tissue and in most instances is echolucent. </w:t>
      </w:r>
    </w:p>
    <w:p>
      <w:pPr>
        <w:pStyle w:val="Number11"/>
        <w:rPr/>
      </w:pPr>
      <w:r>
        <w:rPr/>
      </w:r>
    </w:p>
    <w:p>
      <w:pPr>
        <w:pStyle w:val="Number11"/>
        <w:rPr/>
      </w:pPr>
      <w:r>
        <w:rPr/>
        <w:tab/>
        <w:tab/>
      </w:r>
      <w:r>
        <w:rPr>
          <w:b/>
          <w:bCs/>
        </w:rPr>
        <w:t xml:space="preserve">Common Carotid Image </w:t>
      </w:r>
    </w:p>
    <w:p>
      <w:pPr>
        <w:pStyle w:val="Number11"/>
        <w:rPr>
          <w:b/>
          <w:b/>
          <w:bCs/>
        </w:rPr>
      </w:pPr>
      <w:r>
        <w:rPr>
          <w:b/>
          <w:bCs/>
        </w:rPr>
      </w:r>
    </w:p>
    <w:p>
      <w:pPr>
        <w:pStyle w:val="Number11"/>
        <w:rPr>
          <w:b/>
          <w:b/>
          <w:bCs/>
        </w:rPr>
      </w:pPr>
      <w:r>
        <w:rPr/>
        <w:drawing>
          <wp:inline distT="0" distB="0" distL="0" distR="0">
            <wp:extent cx="4352925" cy="2237105"/>
            <wp:effectExtent l="0" t="0" r="0" b="0"/>
            <wp:docPr id="3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descr=""/>
                    <pic:cNvPicPr>
                      <a:picLocks noChangeAspect="1" noChangeArrowheads="1"/>
                    </pic:cNvPicPr>
                  </pic:nvPicPr>
                  <pic:blipFill>
                    <a:blip r:embed="rId155"/>
                    <a:srcRect l="-8" t="-16" r="-8" b="-16"/>
                    <a:stretch>
                      <a:fillRect/>
                    </a:stretch>
                  </pic:blipFill>
                  <pic:spPr bwMode="auto">
                    <a:xfrm>
                      <a:off x="0" y="0"/>
                      <a:ext cx="4352925" cy="2237105"/>
                    </a:xfrm>
                    <a:prstGeom prst="rect">
                      <a:avLst/>
                    </a:prstGeom>
                  </pic:spPr>
                </pic:pic>
              </a:graphicData>
            </a:graphic>
          </wp:inline>
        </w:drawing>
      </w:r>
    </w:p>
    <w:p>
      <w:pPr>
        <w:pStyle w:val="Number11"/>
        <w:rPr>
          <w:b/>
          <w:b/>
          <w:bCs/>
        </w:rPr>
      </w:pPr>
      <w:r>
        <w:rPr>
          <w:b/>
          <w:bCs/>
        </w:rPr>
      </w:r>
    </w:p>
    <w:p>
      <w:pPr>
        <w:pStyle w:val="Number11"/>
        <w:rPr/>
      </w:pPr>
      <w:r>
        <w:rPr/>
      </w:r>
    </w:p>
    <w:p>
      <w:pPr>
        <w:pStyle w:val="Number11"/>
        <w:rPr/>
      </w:pPr>
      <w:r>
        <w:rPr/>
        <w:tab/>
        <w:tab/>
      </w:r>
      <w:r>
        <w:rPr>
          <w:b/>
          <w:bCs/>
        </w:rPr>
        <w:t>Internal Carotid Image</w:t>
      </w:r>
    </w:p>
    <w:p>
      <w:pPr>
        <w:pStyle w:val="Number11"/>
        <w:rPr>
          <w:b/>
          <w:b/>
          <w:bCs/>
        </w:rPr>
      </w:pPr>
      <w:r>
        <w:rPr>
          <w:b/>
          <w:bCs/>
        </w:rPr>
      </w:r>
    </w:p>
    <w:p>
      <w:pPr>
        <w:pStyle w:val="Number11"/>
        <w:rPr/>
      </w:pPr>
      <w:r>
        <w:rPr/>
        <w:drawing>
          <wp:inline distT="0" distB="0" distL="0" distR="0">
            <wp:extent cx="4470400" cy="2235200"/>
            <wp:effectExtent l="0" t="0" r="0" b="0"/>
            <wp:docPr id="3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descr=""/>
                    <pic:cNvPicPr>
                      <a:picLocks noChangeAspect="1" noChangeArrowheads="1"/>
                    </pic:cNvPicPr>
                  </pic:nvPicPr>
                  <pic:blipFill>
                    <a:blip r:embed="rId156"/>
                    <a:srcRect l="-8" t="-16" r="-8" b="-16"/>
                    <a:stretch>
                      <a:fillRect/>
                    </a:stretch>
                  </pic:blipFill>
                  <pic:spPr bwMode="auto">
                    <a:xfrm>
                      <a:off x="0" y="0"/>
                      <a:ext cx="4470400" cy="2235200"/>
                    </a:xfrm>
                    <a:prstGeom prst="rect">
                      <a:avLst/>
                    </a:prstGeom>
                  </pic:spPr>
                </pic:pic>
              </a:graphicData>
            </a:graphic>
          </wp:inline>
        </w:drawing>
      </w:r>
    </w:p>
    <w:p>
      <w:pPr>
        <w:pStyle w:val="Number11"/>
        <w:rPr/>
      </w:pPr>
      <w:r>
        <w:rPr/>
        <w:tab/>
      </w:r>
    </w:p>
    <w:p>
      <w:pPr>
        <w:pStyle w:val="Number11"/>
        <w:rPr/>
      </w:pPr>
      <w:r>
        <w:rPr/>
      </w:r>
    </w:p>
    <w:p>
      <w:pPr>
        <w:pStyle w:val="Number11"/>
        <w:rPr/>
      </w:pPr>
      <w:r>
        <w:rPr/>
        <w:tab/>
        <w:t>9.3</w:t>
        <w:tab/>
        <w:t xml:space="preserve">It is more difficult to image the interfaces when the near and far walls of the vessels are curvi-linear and not at right angles to the ultrasound beam. In the carotid bulb, where the walls flare, only short wall segments may be seen on any single frame. This same phenomenon is observed in the proximal portion of the internal carotid artery when the walls are not parallel and hence sub-optimally visualized. Other causes for loss of wall interfaces that are not related to scanning technique are the presence of plaques and the presence of fat in the arterial wall. The interfaces can also be seen along the near wall but the lines may be disrupted and the echoes weaker because the ultrasound beam is passing from tissue to fluid. At times, it is impossible to maximize both the near wall and far wall interfaces on the same image. On such occasions the priorities are to first optimize lesion, second the far wall, and third the near wall. </w:t>
      </w:r>
      <w:r>
        <w:rPr>
          <w:i/>
        </w:rPr>
        <w:t>Lesion</w:t>
      </w:r>
      <w:r>
        <w:rPr/>
        <w:t xml:space="preserve"> refers to the site of maximum single wall thickness, near or far wall.</w:t>
      </w:r>
    </w:p>
    <w:p>
      <w:pPr>
        <w:pStyle w:val="Number11"/>
        <w:rPr/>
      </w:pPr>
      <w:r>
        <w:rPr/>
      </w:r>
    </w:p>
    <w:p>
      <w:pPr>
        <w:pStyle w:val="Number11"/>
        <w:rPr/>
      </w:pPr>
      <w:r>
        <w:rPr/>
        <w:tab/>
        <w:t>9.4</w:t>
        <w:tab/>
        <w:t xml:space="preserve">The very earliest changes that can be seen in the arterial wall indicating the onset of atherosclerosis are fatty streaks. It is not clear that this finding can be detected by ultrasound. Fat is weakly echogenic and would not be expected to generate a signal. Picano et al. pointed out that the gaps seen in the lumen-intima interface, the "first interface" of the double line echo pattern along the far wall in a study of 75 fresh human aorta specimens might be a reflection of the presence of fatty plaques. However, such breaks may be present for multiple other reasons, including less than optimal scanning technique. </w:t>
      </w:r>
    </w:p>
    <w:p>
      <w:pPr>
        <w:pStyle w:val="Number11"/>
        <w:rPr/>
      </w:pPr>
      <w:r>
        <w:rPr/>
      </w:r>
    </w:p>
    <w:p>
      <w:pPr>
        <w:pStyle w:val="Number11"/>
        <w:rPr/>
      </w:pPr>
      <w:r>
        <w:rPr/>
        <w:tab/>
        <w:t>9.5</w:t>
        <w:tab/>
        <w:t>The first definite abnormality that can be detected by B-mode is intimal-medial thickening. As progressive development of atherosclerotic lesions occur, there is an increase in the error of estimating anatomic abnormalities because acoustical shadowing is often present with large lesions. Doppler, on the other hand, becomes progressively more accurate with increasing levels of disease. The Ultrasound Reading Center uses both grayscale imaging information and Doppler to compile a complete lesion profile for each carotid artery. It is important that both portions of the examination be done well.</w:t>
      </w:r>
    </w:p>
    <w:p>
      <w:pPr>
        <w:pStyle w:val="Romanbold"/>
        <w:rPr>
          <w:b w:val="false"/>
          <w:b w:val="false"/>
          <w:bCs w:val="false"/>
          <w:caps w:val="false"/>
          <w:smallCaps w:val="false"/>
        </w:rPr>
      </w:pPr>
      <w:r>
        <w:rPr>
          <w:b w:val="false"/>
          <w:bCs w:val="false"/>
          <w:caps w:val="false"/>
          <w:smallCaps w:val="false"/>
        </w:rPr>
      </w:r>
    </w:p>
    <w:p>
      <w:pPr>
        <w:pStyle w:val="Romanbold"/>
        <w:rPr/>
      </w:pPr>
      <w:r>
        <w:rPr>
          <w:caps w:val="false"/>
          <w:smallCaps w:val="false"/>
        </w:rPr>
        <w:tab/>
        <w:t>II.</w:t>
        <w:tab/>
      </w:r>
      <w:r>
        <w:rPr/>
        <w:t>Overview of Carotid Ultrasound Analysis Protocol</w:t>
      </w:r>
    </w:p>
    <w:p>
      <w:pPr>
        <w:pStyle w:val="Normal"/>
        <w:rPr/>
      </w:pPr>
      <w:r>
        <w:rPr/>
      </w:r>
    </w:p>
    <w:p>
      <w:pPr>
        <w:pStyle w:val="Number1"/>
        <w:rPr/>
      </w:pPr>
      <w:r>
        <w:rPr/>
        <w:tab/>
        <w:t>1.</w:t>
        <w:tab/>
      </w:r>
      <w:r>
        <w:rPr>
          <w:u w:val="single"/>
        </w:rPr>
        <w:t>Preview and Digitization of a Carotid Ultrasound Study</w:t>
      </w:r>
    </w:p>
    <w:p>
      <w:pPr>
        <w:pStyle w:val="Normal"/>
        <w:rPr/>
      </w:pPr>
      <w:r>
        <w:rPr/>
      </w:r>
    </w:p>
    <w:p>
      <w:pPr>
        <w:pStyle w:val="Number11"/>
        <w:rPr/>
      </w:pPr>
      <w:r>
        <w:rPr/>
        <w:tab/>
        <w:t>1.1</w:t>
        <w:tab/>
        <w:t xml:space="preserve">The first thing the reader does when analyzing a carotid ultrasound scan is to read the sonographer’s comments on the log sheet and preview the videotape of the entire study. Through the preview process the reader learns of any unusual situations specific to the study, such as images videotaped out of the standard order. Carotid system structures are identified: the common carotid artery, the carotid bulb, the internal carotid artery, and if visible the external carotid artery. The site where the interfaces are most clearly imaged is identified in both the common carotid and non-diseased internal/bulb images. If there is disease in the internal/bulb, the site of the largest lesion is determined. In addition, the pulse wave Doppler measurements are assessed. </w:t>
      </w:r>
    </w:p>
    <w:p>
      <w:pPr>
        <w:pStyle w:val="Number11"/>
        <w:rPr/>
      </w:pPr>
      <w:r>
        <w:rPr/>
      </w:r>
    </w:p>
    <w:p>
      <w:pPr>
        <w:pStyle w:val="Number11"/>
        <w:rPr/>
      </w:pPr>
      <w:r>
        <w:rPr/>
        <w:tab/>
        <w:t>1.2</w:t>
        <w:tab/>
        <w:t>After previewing the videotape, the images are digitized. The computer-based ultrasound image analysis system combines the digitization and analysis functions. The program is designed to permit the user to immediately proceed with the analysis after digitizing a study.</w:t>
      </w:r>
    </w:p>
    <w:p>
      <w:pPr>
        <w:pStyle w:val="Number11"/>
        <w:rPr/>
      </w:pPr>
      <w:r>
        <w:rPr/>
      </w:r>
    </w:p>
    <w:p>
      <w:pPr>
        <w:pStyle w:val="Number1"/>
        <w:rPr/>
      </w:pPr>
      <w:r>
        <w:rPr/>
        <w:tab/>
        <w:t>2.</w:t>
        <w:tab/>
      </w:r>
      <w:r>
        <w:rPr>
          <w:u w:val="single"/>
        </w:rPr>
        <w:t>Calibration</w:t>
      </w:r>
    </w:p>
    <w:p>
      <w:pPr>
        <w:pStyle w:val="Number1body"/>
        <w:rPr/>
      </w:pPr>
      <w:r>
        <w:rPr/>
      </w:r>
    </w:p>
    <w:p>
      <w:pPr>
        <w:pStyle w:val="Number1body"/>
        <w:rPr>
          <w:b/>
          <w:b/>
        </w:rPr>
      </w:pPr>
      <w:r>
        <w:rPr/>
        <w:t xml:space="preserve">The first step in carotid image analysis is calibration. It is necessary to calibrate each ultrasound image in order to convert the computer unit, pixels, to "real world" units, centimeters. To calibrate an image the reader positions the calibration tool such that it demarcates the 1-cm distance between two calibration marks. Readers assume that the magnification level does not change within a Carotid IMT scan. </w:t>
      </w:r>
    </w:p>
    <w:p>
      <w:pPr>
        <w:pStyle w:val="Number1body"/>
        <w:rPr>
          <w:b/>
          <w:b/>
        </w:rPr>
      </w:pPr>
      <w:r>
        <w:rPr>
          <w:b/>
        </w:rPr>
      </w:r>
    </w:p>
    <w:p>
      <w:pPr>
        <w:pStyle w:val="Number1"/>
        <w:rPr/>
      </w:pPr>
      <w:r>
        <w:rPr/>
        <w:tab/>
        <w:t>3.</w:t>
        <w:tab/>
      </w:r>
      <w:r>
        <w:rPr>
          <w:u w:val="single"/>
        </w:rPr>
        <w:t>The Interfaces</w:t>
      </w:r>
    </w:p>
    <w:p>
      <w:pPr>
        <w:pStyle w:val="Normal"/>
        <w:rPr/>
      </w:pPr>
      <w:r>
        <w:rPr/>
      </w:r>
    </w:p>
    <w:p>
      <w:pPr>
        <w:pStyle w:val="Number11"/>
        <w:rPr/>
      </w:pPr>
      <w:r>
        <w:rPr/>
        <w:tab/>
        <w:t>3.1</w:t>
        <w:tab/>
        <w:t xml:space="preserve">The reader’s goal is to draw all six of the lines as shown on the each carotid artery image. The figure below demonstrates the anatomy of the carotid artery in the longitudinal perspective and the correspondence of the vessel layers to the line numbers used by the ultrasound image analysis program. </w:t>
      </w:r>
    </w:p>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5077460" cy="2214245"/>
            <wp:effectExtent l="0" t="0" r="0" b="0"/>
            <wp:docPr id="3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 descr=""/>
                    <pic:cNvPicPr>
                      <a:picLocks noChangeAspect="1" noChangeArrowheads="1"/>
                    </pic:cNvPicPr>
                  </pic:nvPicPr>
                  <pic:blipFill>
                    <a:blip r:embed="rId157"/>
                    <a:srcRect l="-7" t="-15" r="-7" b="-15"/>
                    <a:stretch>
                      <a:fillRect/>
                    </a:stretch>
                  </pic:blipFill>
                  <pic:spPr bwMode="auto">
                    <a:xfrm>
                      <a:off x="0" y="0"/>
                      <a:ext cx="5077460" cy="2214245"/>
                    </a:xfrm>
                    <a:prstGeom prst="rect">
                      <a:avLst/>
                    </a:prstGeom>
                  </pic:spPr>
                </pic:pic>
              </a:graphicData>
            </a:graphic>
          </wp:inline>
        </w:drawing>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3.2</w:t>
        <w:tab/>
        <w:t>The correspondence between the line numbers and the interfaces are defined:</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6082" w:type="dxa"/>
        <w:jc w:val="center"/>
        <w:tblInd w:w="0" w:type="dxa"/>
        <w:tblLayout w:type="fixed"/>
        <w:tblCellMar>
          <w:top w:w="0" w:type="dxa"/>
          <w:left w:w="108" w:type="dxa"/>
          <w:bottom w:w="0" w:type="dxa"/>
          <w:right w:w="108" w:type="dxa"/>
        </w:tblCellMar>
      </w:tblPr>
      <w:tblGrid>
        <w:gridCol w:w="1220"/>
        <w:gridCol w:w="3"/>
        <w:gridCol w:w="1347"/>
        <w:gridCol w:w="2"/>
        <w:gridCol w:w="3508"/>
        <w:gridCol w:w="2"/>
      </w:tblGrid>
      <w:tr>
        <w:trPr/>
        <w:tc>
          <w:tcPr>
            <w:tcW w:w="1220" w:type="dxa"/>
            <w:tcBorders>
              <w:top w:val="single" w:sz="4" w:space="0" w:color="000000"/>
              <w:left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Wall</w:t>
            </w:r>
          </w:p>
        </w:tc>
        <w:tc>
          <w:tcPr>
            <w:tcW w:w="1350" w:type="dxa"/>
            <w:gridSpan w:val="2"/>
            <w:tcBorders>
              <w:top w:val="single" w:sz="4" w:space="0" w:color="000000"/>
              <w:left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Line Number</w:t>
            </w:r>
          </w:p>
        </w:tc>
        <w:tc>
          <w:tcPr>
            <w:tcW w:w="3510" w:type="dxa"/>
            <w:gridSpan w:val="2"/>
            <w:tcBorders>
              <w:top w:val="single" w:sz="4" w:space="0" w:color="000000"/>
              <w:left w:val="single" w:sz="4" w:space="0" w:color="000000"/>
              <w:bottom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Interface</w:t>
            </w:r>
          </w:p>
        </w:tc>
      </w:tr>
      <w:tr>
        <w:trPr>
          <w:trHeight w:val="240" w:hRule="exact"/>
        </w:trPr>
        <w:tc>
          <w:tcPr>
            <w:tcW w:w="1220" w:type="dxa"/>
            <w:tcBorders>
              <w:top w:val="single" w:sz="4" w:space="0" w:color="000000"/>
              <w:left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350"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1</w:t>
            </w:r>
          </w:p>
        </w:tc>
        <w:tc>
          <w:tcPr>
            <w:tcW w:w="3510" w:type="dxa"/>
            <w:gridSpan w:val="2"/>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Adventitia – Periadventitia</w:t>
            </w:r>
          </w:p>
        </w:tc>
      </w:tr>
      <w:tr>
        <w:trPr>
          <w:trHeight w:val="240" w:hRule="exact"/>
          <w:cantSplit w:val="true"/>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2</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Media – Adventitia</w:t>
            </w:r>
          </w:p>
        </w:tc>
      </w:tr>
      <w:tr>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3</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 – Intima</w:t>
            </w:r>
          </w:p>
        </w:tc>
      </w:tr>
      <w:tr>
        <w:trPr/>
        <w:tc>
          <w:tcPr>
            <w:tcW w:w="1223" w:type="dxa"/>
            <w:gridSpan w:val="2"/>
            <w:tcBorders>
              <w:top w:val="single" w:sz="4" w:space="0" w:color="000000"/>
              <w:left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4</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 - Intima</w:t>
            </w:r>
          </w:p>
        </w:tc>
      </w:tr>
      <w:tr>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5</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Media – Adventitia</w:t>
            </w:r>
          </w:p>
        </w:tc>
      </w:tr>
      <w:tr>
        <w:trPr/>
        <w:tc>
          <w:tcPr>
            <w:tcW w:w="1223" w:type="dxa"/>
            <w:gridSpan w:val="2"/>
            <w:tcBorders>
              <w:left w:val="single" w:sz="4" w:space="0" w:color="000000"/>
              <w:bottom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6</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Adventitia – Periadventitia</w:t>
            </w:r>
          </w:p>
        </w:tc>
      </w:tr>
    </w:tbl>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3.3</w:t>
        <w:tab/>
        <w:t xml:space="preserve">Measurements from carotid study images are made from the six lines drawn on the image. The lines are drawn with the stylus pen and are approximately 1-cm long. In the common carotid view, the measurements are taken in the 1-cm segment proximal to the bulb. The common carotid view is the </w:t>
      </w:r>
      <w:r>
        <w:rPr>
          <w:u w:val="single"/>
        </w:rPr>
        <w:t>only</w:t>
      </w:r>
      <w:r>
        <w:rPr/>
        <w:t xml:space="preserve"> view from which measurements are made in the common carotid artery. It is a relatively simple task for a trained reader to draw the lines on a high quality image of a healthy artery. It is more difficult to analyze diseased arteries. </w:t>
      </w:r>
    </w:p>
    <w:p>
      <w:pPr>
        <w:pStyle w:val="Normal"/>
        <w:rPr/>
      </w:pPr>
      <w:r>
        <w:rPr/>
      </w:r>
    </w:p>
    <w:p>
      <w:pPr>
        <w:pStyle w:val="Number11"/>
        <w:rPr/>
      </w:pPr>
      <w:r>
        <w:rPr/>
        <w:tab/>
        <w:t>3.4</w:t>
        <w:tab/>
        <w:t>The measurements are that are made are of the near wall, far wall, vessel width and lumen. The measurement algorithm calculates the distance between pairs of lines and reports the minimum, maximum and average (and standard deviation) values. The vessel structures are defined by the lines pairs as follows:</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4500" w:type="dxa"/>
        <w:jc w:val="center"/>
        <w:tblInd w:w="0" w:type="dxa"/>
        <w:tblLayout w:type="fixed"/>
        <w:tblCellMar>
          <w:top w:w="0" w:type="dxa"/>
          <w:left w:w="108" w:type="dxa"/>
          <w:bottom w:w="0" w:type="dxa"/>
          <w:right w:w="108" w:type="dxa"/>
        </w:tblCellMar>
      </w:tblPr>
      <w:tblGrid>
        <w:gridCol w:w="3060"/>
        <w:gridCol w:w="1440"/>
      </w:tblGrid>
      <w:tr>
        <w:trPr/>
        <w:tc>
          <w:tcPr>
            <w:tcW w:w="306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Vessel Structure</w:t>
            </w:r>
          </w:p>
        </w:tc>
        <w:tc>
          <w:tcPr>
            <w:tcW w:w="144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Line Pair</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2 – 3</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4 – 5</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Vessel Width</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 6 </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3 – 4</w:t>
            </w:r>
          </w:p>
        </w:tc>
      </w:tr>
    </w:tbl>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
        <w:rPr/>
      </w:pPr>
      <w:r>
        <w:rPr/>
        <w:tab/>
        <w:t>4.</w:t>
        <w:tab/>
      </w:r>
      <w:r>
        <w:rPr>
          <w:u w:val="single"/>
        </w:rPr>
        <w:t>Priorities</w:t>
      </w:r>
    </w:p>
    <w:p>
      <w:pPr>
        <w:pStyle w:val="Normal"/>
        <w:rPr/>
      </w:pPr>
      <w:r>
        <w:rPr/>
      </w:r>
    </w:p>
    <w:p>
      <w:pPr>
        <w:pStyle w:val="Number11"/>
        <w:rPr/>
      </w:pPr>
      <w:r>
        <w:rPr/>
        <w:tab/>
        <w:t>4.1</w:t>
        <w:tab/>
        <w:t>The goal is to draw six lines on each carotid image. Due to varying degrees of image quality, which is highly dependent upon sonographer skill and subject anatomy, it will not always be possible to draw all six lines. It is, therefore, necessary to set priorities. The physics of ultrasound make the far wall is easier to image. The far wall interfaces will typically be more distinct than those of the near wall. Thus the far wall data set will be more complete and therefore be considered most important. Wall thickness is of greater importance than vessel thickness because this is a study of atherosclerosis.</w:t>
      </w:r>
    </w:p>
    <w:p>
      <w:pPr>
        <w:pStyle w:val="Number11"/>
        <w:rPr/>
      </w:pPr>
      <w:r>
        <w:rPr/>
      </w:r>
    </w:p>
    <w:p>
      <w:pPr>
        <w:pStyle w:val="Number11"/>
        <w:rPr/>
      </w:pPr>
      <w:r>
        <w:rPr/>
        <w:tab/>
        <w:t>4.2</w:t>
        <w:tab/>
        <w:t>The carotid ultrasound analysis priorities in order of importance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3600" w:type="dxa"/>
        <w:jc w:val="center"/>
        <w:tblInd w:w="0" w:type="dxa"/>
        <w:tblLayout w:type="fixed"/>
        <w:tblCellMar>
          <w:top w:w="0" w:type="dxa"/>
          <w:left w:w="108" w:type="dxa"/>
          <w:bottom w:w="0" w:type="dxa"/>
          <w:right w:w="108" w:type="dxa"/>
        </w:tblCellMar>
      </w:tblPr>
      <w:tblGrid>
        <w:gridCol w:w="2160"/>
        <w:gridCol w:w="1440"/>
      </w:tblGrid>
      <w:tr>
        <w:trPr/>
        <w:tc>
          <w:tcPr>
            <w:tcW w:w="216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Measurement</w:t>
            </w:r>
          </w:p>
        </w:tc>
        <w:tc>
          <w:tcPr>
            <w:tcW w:w="144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Line Pair</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4 – 5</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2 – 3</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Vessel Width</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1 – 6</w:t>
            </w:r>
          </w:p>
        </w:tc>
      </w:tr>
    </w:tbl>
    <w:p>
      <w:pPr>
        <w:pStyle w:val="Heading3"/>
        <w:rPr/>
      </w:pPr>
      <w:r>
        <w:rPr/>
      </w:r>
    </w:p>
    <w:p>
      <w:pPr>
        <w:pStyle w:val="Number1"/>
        <w:rPr/>
      </w:pPr>
      <w:r>
        <w:rPr/>
        <w:tab/>
        <w:t>5.</w:t>
        <w:tab/>
      </w:r>
      <w:r>
        <w:rPr>
          <w:u w:val="single"/>
        </w:rPr>
        <w:t>Image Quality Scores</w:t>
      </w:r>
    </w:p>
    <w:p>
      <w:pPr>
        <w:pStyle w:val="Normal"/>
        <w:rPr/>
      </w:pPr>
      <w:r>
        <w:rPr/>
      </w:r>
    </w:p>
    <w:p>
      <w:pPr>
        <w:pStyle w:val="Number11"/>
        <w:rPr/>
      </w:pPr>
      <w:r>
        <w:rPr/>
        <w:tab/>
        <w:t>5.1</w:t>
        <w:tab/>
        <w:t>An image quality score is assigned to every analyzed image. This score is based on the quality of the image and the reader’s confidence that the lines drawn represent the true interfaces. Although the score is subjective, the following is a loose guideline for scoring the common and non-diseased internal carotid arteries. Note that the criterion used to assign a quality score to a diseased vessel differs slightly from that of a healthy vessel</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5.2</w:t>
        <w:tab/>
        <w:t>Common &amp; Healthy Internal Arteries</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Unacceptable: only one or no lines drawn.</w:t>
      </w:r>
    </w:p>
    <w:p>
      <w:pPr>
        <w:pStyle w:val="Number11bodybullet"/>
        <w:rPr/>
      </w:pPr>
      <w:r>
        <w:rPr/>
        <w:tab/>
      </w:r>
      <w:r>
        <w:rPr>
          <w:rFonts w:eastAsia="Symbol" w:cs="Symbol" w:ascii="Symbol" w:hAnsi="Symbol"/>
        </w:rPr>
        <w:t></w:t>
      </w:r>
      <w:r>
        <w:rPr/>
        <w:tab/>
        <w:t>Poor: only two lines, one pair, drawn, giving a lumen measurement (i.e.. 3&amp;4, or 2&amp;5) or vessel width (i.e.. 1&amp;6)</w:t>
      </w:r>
    </w:p>
    <w:p>
      <w:pPr>
        <w:pStyle w:val="Number11bodybullet"/>
        <w:rPr/>
      </w:pPr>
      <w:r>
        <w:rPr/>
        <w:tab/>
      </w:r>
      <w:r>
        <w:rPr>
          <w:rFonts w:eastAsia="Symbol" w:cs="Symbol" w:ascii="Symbol" w:hAnsi="Symbol"/>
        </w:rPr>
        <w:t></w:t>
      </w:r>
      <w:r>
        <w:rPr/>
        <w:tab/>
        <w:t>Acceptable: only two or three lines on either near or far wall with an opposing line (lumen measurement).</w:t>
      </w:r>
    </w:p>
    <w:p>
      <w:pPr>
        <w:pStyle w:val="Number11bodybullet"/>
        <w:rPr/>
      </w:pPr>
      <w:r>
        <w:rPr/>
        <w:tab/>
      </w:r>
      <w:r>
        <w:rPr>
          <w:rFonts w:eastAsia="Symbol" w:cs="Symbol" w:ascii="Symbol" w:hAnsi="Symbol"/>
        </w:rPr>
        <w:t></w:t>
      </w:r>
      <w:r>
        <w:rPr/>
        <w:tab/>
        <w:t>Very Good: all six lines drawn, all measurements made.</w:t>
      </w:r>
    </w:p>
    <w:p>
      <w:pPr>
        <w:pStyle w:val="Number11bodybullet"/>
        <w:rPr/>
      </w:pPr>
      <w:r>
        <w:rPr/>
        <w:tab/>
      </w:r>
      <w:r>
        <w:rPr>
          <w:rFonts w:eastAsia="Symbol" w:cs="Symbol" w:ascii="Symbol" w:hAnsi="Symbol"/>
        </w:rPr>
        <w:t></w:t>
      </w:r>
      <w:r>
        <w:rPr/>
        <w:tab/>
        <w:t>Excellent: all six lines clearly visualized and easily drawn, with good gain and positioning.</w:t>
      </w:r>
    </w:p>
    <w:p>
      <w:pPr>
        <w:pStyle w:val="Normal"/>
        <w:rPr/>
      </w:pPr>
      <w:r>
        <w:rPr/>
      </w:r>
    </w:p>
    <w:p>
      <w:pPr>
        <w:pStyle w:val="Number11"/>
        <w:rPr/>
      </w:pPr>
      <w:r>
        <w:rPr/>
        <w:tab/>
        <w:t>5.3</w:t>
        <w:tab/>
        <w:t>Atherosclerotic Carotid Arteries</w:t>
      </w:r>
    </w:p>
    <w:p>
      <w:pPr>
        <w:pStyle w:val="Number11bodybullet"/>
        <w:rPr/>
      </w:pPr>
      <w:r>
        <w:rPr/>
      </w:r>
    </w:p>
    <w:p>
      <w:pPr>
        <w:pStyle w:val="Number11bodybullet"/>
        <w:rPr/>
      </w:pPr>
      <w:r>
        <w:rPr/>
        <w:tab/>
      </w:r>
      <w:r>
        <w:rPr>
          <w:rFonts w:eastAsia="Symbol" w:cs="Symbol" w:ascii="Symbol" w:hAnsi="Symbol"/>
        </w:rPr>
        <w:t></w:t>
      </w:r>
      <w:r>
        <w:rPr/>
        <w:tab/>
        <w:t>Unacceptable: only one or no lines drawn.</w:t>
      </w:r>
    </w:p>
    <w:p>
      <w:pPr>
        <w:pStyle w:val="Number11bodybullet"/>
        <w:rPr/>
      </w:pPr>
      <w:r>
        <w:rPr/>
        <w:tab/>
      </w:r>
      <w:r>
        <w:rPr>
          <w:rFonts w:eastAsia="Symbol" w:cs="Symbol" w:ascii="Symbol" w:hAnsi="Symbol"/>
        </w:rPr>
        <w:t></w:t>
      </w:r>
      <w:r>
        <w:rPr/>
        <w:tab/>
        <w:t>Poor: only two lines, one pair, drawn, yielding a lumen measurement (i.e.. 3&amp;4, or 2&amp;5) or vessel width (i.e.. 1&amp;6) or can draw lines on wall opposing the lesion but no lesion measurement can be made.</w:t>
      </w:r>
    </w:p>
    <w:p>
      <w:pPr>
        <w:pStyle w:val="Number11bodybullet"/>
        <w:rPr/>
      </w:pPr>
      <w:r>
        <w:rPr/>
        <w:tab/>
      </w:r>
      <w:r>
        <w:rPr>
          <w:rFonts w:eastAsia="Symbol" w:cs="Symbol" w:ascii="Symbol" w:hAnsi="Symbol"/>
        </w:rPr>
        <w:t></w:t>
      </w:r>
      <w:r>
        <w:rPr/>
        <w:tab/>
        <w:t>Acceptable: four to five lines drawn, lesion traceable but not clearly defined, with at least one posing line.</w:t>
      </w:r>
    </w:p>
    <w:p>
      <w:pPr>
        <w:pStyle w:val="Number11bodybullet"/>
        <w:rPr/>
      </w:pPr>
      <w:r>
        <w:rPr/>
        <w:tab/>
      </w:r>
      <w:r>
        <w:rPr>
          <w:rFonts w:eastAsia="Symbol" w:cs="Symbol" w:ascii="Symbol" w:hAnsi="Symbol"/>
        </w:rPr>
        <w:t></w:t>
      </w:r>
      <w:r>
        <w:rPr/>
        <w:tab/>
        <w:t>Very good: all six lines drawn, lesion clearly defined, with opposing line.</w:t>
      </w:r>
    </w:p>
    <w:p>
      <w:pPr>
        <w:pStyle w:val="Number11bodybullet"/>
        <w:rPr/>
      </w:pPr>
      <w:r>
        <w:rPr/>
        <w:tab/>
      </w:r>
      <w:r>
        <w:rPr>
          <w:rFonts w:eastAsia="Symbol" w:cs="Symbol" w:ascii="Symbol" w:hAnsi="Symbol"/>
        </w:rPr>
        <w:t></w:t>
      </w:r>
      <w:r>
        <w:rPr/>
        <w:tab/>
        <w:t>Excellent: lesion clearly defined, with opposing wall measurement, lines are easily drawn and the image has good gain and positioning.</w:t>
      </w:r>
    </w:p>
    <w:p>
      <w:pPr>
        <w:pStyle w:val="Number11bodybullet"/>
        <w:rPr/>
      </w:pPr>
      <w:r>
        <w:rPr/>
      </w:r>
    </w:p>
    <w:p>
      <w:pPr>
        <w:pStyle w:val="Number1"/>
        <w:rPr/>
      </w:pPr>
      <w:r>
        <w:rPr/>
        <w:tab/>
        <w:t>6.</w:t>
        <w:tab/>
      </w:r>
      <w:r>
        <w:rPr>
          <w:u w:val="single"/>
        </w:rPr>
        <w:t>Subjective Assessment</w:t>
      </w:r>
    </w:p>
    <w:p>
      <w:pPr>
        <w:pStyle w:val="Contents1"/>
        <w:rPr>
          <w:u w:val="single"/>
        </w:rPr>
      </w:pPr>
      <w:r>
        <w:rPr>
          <w:u w:val="single"/>
        </w:rPr>
      </w:r>
    </w:p>
    <w:p>
      <w:pPr>
        <w:pStyle w:val="Number11body"/>
        <w:rPr/>
      </w:pPr>
      <w:r>
        <w:rPr/>
        <w:t>In addition to obtaining measurements of wall thickness, vessel width and lumen the reader characterizes the internal/bulb disease. Lesions in the common carotid artery are not characterized. Assessments are made of the surface, morphology, percent stenosis, location and density. Each characteristic and the categories the Ultrasound Reading Center uses to qualify them are briefly described.</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6.1</w:t>
        <w:tab/>
        <w:t>Surface</w:t>
      </w:r>
    </w:p>
    <w:p>
      <w:pPr>
        <w:pStyle w:val="Number11body"/>
        <w:rPr/>
      </w:pPr>
      <w:r>
        <w:rPr/>
      </w:r>
    </w:p>
    <w:p>
      <w:pPr>
        <w:pStyle w:val="Number11body"/>
        <w:rPr/>
      </w:pPr>
      <w:r>
        <w:rPr/>
        <w:t xml:space="preserve">The surface of the artery or lesion is categorized as </w:t>
      </w:r>
      <w:r>
        <w:rPr>
          <w:u w:val="single"/>
        </w:rPr>
        <w:t>one</w:t>
      </w:r>
      <w:r>
        <w:rPr/>
        <w:t xml:space="preserve"> of the following:</w:t>
      </w:r>
    </w:p>
    <w:p>
      <w:pPr>
        <w:pStyle w:val="Number11bodybullet"/>
        <w:rPr/>
      </w:pPr>
      <w:r>
        <w:rPr/>
      </w:r>
    </w:p>
    <w:p>
      <w:pPr>
        <w:pStyle w:val="Number11bodybullet"/>
        <w:rPr/>
      </w:pPr>
      <w:r>
        <w:rPr/>
        <w:tab/>
      </w:r>
      <w:r>
        <w:rPr>
          <w:rFonts w:eastAsia="Symbol" w:cs="Symbol" w:ascii="Symbol" w:hAnsi="Symbol"/>
        </w:rPr>
        <w:t></w:t>
      </w:r>
      <w:r>
        <w:rPr/>
        <w:tab/>
        <w:t>Smooth - no lesion is present in the artery and the lumen-intima surfaces (lines 3 &amp; 4) are free of irregularities. If there is a lesion present then this category is applicable when the lumen-intima surface (lines 3 &amp; or 4) of the lesion is smooth and free of irregularities.</w:t>
      </w:r>
    </w:p>
    <w:p>
      <w:pPr>
        <w:pStyle w:val="Number11bodybullet"/>
        <w:rPr/>
      </w:pPr>
      <w:r>
        <w:rPr/>
        <w:tab/>
      </w:r>
      <w:r>
        <w:rPr>
          <w:rFonts w:eastAsia="Symbol" w:cs="Symbol" w:ascii="Symbol" w:hAnsi="Symbol"/>
        </w:rPr>
        <w:t></w:t>
      </w:r>
      <w:r>
        <w:rPr/>
        <w:tab/>
        <w:t>Mildly irregular - the lesion has minute surface irregularities.</w:t>
      </w:r>
    </w:p>
    <w:p>
      <w:pPr>
        <w:pStyle w:val="Number11bodybullet"/>
        <w:rPr/>
      </w:pPr>
      <w:r>
        <w:rPr/>
        <w:tab/>
      </w:r>
      <w:r>
        <w:rPr>
          <w:rFonts w:eastAsia="Symbol" w:cs="Symbol" w:ascii="Symbol" w:hAnsi="Symbol"/>
        </w:rPr>
        <w:t></w:t>
      </w:r>
      <w:r>
        <w:rPr/>
        <w:tab/>
        <w:t>Markedly irregular - the lesion has noticeable surface irregularities. This can be best described by saying that the surface is “bumpy” but without a prominent pit or crater.</w:t>
      </w:r>
    </w:p>
    <w:p>
      <w:pPr>
        <w:pStyle w:val="Number11bodybullet"/>
        <w:rPr/>
      </w:pPr>
      <w:r>
        <w:rPr/>
        <w:tab/>
      </w:r>
      <w:r>
        <w:rPr>
          <w:rFonts w:eastAsia="Symbol" w:cs="Symbol" w:ascii="Symbol" w:hAnsi="Symbol"/>
        </w:rPr>
        <w:t></w:t>
      </w:r>
      <w:r>
        <w:rPr/>
        <w:tab/>
        <w:t>Ulcerated - the lesion surface has prominent ulceration, pit(s)or crater(s) that is at least 1mm in depth and is at least 1mm in width. The “back wall” of the lesion, defined as the media-adventitia interface, can be clearly seen at the point of ulceration.</w:t>
      </w:r>
    </w:p>
    <w:p>
      <w:pPr>
        <w:pStyle w:val="Number11bodybullet"/>
        <w:rPr/>
      </w:pPr>
      <w:r>
        <w:rPr/>
        <w:tab/>
      </w:r>
      <w:r>
        <w:rPr>
          <w:rFonts w:eastAsia="Symbol" w:cs="Symbol" w:ascii="Symbol" w:hAnsi="Symbol"/>
        </w:rPr>
        <w:t></w:t>
      </w:r>
      <w:r>
        <w:rPr/>
        <w:tab/>
        <w:t xml:space="preserve">Can’t tell - the surface characteristics of the artery/plaque cannot be determined due to insufficient information (images are unclear or missing). </w:t>
      </w:r>
    </w:p>
    <w:p>
      <w:pPr>
        <w:pStyle w:val="Heading3"/>
        <w:rPr>
          <w:szCs w:val="24"/>
          <w:u w:val="none"/>
        </w:rPr>
      </w:pPr>
      <w:r>
        <w:rPr>
          <w:szCs w:val="24"/>
          <w:u w:val="none"/>
        </w:rPr>
      </w:r>
    </w:p>
    <w:p>
      <w:pPr>
        <w:pStyle w:val="Number11"/>
        <w:rPr/>
      </w:pPr>
      <w:r>
        <w:rPr/>
        <w:tab/>
        <w:t>6.2</w:t>
        <w:tab/>
        <w:t>Morphology</w:t>
      </w:r>
    </w:p>
    <w:p>
      <w:pPr>
        <w:pStyle w:val="Normal"/>
        <w:rPr/>
      </w:pPr>
      <w:r>
        <w:rPr/>
      </w:r>
    </w:p>
    <w:p>
      <w:pPr>
        <w:pStyle w:val="Number11body"/>
        <w:rPr/>
      </w:pPr>
      <w:r>
        <w:rPr/>
        <w:t>The morphology, the form and structural characteristics, of the lesion are categorized as:</w:t>
      </w:r>
    </w:p>
    <w:p>
      <w:pPr>
        <w:pStyle w:val="Number11bodybullet"/>
        <w:rPr/>
      </w:pPr>
      <w:r>
        <w:rPr/>
      </w:r>
    </w:p>
    <w:p>
      <w:pPr>
        <w:pStyle w:val="Number11bodybullet"/>
        <w:rPr/>
      </w:pPr>
      <w:r>
        <w:rPr/>
        <w:tab/>
      </w:r>
      <w:r>
        <w:rPr>
          <w:rFonts w:eastAsia="Symbol" w:cs="Symbol" w:ascii="Symbol" w:hAnsi="Symbol"/>
        </w:rPr>
        <w:t></w:t>
      </w:r>
      <w:r>
        <w:rPr/>
        <w:tab/>
        <w:t>No lesion - no lesion present in either the internal or bulb</w:t>
      </w:r>
    </w:p>
    <w:p>
      <w:pPr>
        <w:pStyle w:val="Number11bodybullet"/>
        <w:rPr/>
      </w:pPr>
      <w:r>
        <w:rPr/>
        <w:tab/>
      </w:r>
      <w:r>
        <w:rPr>
          <w:rFonts w:eastAsia="Symbol" w:cs="Symbol" w:ascii="Symbol" w:hAnsi="Symbol"/>
        </w:rPr>
        <w:t></w:t>
      </w:r>
      <w:r>
        <w:rPr/>
        <w:tab/>
        <w:t>Homogeneous - a lesion that demonstrates an echogenicity that does not vary across its width and thickness.</w:t>
      </w:r>
    </w:p>
    <w:p>
      <w:pPr>
        <w:pStyle w:val="Number11bodybullet"/>
        <w:rPr/>
      </w:pPr>
      <w:r>
        <w:rPr/>
        <w:tab/>
      </w:r>
      <w:r>
        <w:rPr>
          <w:rFonts w:eastAsia="Symbol" w:cs="Symbol" w:ascii="Symbol" w:hAnsi="Symbol"/>
        </w:rPr>
        <w:t></w:t>
      </w:r>
      <w:r>
        <w:rPr/>
        <w:tab/>
        <w:t>Heterogeneous - a lesion with have a mixture of lucent and echogenic zones.</w:t>
      </w:r>
    </w:p>
    <w:p>
      <w:pPr>
        <w:pStyle w:val="Number11bodybullet"/>
        <w:rPr/>
      </w:pPr>
      <w:r>
        <w:rPr/>
        <w:tab/>
      </w:r>
      <w:r>
        <w:rPr>
          <w:rFonts w:eastAsia="Symbol" w:cs="Symbol" w:ascii="Symbol" w:hAnsi="Symbol"/>
        </w:rPr>
        <w:t></w:t>
      </w:r>
      <w:r>
        <w:rPr/>
        <w:tab/>
        <w:t>Can’t tell - the morphology of the plaque cannot be determined due to insufficient information (images are unclear or missing).</w:t>
      </w:r>
    </w:p>
    <w:p>
      <w:pPr>
        <w:pStyle w:val="Number11bodybullet"/>
        <w:rPr/>
      </w:pPr>
      <w:r>
        <w:rPr/>
      </w:r>
    </w:p>
    <w:p>
      <w:pPr>
        <w:pStyle w:val="Number11"/>
        <w:rPr/>
      </w:pPr>
      <w:r>
        <w:rPr/>
        <w:tab/>
        <w:t>6.3</w:t>
        <w:tab/>
        <w:t>Percent Stenosis</w:t>
      </w:r>
    </w:p>
    <w:p>
      <w:pPr>
        <w:pStyle w:val="Normal"/>
        <w:rPr/>
      </w:pPr>
      <w:r>
        <w:rPr/>
      </w:r>
    </w:p>
    <w:p>
      <w:pPr>
        <w:pStyle w:val="Number111"/>
        <w:rPr/>
      </w:pPr>
      <w:r>
        <w:rPr/>
        <w:tab/>
        <w:t>6.31</w:t>
        <w:tab/>
        <w:t xml:space="preserve">All available information is used to determine the percent stenosis. Information sources include digitized images, cine loops and Doppler values. The degree of stenosis is crudely estimated from the images and cine loop as a ratio of artery width. The Doppler value (velocity) which is known to be a more reliable measure is incorporated to refine the estimate. </w:t>
      </w:r>
    </w:p>
    <w:p>
      <w:pPr>
        <w:pStyle w:val="Number111"/>
        <w:rPr/>
      </w:pPr>
      <w:r>
        <w:rPr/>
      </w:r>
    </w:p>
    <w:p>
      <w:pPr>
        <w:pStyle w:val="Number111"/>
        <w:rPr/>
      </w:pPr>
      <w:r>
        <w:rPr/>
        <w:tab/>
        <w:t>6.32</w:t>
        <w:tab/>
        <w:t xml:space="preserve">It may not be evident from the images the images that there is a 100% occlusion. In some cases, there may not be a Doppler value because the sonographer was unable to produce a Doppler signal. When Doppler values are nonexistent and the images are unclear, the reader must rely on comments from the sonographer to determine the degree of stenosis. </w:t>
      </w:r>
    </w:p>
    <w:p>
      <w:pPr>
        <w:pStyle w:val="Number111"/>
        <w:rPr/>
      </w:pPr>
      <w:r>
        <w:rPr/>
      </w:r>
    </w:p>
    <w:p>
      <w:pPr>
        <w:pStyle w:val="Number111"/>
        <w:rPr/>
      </w:pPr>
      <w:r>
        <w:rPr/>
        <w:tab/>
        <w:t>6.33</w:t>
        <w:tab/>
        <w:t xml:space="preserve">In all instances where the PW Doppler is greater than 1.5 m/s, it is used to categorize the percent stenosis according to the following table. </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4950" w:type="dxa"/>
        <w:jc w:val="left"/>
        <w:tblInd w:w="1973" w:type="dxa"/>
        <w:tblLayout w:type="fixed"/>
        <w:tblCellMar>
          <w:top w:w="0" w:type="dxa"/>
          <w:left w:w="108" w:type="dxa"/>
          <w:bottom w:w="0" w:type="dxa"/>
          <w:right w:w="108" w:type="dxa"/>
        </w:tblCellMar>
      </w:tblPr>
      <w:tblGrid>
        <w:gridCol w:w="1980"/>
        <w:gridCol w:w="2970"/>
      </w:tblGrid>
      <w:tr>
        <w:trPr>
          <w:trHeight w:val="400" w:hRule="atLeast"/>
        </w:trPr>
        <w:tc>
          <w:tcPr>
            <w:tcW w:w="1980" w:type="dxa"/>
            <w:tcBorders>
              <w:top w:val="single" w:sz="6" w:space="0" w:color="000000"/>
              <w:left w:val="single" w:sz="6" w:space="0" w:color="000000"/>
              <w:bottom w:val="single" w:sz="6" w:space="0" w:color="000000"/>
              <w:right w:val="single" w:sz="6"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 Stenosis</w:t>
            </w:r>
          </w:p>
        </w:tc>
        <w:tc>
          <w:tcPr>
            <w:tcW w:w="2970" w:type="dxa"/>
            <w:tcBorders>
              <w:top w:val="single" w:sz="6" w:space="0" w:color="000000"/>
              <w:left w:val="single" w:sz="6" w:space="0" w:color="000000"/>
              <w:bottom w:val="single" w:sz="6" w:space="0" w:color="000000"/>
              <w:right w:val="single" w:sz="6" w:space="0" w:color="000000"/>
            </w:tcBorders>
            <w:shd w:fill="BFBFBF" w:val="clear"/>
          </w:tcPr>
          <w:p>
            <w:pPr>
              <w:pStyle w:val="DList"/>
              <w:tabs>
                <w:tab w:val="clear" w:pos="720"/>
                <w:tab w:val="left" w:pos="2790" w:leader="none"/>
              </w:tabs>
              <w:spacing w:before="0" w:after="120"/>
              <w:ind w:left="0" w:hanging="0"/>
              <w:jc w:val="center"/>
              <w:rPr>
                <w:b/>
                <w:b/>
              </w:rPr>
            </w:pPr>
            <w:r>
              <w:rPr>
                <w:b/>
              </w:rPr>
              <w:t>Doppler Values</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0-49%</w:t>
            </w:r>
          </w:p>
        </w:tc>
        <w:tc>
          <w:tcPr>
            <w:tcW w:w="2970" w:type="dxa"/>
            <w:tcBorders>
              <w:top w:val="single" w:sz="6" w:space="0" w:color="000000"/>
              <w:left w:val="single" w:sz="6" w:space="0" w:color="000000"/>
              <w:bottom w:val="single" w:sz="6" w:space="0" w:color="000000"/>
              <w:right w:val="single" w:sz="6" w:space="0" w:color="000000"/>
            </w:tcBorders>
          </w:tcPr>
          <w:p>
            <w:pPr>
              <w:pStyle w:val="DList"/>
              <w:tabs>
                <w:tab w:val="clear" w:pos="720"/>
                <w:tab w:val="left" w:pos="2790" w:leader="none"/>
              </w:tabs>
              <w:spacing w:before="0" w:after="120"/>
              <w:ind w:left="0" w:hanging="0"/>
              <w:jc w:val="center"/>
              <w:rPr/>
            </w:pPr>
            <w:r>
              <w:rPr/>
              <w:t>&lt;1.5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50-74%</w:t>
            </w:r>
          </w:p>
        </w:tc>
        <w:tc>
          <w:tcPr>
            <w:tcW w:w="2970" w:type="dxa"/>
            <w:tcBorders>
              <w:top w:val="single" w:sz="6" w:space="0" w:color="000000"/>
              <w:left w:val="single" w:sz="6" w:space="0" w:color="000000"/>
              <w:bottom w:val="single" w:sz="6" w:space="0" w:color="000000"/>
              <w:right w:val="single" w:sz="6" w:space="0" w:color="000000"/>
            </w:tcBorders>
          </w:tcPr>
          <w:p>
            <w:pPr>
              <w:pStyle w:val="DList"/>
              <w:tabs>
                <w:tab w:val="clear" w:pos="720"/>
                <w:tab w:val="left" w:pos="2790" w:leader="none"/>
              </w:tabs>
              <w:spacing w:before="0" w:after="120"/>
              <w:ind w:left="0" w:hanging="0"/>
              <w:jc w:val="center"/>
              <w:rPr/>
            </w:pPr>
            <w:r>
              <w:rPr/>
              <w:t>&gt; 1.5 m/sec but &lt; 2.5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75% -99%</w:t>
            </w:r>
          </w:p>
        </w:tc>
        <w:tc>
          <w:tcPr>
            <w:tcW w:w="297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&gt; 2.5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100% (occlusion)</w:t>
            </w:r>
          </w:p>
        </w:tc>
        <w:tc>
          <w:tcPr>
            <w:tcW w:w="297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0.0 m/sec</w:t>
            </w:r>
          </w:p>
        </w:tc>
      </w:tr>
    </w:tbl>
    <w:p>
      <w:pPr>
        <w:pStyle w:val="DList"/>
        <w:tabs>
          <w:tab w:val="clear" w:pos="720"/>
          <w:tab w:val="left" w:pos="2790" w:leader="none"/>
        </w:tabs>
        <w:ind w:left="0" w:hanging="0"/>
        <w:rPr/>
      </w:pPr>
      <w:r>
        <w:rPr/>
      </w:r>
    </w:p>
    <w:p>
      <w:pPr>
        <w:pStyle w:val="Number111"/>
        <w:rPr/>
      </w:pPr>
      <w:r>
        <w:rPr/>
        <w:tab/>
        <w:t>6.34</w:t>
        <w:tab/>
        <w:t>The categories from which the percent stenosis must be chosen are more specific:</w:t>
      </w:r>
    </w:p>
    <w:p>
      <w:pPr>
        <w:pStyle w:val="Number111bodybullet"/>
        <w:rPr/>
      </w:pPr>
      <w:r>
        <w:rPr/>
      </w:r>
    </w:p>
    <w:p>
      <w:pPr>
        <w:pStyle w:val="Number111bodybullet"/>
        <w:rPr/>
      </w:pPr>
      <w:r>
        <w:rPr/>
        <w:tab/>
      </w:r>
      <w:r>
        <w:rPr>
          <w:rFonts w:eastAsia="Symbol" w:cs="Symbol" w:ascii="Symbol" w:hAnsi="Symbol"/>
        </w:rPr>
        <w:t></w:t>
      </w:r>
      <w:r>
        <w:rPr/>
        <w:tab/>
        <w:t>Normal - no focal lesion present in either the internal or bulb.</w:t>
      </w:r>
    </w:p>
    <w:p>
      <w:pPr>
        <w:pStyle w:val="Number111bodybullet"/>
        <w:rPr/>
      </w:pPr>
      <w:r>
        <w:rPr/>
        <w:tab/>
      </w:r>
      <w:r>
        <w:rPr>
          <w:rFonts w:eastAsia="Symbol" w:cs="Symbol" w:ascii="Symbol" w:hAnsi="Symbol"/>
        </w:rPr>
        <w:t></w:t>
      </w:r>
      <w:r>
        <w:rPr/>
        <w:tab/>
        <w:t xml:space="preserve">1–24% - Doppler values that are &lt;1.5 m/sec and reader’s estimate based on the three images of the internal showing that the lesion occupies 1-24% of the vessel width. </w:t>
      </w:r>
    </w:p>
    <w:p>
      <w:pPr>
        <w:pStyle w:val="Number111bodybullet"/>
        <w:rPr/>
      </w:pPr>
      <w:r>
        <w:rPr/>
        <w:tab/>
      </w:r>
      <w:r>
        <w:rPr>
          <w:rFonts w:eastAsia="Symbol" w:cs="Symbol" w:ascii="Symbol" w:hAnsi="Symbol"/>
        </w:rPr>
        <w:t></w:t>
      </w:r>
      <w:r>
        <w:rPr/>
        <w:tab/>
        <w:t>24–49% - Doppler values that are &lt;1.5 m/sec and reader’s estimate based on the three images of the internal showing that the lesion occupies 25-49% of the vessel width.</w:t>
      </w:r>
    </w:p>
    <w:p>
      <w:pPr>
        <w:pStyle w:val="Number111bodybullet"/>
        <w:rPr/>
      </w:pPr>
      <w:r>
        <w:rPr/>
        <w:tab/>
      </w:r>
      <w:r>
        <w:rPr>
          <w:rFonts w:eastAsia="Symbol" w:cs="Symbol" w:ascii="Symbol" w:hAnsi="Symbol"/>
        </w:rPr>
        <w:t></w:t>
      </w:r>
      <w:r>
        <w:rPr/>
        <w:tab/>
        <w:t xml:space="preserve">50–74% - Doppler values that are </w:t>
      </w:r>
      <w:r>
        <w:rPr>
          <w:u w:val="single"/>
        </w:rPr>
        <w:t>&gt;</w:t>
      </w:r>
      <w:r>
        <w:rPr/>
        <w:t xml:space="preserve"> 1.5 m/sec but &lt;2.5 m/sec. </w:t>
      </w:r>
    </w:p>
    <w:p>
      <w:pPr>
        <w:pStyle w:val="Number111bodybullet"/>
        <w:rPr/>
      </w:pPr>
      <w:r>
        <w:rPr/>
        <w:tab/>
      </w:r>
      <w:r>
        <w:rPr>
          <w:rFonts w:eastAsia="Symbol" w:cs="Symbol" w:ascii="Symbol" w:hAnsi="Symbol"/>
        </w:rPr>
        <w:t></w:t>
      </w:r>
      <w:r>
        <w:rPr/>
        <w:tab/>
        <w:t xml:space="preserve">75–99% - Doppler values that are </w:t>
      </w:r>
      <w:r>
        <w:rPr>
          <w:u w:val="single"/>
        </w:rPr>
        <w:t>&gt;</w:t>
      </w:r>
      <w:r>
        <w:rPr/>
        <w:t xml:space="preserve"> 2.5 m/sec.</w:t>
      </w:r>
    </w:p>
    <w:p>
      <w:pPr>
        <w:pStyle w:val="Number111bodybullet"/>
        <w:rPr/>
      </w:pPr>
      <w:r>
        <w:rPr/>
        <w:tab/>
      </w:r>
      <w:r>
        <w:rPr>
          <w:rFonts w:eastAsia="Symbol" w:cs="Symbol" w:ascii="Symbol" w:hAnsi="Symbol"/>
        </w:rPr>
        <w:t></w:t>
      </w:r>
      <w:r>
        <w:rPr/>
        <w:tab/>
        <w:t xml:space="preserve">100% - Doppler values that are 0.0 m/sec. </w:t>
      </w:r>
    </w:p>
    <w:p>
      <w:pPr>
        <w:pStyle w:val="Number111bodybullet"/>
        <w:rPr/>
      </w:pPr>
      <w:r>
        <w:rPr/>
        <w:tab/>
      </w:r>
      <w:r>
        <w:rPr>
          <w:rFonts w:eastAsia="Symbol" w:cs="Symbol" w:ascii="Symbol" w:hAnsi="Symbol"/>
        </w:rPr>
        <w:t></w:t>
      </w:r>
      <w:r>
        <w:rPr/>
        <w:tab/>
        <w:t xml:space="preserve">Bad image/Nl (normal) Doppler - the images are so unclear that % stenosis can’t be estimated by looking at them </w:t>
      </w:r>
      <w:r>
        <w:rPr>
          <w:u w:val="single"/>
        </w:rPr>
        <w:t>but</w:t>
      </w:r>
      <w:r>
        <w:rPr/>
        <w:t xml:space="preserve"> Doppler values fall within normal range, &lt; 1.5 m/sec.</w:t>
      </w:r>
    </w:p>
    <w:p>
      <w:pPr>
        <w:pStyle w:val="Number111bodybullet"/>
        <w:rPr/>
      </w:pPr>
      <w:r>
        <w:rPr/>
        <w:tab/>
      </w:r>
      <w:r>
        <w:rPr>
          <w:rFonts w:eastAsia="Symbol" w:cs="Symbol" w:ascii="Symbol" w:hAnsi="Symbol"/>
        </w:rPr>
        <w:t></w:t>
      </w:r>
      <w:r>
        <w:rPr/>
        <w:tab/>
        <w:t>Can’t tell – the percent stenosis cannot be determined due to insufficient information (images are unclear or missing).</w:t>
      </w:r>
    </w:p>
    <w:p>
      <w:pPr>
        <w:pStyle w:val="Normal"/>
        <w:rPr/>
      </w:pPr>
      <w:r>
        <w:rPr/>
      </w:r>
    </w:p>
    <w:p>
      <w:pPr>
        <w:pStyle w:val="Number11"/>
        <w:rPr/>
      </w:pPr>
      <w:r>
        <w:rPr/>
        <w:tab/>
        <w:t>6.4</w:t>
        <w:tab/>
        <w:t>Location</w:t>
      </w:r>
    </w:p>
    <w:p>
      <w:pPr>
        <w:pStyle w:val="Normal"/>
        <w:rPr/>
      </w:pPr>
      <w:r>
        <w:rPr/>
      </w:r>
    </w:p>
    <w:p>
      <w:pPr>
        <w:pStyle w:val="Number11body"/>
        <w:rPr/>
      </w:pPr>
      <w:r>
        <w:rPr/>
        <w:t>The plaque location describes the site of the lesion. The categories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No lesion - no lesion is present in either the internal or bulb</w:t>
      </w:r>
    </w:p>
    <w:p>
      <w:pPr>
        <w:pStyle w:val="Number11bodybullet"/>
        <w:rPr/>
      </w:pPr>
      <w:r>
        <w:rPr/>
        <w:tab/>
      </w:r>
      <w:r>
        <w:rPr>
          <w:rFonts w:eastAsia="Symbol" w:cs="Symbol" w:ascii="Symbol" w:hAnsi="Symbol"/>
        </w:rPr>
        <w:t></w:t>
      </w:r>
      <w:r>
        <w:rPr/>
        <w:tab/>
        <w:t>Can’t tell - cannot determine the location of the plaque cannot be determined due to insufficient information (images are unclear or missing).</w:t>
      </w:r>
    </w:p>
    <w:p>
      <w:pPr>
        <w:pStyle w:val="Number11bodybullet"/>
        <w:rPr/>
      </w:pPr>
      <w:r>
        <w:rPr/>
        <w:tab/>
      </w:r>
      <w:r>
        <w:rPr>
          <w:rFonts w:eastAsia="Symbol" w:cs="Symbol" w:ascii="Symbol" w:hAnsi="Symbol"/>
        </w:rPr>
        <w:t></w:t>
      </w:r>
      <w:r>
        <w:rPr/>
        <w:tab/>
        <w:t>Internal - the lesion is located in the internal carotid</w:t>
      </w:r>
    </w:p>
    <w:p>
      <w:pPr>
        <w:pStyle w:val="Number11bodybullet"/>
        <w:rPr/>
      </w:pPr>
      <w:r>
        <w:rPr/>
        <w:tab/>
      </w:r>
      <w:r>
        <w:rPr>
          <w:rFonts w:eastAsia="Symbol" w:cs="Symbol" w:ascii="Symbol" w:hAnsi="Symbol"/>
        </w:rPr>
        <w:t></w:t>
      </w:r>
      <w:r>
        <w:rPr/>
        <w:tab/>
        <w:t>Bulb - the lesion is located in the bulb</w:t>
      </w:r>
    </w:p>
    <w:p>
      <w:pPr>
        <w:pStyle w:val="Number11bodybullet"/>
        <w:rPr/>
      </w:pPr>
      <w:r>
        <w:rPr/>
        <w:tab/>
      </w:r>
      <w:r>
        <w:rPr>
          <w:rFonts w:eastAsia="Symbol" w:cs="Symbol" w:ascii="Symbol" w:hAnsi="Symbol"/>
        </w:rPr>
        <w:t></w:t>
      </w:r>
      <w:r>
        <w:rPr/>
        <w:tab/>
        <w:t>Can’t tell - cannot determine the location of the plaque cannot be determined due to insufficient information (images are unclear or missing).</w:t>
      </w:r>
    </w:p>
    <w:p>
      <w:pPr>
        <w:pStyle w:val="DList"/>
        <w:ind w:left="0" w:hanging="0"/>
        <w:rPr/>
      </w:pPr>
      <w:r>
        <w:rPr/>
      </w:r>
    </w:p>
    <w:p>
      <w:pPr>
        <w:pStyle w:val="Number11"/>
        <w:rPr/>
      </w:pPr>
      <w:r>
        <w:rPr/>
        <w:tab/>
        <w:t>6.5</w:t>
        <w:tab/>
        <w:t>Density</w:t>
      </w:r>
    </w:p>
    <w:p>
      <w:pPr>
        <w:pStyle w:val="Normal"/>
        <w:rPr/>
      </w:pPr>
      <w:r>
        <w:rPr/>
      </w:r>
    </w:p>
    <w:p>
      <w:pPr>
        <w:pStyle w:val="Number11body"/>
        <w:rPr/>
      </w:pPr>
      <w:r>
        <w:rPr/>
        <w:t>The lesion density qualifies the compactness of the plaque. The categories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No lesion - no lesion is present in either the internal or bulb</w:t>
      </w:r>
    </w:p>
    <w:p>
      <w:pPr>
        <w:pStyle w:val="Number11bodybullet"/>
        <w:rPr/>
      </w:pPr>
      <w:r>
        <w:rPr/>
        <w:tab/>
      </w:r>
      <w:r>
        <w:rPr>
          <w:rFonts w:eastAsia="Symbol" w:cs="Symbol" w:ascii="Symbol" w:hAnsi="Symbol"/>
        </w:rPr>
        <w:t></w:t>
      </w:r>
      <w:r>
        <w:rPr/>
        <w:tab/>
        <w:t xml:space="preserve">Hypodense - a plaque that appears darker than the surrounding tissue. </w:t>
      </w:r>
    </w:p>
    <w:p>
      <w:pPr>
        <w:pStyle w:val="Number11bodybullet"/>
        <w:rPr/>
      </w:pPr>
      <w:r>
        <w:rPr/>
        <w:tab/>
      </w:r>
      <w:r>
        <w:rPr>
          <w:rFonts w:eastAsia="Symbol" w:cs="Symbol" w:ascii="Symbol" w:hAnsi="Symbol"/>
        </w:rPr>
        <w:t></w:t>
      </w:r>
      <w:r>
        <w:rPr/>
        <w:tab/>
        <w:t>Isodense - a plaque that has same level of brightness as the surrounding tissue.</w:t>
      </w:r>
    </w:p>
    <w:p>
      <w:pPr>
        <w:pStyle w:val="Number11bodybullet"/>
        <w:rPr/>
      </w:pPr>
      <w:r>
        <w:rPr/>
        <w:tab/>
      </w:r>
      <w:r>
        <w:rPr>
          <w:rFonts w:eastAsia="Symbol" w:cs="Symbol" w:ascii="Symbol" w:hAnsi="Symbol"/>
        </w:rPr>
        <w:t></w:t>
      </w:r>
      <w:r>
        <w:rPr/>
        <w:tab/>
        <w:t xml:space="preserve">Hyperdense - the plaque appears brighter than the surrounding tissue and </w:t>
      </w:r>
      <w:r>
        <w:rPr>
          <w:u w:val="single"/>
        </w:rPr>
        <w:t>some</w:t>
      </w:r>
      <w:r>
        <w:rPr/>
        <w:t xml:space="preserve"> of the tissue beneath the plaque is shadowed. </w:t>
      </w:r>
    </w:p>
    <w:p>
      <w:pPr>
        <w:pStyle w:val="Number11bodybullet"/>
        <w:rPr/>
      </w:pPr>
      <w:r>
        <w:rPr/>
        <w:tab/>
      </w:r>
      <w:r>
        <w:rPr>
          <w:rFonts w:eastAsia="Symbol" w:cs="Symbol" w:ascii="Symbol" w:hAnsi="Symbol"/>
        </w:rPr>
        <w:t></w:t>
      </w:r>
      <w:r>
        <w:rPr/>
        <w:tab/>
        <w:t>Calcified - the plaque appears much brighter than the surrounding tissue and all of the tissue beneath the plaque is shadowed.</w:t>
      </w:r>
    </w:p>
    <w:p>
      <w:pPr>
        <w:pStyle w:val="Number11bodybullet"/>
        <w:rPr/>
      </w:pPr>
      <w:r>
        <w:rPr/>
        <w:tab/>
      </w:r>
      <w:r>
        <w:rPr>
          <w:rFonts w:eastAsia="Symbol" w:cs="Symbol" w:ascii="Symbol" w:hAnsi="Symbol"/>
        </w:rPr>
        <w:t></w:t>
      </w:r>
      <w:r>
        <w:rPr/>
        <w:tab/>
        <w:t>Can’t tell - cannot determine the density of the plaque cannot be determined due to insufficient information (images are unclear or missing).</w:t>
      </w:r>
    </w:p>
    <w:p>
      <w:pPr>
        <w:pStyle w:val="Normal"/>
        <w:rPr/>
      </w:pPr>
      <w:r>
        <w:rPr/>
      </w:r>
    </w:p>
    <w:p>
      <w:pPr>
        <w:pStyle w:val="Romanbold"/>
        <w:rPr/>
      </w:pPr>
      <w:r>
        <w:rPr/>
        <w:tab/>
        <w:t>II.</w:t>
        <w:tab/>
        <w:t>Data Transmission</w:t>
      </w:r>
    </w:p>
    <w:p>
      <w:pPr>
        <w:pStyle w:val="Normal"/>
        <w:rPr>
          <w:b/>
          <w:b/>
        </w:rPr>
      </w:pPr>
      <w:r>
        <w:rPr>
          <w:b/>
        </w:rPr>
      </w:r>
    </w:p>
    <w:p>
      <w:pPr>
        <w:pStyle w:val="Number1"/>
        <w:rPr/>
      </w:pPr>
      <w:r>
        <w:rPr/>
        <w:tab/>
        <w:t>1.</w:t>
        <w:tab/>
      </w:r>
      <w:r>
        <w:rPr>
          <w:u w:val="single"/>
        </w:rPr>
        <w:t>Videotape</w:t>
      </w:r>
    </w:p>
    <w:p>
      <w:pPr>
        <w:pStyle w:val="Footer"/>
        <w:tabs>
          <w:tab w:val="clear" w:pos="4320"/>
          <w:tab w:val="clear" w:pos="8640"/>
        </w:tabs>
        <w:rPr>
          <w:u w:val="single"/>
        </w:rPr>
      </w:pPr>
      <w:r>
        <w:rPr>
          <w:u w:val="single"/>
        </w:rPr>
      </w:r>
    </w:p>
    <w:p>
      <w:pPr>
        <w:pStyle w:val="Number11"/>
        <w:rPr/>
      </w:pPr>
      <w:r>
        <w:rPr/>
        <w:tab/>
        <w:t>1.1</w:t>
        <w:tab/>
        <w:t xml:space="preserve">Carotid ultrasound images are transmitted to the Ultrasound Reading Center on videotape. The ultrasound machines are equipped with Super VHS videocassette recorders. </w:t>
      </w:r>
      <w:r>
        <w:rPr>
          <w:b/>
        </w:rPr>
        <w:t>Super VHS tape must be used.</w:t>
      </w:r>
      <w:r>
        <w:rPr/>
        <w:t xml:space="preserve"> It can be purchased at Radio Shack or through the field center’s vascular lab or radiology department. Standard, non-Super VHS, tape is not acceptable.</w:t>
      </w:r>
    </w:p>
    <w:p>
      <w:pPr>
        <w:pStyle w:val="Number11"/>
        <w:rPr/>
      </w:pPr>
      <w:r>
        <w:rPr/>
      </w:r>
    </w:p>
    <w:p>
      <w:pPr>
        <w:pStyle w:val="Number11"/>
        <w:rPr/>
      </w:pPr>
      <w:r>
        <w:rPr/>
        <w:tab/>
        <w:t>1.2</w:t>
        <w:tab/>
        <w:t xml:space="preserve">When the image displayed on the ultrasound machine monitor is optimal, “Freeze It”. Page through the cine loop of saved images and select the image that best demonstrates the intimal linings. Videotape five seconds of the frozen image, start the cine loop on </w:t>
      </w:r>
      <w:r>
        <w:rPr>
          <w:i/>
        </w:rPr>
        <w:t>loop preview</w:t>
      </w:r>
      <w:r>
        <w:rPr/>
        <w:t xml:space="preserve"> and videotape it in its entirety. It is important to wait for the mechanical delay of the VCR mechanism to engage when timing recordings. A few seconds of over-recording is infinitely more desirable than a non-recording. If at any time during an examination a better image than that previously recorded is obtained, </w:t>
      </w:r>
      <w:r>
        <w:rPr>
          <w:b/>
        </w:rPr>
        <w:t>do not</w:t>
      </w:r>
      <w:r>
        <w:rPr/>
        <w:t xml:space="preserve"> erase or tape over the previous recording. Add the new images to the videotape and make a note in the </w:t>
      </w:r>
      <w:r>
        <w:rPr>
          <w:i/>
        </w:rPr>
        <w:t>Comments</w:t>
      </w:r>
      <w:r>
        <w:rPr/>
        <w:t xml:space="preserve"> section of the log sheet to inform the reader.</w:t>
      </w:r>
    </w:p>
    <w:p>
      <w:pPr>
        <w:pStyle w:val="Number11"/>
        <w:rPr/>
      </w:pPr>
      <w:r>
        <w:rPr/>
      </w:r>
    </w:p>
    <w:p>
      <w:pPr>
        <w:pStyle w:val="Number11"/>
        <w:rPr/>
      </w:pPr>
      <w:r>
        <w:rPr/>
        <w:tab/>
        <w:t>1.3</w:t>
        <w:tab/>
        <w:t xml:space="preserve">At the Ultrasound Reading Center the readers digitize (computerize) and analyze the images from the carotid ultrasound videotapes. The computer-based system to accomplish these tasks was developed by the Ultrasound Reading Center. </w:t>
      </w:r>
    </w:p>
    <w:p>
      <w:pPr>
        <w:pStyle w:val="Normal"/>
        <w:rPr/>
      </w:pPr>
      <w:r>
        <w:rPr/>
      </w:r>
    </w:p>
    <w:p>
      <w:pPr>
        <w:pStyle w:val="Number1"/>
        <w:rPr/>
      </w:pPr>
      <w:r>
        <w:rPr/>
        <w:tab/>
        <w:t>2.</w:t>
        <w:tab/>
      </w:r>
      <w:r>
        <w:rPr>
          <w:u w:val="single"/>
        </w:rPr>
        <w:t xml:space="preserve">Labels and Log Sheets </w:t>
      </w:r>
    </w:p>
    <w:p>
      <w:pPr>
        <w:pStyle w:val="TimesHeaderB"/>
        <w:spacing w:lineRule="auto" w:line="240"/>
        <w:rPr>
          <w:rFonts w:ascii="New York;Times New Roman" w:hAnsi="New York;Times New Roman" w:cs="New York;Times New Roman"/>
        </w:rPr>
      </w:pPr>
      <w:r>
        <w:rPr>
          <w:rFonts w:cs="New York;Times New Roman" w:ascii="New York;Times New Roman" w:hAnsi="New York;Times New Roman"/>
        </w:rPr>
      </w:r>
    </w:p>
    <w:p>
      <w:pPr>
        <w:pStyle w:val="Number11"/>
        <w:rPr/>
      </w:pPr>
      <w:r>
        <w:rPr/>
        <w:tab/>
        <w:t>2.1</w:t>
        <w:tab/>
        <w:t xml:space="preserve">At the training session the sonographers will be given sets of labels and master copies of a log sheet. These items make it possible to track and organize the numerous videotapes that arrive at the Ultrasound Reading Center. It is of utmost importance that the sonographers carefully label the videotapes and the corresponding log sheets. The labels contain the study name, field center name, exam number and tape number. See the label illustrated in the upper right corner of the sample log sheet below. The log sheet enables the reader to quickly locate each study on the individual videotapes and to obtain pertinent information regarding particular cases. </w:t>
      </w:r>
    </w:p>
    <w:p>
      <w:pPr>
        <w:pStyle w:val="Number11"/>
        <w:rPr/>
      </w:pPr>
      <w:r>
        <w:rPr/>
      </w:r>
    </w:p>
    <w:p>
      <w:pPr>
        <w:pStyle w:val="Number11"/>
        <w:rPr/>
      </w:pPr>
      <w:r>
        <w:rPr/>
        <w:tab/>
        <w:t>2.2</w:t>
        <w:tab/>
        <w:t xml:space="preserve">The sonographer completes the appropriate sections of the log sheet for each subject he scans. The necessary items are relatively obvious. </w:t>
      </w:r>
    </w:p>
    <w:p>
      <w:pPr>
        <w:pStyle w:val="Normal"/>
        <w:rPr/>
      </w:pPr>
      <w:r>
        <w:rPr/>
      </w:r>
    </w:p>
    <w:p>
      <w:pPr>
        <w:pStyle w:val="Number11bodybullet"/>
        <w:rPr/>
      </w:pPr>
      <w:r>
        <w:rPr>
          <w:b/>
        </w:rPr>
        <w:tab/>
      </w:r>
      <w:r>
        <w:rPr>
          <w:rFonts w:eastAsia="Symbol" w:cs="Symbol" w:ascii="Symbol" w:hAnsi="Symbol"/>
          <w:bCs/>
        </w:rPr>
        <w:t></w:t>
      </w:r>
      <w:r>
        <w:rPr>
          <w:b/>
        </w:rPr>
        <w:tab/>
        <w:t>Scan Date</w:t>
      </w:r>
      <w:r>
        <w:rPr/>
        <w:t xml:space="preserve"> – the date of the carotid scan</w:t>
      </w:r>
    </w:p>
    <w:p>
      <w:pPr>
        <w:pStyle w:val="Number11bodybullet"/>
        <w:rPr/>
      </w:pPr>
      <w:r>
        <w:rPr/>
      </w:r>
    </w:p>
    <w:p>
      <w:pPr>
        <w:pStyle w:val="Number11bodybullet"/>
        <w:rPr/>
      </w:pPr>
      <w:r>
        <w:rPr>
          <w:b/>
        </w:rPr>
        <w:tab/>
      </w:r>
      <w:r>
        <w:rPr>
          <w:rFonts w:eastAsia="Symbol" w:cs="Symbol" w:ascii="Symbol" w:hAnsi="Symbol"/>
          <w:bCs/>
        </w:rPr>
        <w:t></w:t>
      </w:r>
      <w:r>
        <w:rPr>
          <w:b/>
        </w:rPr>
        <w:tab/>
        <w:t>Subject ID</w:t>
      </w:r>
      <w:r>
        <w:rPr/>
        <w:t xml:space="preserve"> – the ID number assigned to the participant (no names please)</w:t>
      </w:r>
    </w:p>
    <w:p>
      <w:pPr>
        <w:pStyle w:val="Number11bodybullet"/>
        <w:rPr/>
      </w:pPr>
      <w:r>
        <w:rPr/>
      </w:r>
    </w:p>
    <w:p>
      <w:pPr>
        <w:pStyle w:val="Number11bodybullet"/>
        <w:rPr/>
      </w:pPr>
      <w:r>
        <w:rPr>
          <w:b/>
        </w:rPr>
        <w:tab/>
      </w:r>
      <w:r>
        <w:rPr>
          <w:rFonts w:eastAsia="Symbol" w:cs="Symbol" w:ascii="Symbol" w:hAnsi="Symbol"/>
          <w:bCs/>
        </w:rPr>
        <w:t></w:t>
      </w:r>
      <w:r>
        <w:rPr>
          <w:b/>
        </w:rPr>
        <w:tab/>
        <w:t>Plaque</w:t>
      </w:r>
      <w:r>
        <w:rPr/>
        <w:t xml:space="preserve"> – if there is a plaque(s) circle the location(s). </w:t>
      </w:r>
      <w:r>
        <w:rPr>
          <w:i/>
        </w:rPr>
        <w:t>RB = right bulb, RICA = right internal carotid, LB = left bulb, LICA = left internal carotid</w:t>
      </w:r>
    </w:p>
    <w:p>
      <w:pPr>
        <w:pStyle w:val="Number11bodybullet"/>
        <w:rPr>
          <w:i/>
          <w:i/>
          <w:sz w:val="22"/>
        </w:rPr>
      </w:pPr>
      <w:r>
        <w:rPr>
          <w:i/>
          <w:sz w:val="22"/>
        </w:rPr>
      </w:r>
    </w:p>
    <w:p>
      <w:pPr>
        <w:pStyle w:val="Number11bodybullet"/>
        <w:rPr/>
      </w:pPr>
      <w:r>
        <w:rPr>
          <w:b/>
        </w:rPr>
        <w:tab/>
      </w:r>
      <w:r>
        <w:rPr>
          <w:rFonts w:eastAsia="Symbol" w:cs="Symbol" w:ascii="Symbol" w:hAnsi="Symbol"/>
          <w:bCs/>
        </w:rPr>
        <w:t></w:t>
      </w:r>
      <w:r>
        <w:rPr>
          <w:b/>
        </w:rPr>
        <w:tab/>
        <w:t>VCR Start</w:t>
      </w:r>
      <w:r>
        <w:rPr/>
        <w:t xml:space="preserve"> – the VCR counter/timer that indicates where the particular study is located on the tape</w:t>
      </w:r>
    </w:p>
    <w:p>
      <w:pPr>
        <w:pStyle w:val="Number11bodybullet"/>
        <w:rPr/>
      </w:pPr>
      <w:r>
        <w:rPr/>
      </w:r>
    </w:p>
    <w:p>
      <w:pPr>
        <w:pStyle w:val="Number11bodybullet"/>
        <w:rPr/>
      </w:pPr>
      <w:r>
        <w:rPr>
          <w:b/>
        </w:rPr>
        <w:tab/>
      </w:r>
      <w:r>
        <w:rPr>
          <w:rFonts w:eastAsia="Symbol" w:cs="Symbol" w:ascii="Symbol" w:hAnsi="Symbol"/>
          <w:bCs/>
        </w:rPr>
        <w:t></w:t>
      </w:r>
      <w:r>
        <w:rPr>
          <w:b/>
        </w:rPr>
        <w:tab/>
        <w:t xml:space="preserve">Sonographer ID </w:t>
      </w:r>
      <w:r>
        <w:rPr/>
        <w:t>– the MESA Technician ID assigned to the sonographer</w:t>
      </w:r>
    </w:p>
    <w:p>
      <w:pPr>
        <w:pStyle w:val="Number11bodybullet"/>
        <w:rPr/>
      </w:pPr>
      <w:r>
        <w:rPr/>
      </w:r>
    </w:p>
    <w:p>
      <w:pPr>
        <w:pStyle w:val="Number11bodybullet"/>
        <w:rPr/>
      </w:pPr>
      <w:r>
        <w:rPr>
          <w:b/>
        </w:rPr>
        <w:tab/>
      </w:r>
      <w:r>
        <w:rPr>
          <w:rFonts w:eastAsia="Symbol" w:cs="Symbol" w:ascii="Symbol" w:hAnsi="Symbol"/>
          <w:bCs/>
        </w:rPr>
        <w:t></w:t>
      </w:r>
      <w:r>
        <w:rPr>
          <w:b/>
        </w:rPr>
        <w:tab/>
        <w:t>Comments</w:t>
      </w:r>
      <w:r>
        <w:rPr/>
        <w:t xml:space="preserve"> – the place for the sonographer to tell the reader about the case</w:t>
      </w:r>
    </w:p>
    <w:p>
      <w:pPr>
        <w:pStyle w:val="Number11bodybullet"/>
        <w:rPr/>
      </w:pPr>
      <w:r>
        <w:rPr/>
      </w:r>
    </w:p>
    <w:p>
      <w:pPr>
        <w:pStyle w:val="Number11bodybullet"/>
        <w:rPr/>
      </w:pPr>
      <w:r>
        <w:rPr>
          <w:b/>
        </w:rPr>
        <w:tab/>
      </w:r>
      <w:r>
        <w:rPr>
          <w:rFonts w:eastAsia="Symbol" w:cs="Symbol" w:ascii="Symbol" w:hAnsi="Symbol"/>
          <w:bCs/>
        </w:rPr>
        <w:t></w:t>
      </w:r>
      <w:r>
        <w:rPr>
          <w:b/>
        </w:rPr>
        <w:tab/>
        <w:t>Sample of Typical Videotape Log Sheet Entries</w:t>
      </w:r>
    </w:p>
    <w:p>
      <w:pPr>
        <w:pStyle w:val="Normal"/>
        <w:rPr>
          <w:b/>
          <w:b/>
        </w:rPr>
      </w:pPr>
      <w:r>
        <w:rPr>
          <w:b/>
        </w:rPr>
      </w:r>
    </w:p>
    <w:tbl>
      <w:tblPr>
        <w:tblW w:w="7020" w:type="dxa"/>
        <w:jc w:val="left"/>
        <w:tblInd w:w="1075" w:type="dxa"/>
        <w:tblLayout w:type="fixed"/>
        <w:tblCellMar>
          <w:top w:w="0" w:type="dxa"/>
          <w:left w:w="108" w:type="dxa"/>
          <w:bottom w:w="0" w:type="dxa"/>
          <w:right w:w="108" w:type="dxa"/>
        </w:tblCellMar>
      </w:tblPr>
      <w:tblGrid>
        <w:gridCol w:w="450"/>
        <w:gridCol w:w="1260"/>
        <w:gridCol w:w="1233"/>
        <w:gridCol w:w="927"/>
        <w:gridCol w:w="783"/>
        <w:gridCol w:w="1080"/>
        <w:gridCol w:w="1287"/>
      </w:tblGrid>
      <w:tr>
        <w:trPr>
          <w:trHeight w:val="544" w:hRule="atLeast"/>
        </w:trPr>
        <w:tc>
          <w:tcPr>
            <w:tcW w:w="450"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sz w:val="20"/>
              </w:rPr>
            </w:pPr>
            <w:r>
              <w:rPr>
                <w:b/>
                <w:sz w:val="20"/>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Scan Date</w:t>
            </w:r>
          </w:p>
        </w:tc>
        <w:tc>
          <w:tcPr>
            <w:tcW w:w="1233"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Subject ID</w:t>
            </w:r>
          </w:p>
        </w:tc>
        <w:tc>
          <w:tcPr>
            <w:tcW w:w="927"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jc w:val="center"/>
              <w:rPr>
                <w:b/>
                <w:b/>
                <w:sz w:val="20"/>
              </w:rPr>
            </w:pPr>
            <w:r>
              <w:rPr>
                <w:b/>
                <w:sz w:val="20"/>
              </w:rPr>
              <w:t>Plaque</w:t>
            </w:r>
            <w:r>
              <w:rPr>
                <w:b/>
                <w:sz w:val="20"/>
                <w:vertAlign w:val="superscript"/>
              </w:rPr>
              <w:t xml:space="preserve"> </w:t>
            </w:r>
            <w:r>
              <w:rPr>
                <w:rFonts w:eastAsia="Monotype Sorts;Symbol" w:cs="Monotype Sorts;Symbol" w:ascii="Monotype Sorts;Symbol" w:hAnsi="Monotype Sorts;Symbol"/>
                <w:b/>
                <w:sz w:val="20"/>
                <w:vertAlign w:val="superscript"/>
              </w:rPr>
              <w:t></w:t>
            </w:r>
          </w:p>
        </w:tc>
        <w:tc>
          <w:tcPr>
            <w:tcW w:w="783"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VCR Start Time</w:t>
            </w:r>
          </w:p>
        </w:tc>
        <w:tc>
          <w:tcPr>
            <w:tcW w:w="1080"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Sonog.</w:t>
            </w:r>
          </w:p>
          <w:p>
            <w:pPr>
              <w:pStyle w:val="Normal"/>
              <w:jc w:val="center"/>
              <w:rPr>
                <w:b/>
                <w:b/>
                <w:sz w:val="20"/>
              </w:rPr>
            </w:pPr>
            <w:r>
              <w:rPr>
                <w:b/>
                <w:sz w:val="20"/>
              </w:rPr>
              <w:t>ID</w:t>
            </w:r>
          </w:p>
        </w:tc>
        <w:tc>
          <w:tcPr>
            <w:tcW w:w="1287" w:type="dxa"/>
            <w:tcBorders>
              <w:top w:val="double" w:sz="4" w:space="0" w:color="000000"/>
              <w:bottom w:val="single" w:sz="4" w:space="0" w:color="000000"/>
              <w:right w:val="single" w:sz="4" w:space="0" w:color="000000"/>
            </w:tcBorders>
            <w:shd w:fill="FFFFFF" w:val="clear"/>
          </w:tcPr>
          <w:p>
            <w:pPr>
              <w:pStyle w:val="Normal"/>
              <w:snapToGrid w:val="false"/>
              <w:jc w:val="center"/>
              <w:rPr>
                <w:b/>
                <w:b/>
                <w:sz w:val="20"/>
              </w:rPr>
            </w:pPr>
            <w:r>
              <w:rPr>
                <w:b/>
                <w:sz w:val="20"/>
              </w:rPr>
            </w:r>
          </w:p>
          <w:p>
            <w:pPr>
              <w:pStyle w:val="Normal"/>
              <w:jc w:val="center"/>
              <w:rPr>
                <w:b/>
                <w:b/>
                <w:sz w:val="20"/>
              </w:rPr>
            </w:pPr>
            <w:r>
              <w:rPr>
                <w:b/>
                <w:sz w:val="20"/>
              </w:rPr>
              <w:t>Comments</w:t>
            </w:r>
          </w:p>
        </w:tc>
      </w:tr>
      <w:tr>
        <w:trPr>
          <w:trHeight w:val="640" w:hRule="atLeast"/>
        </w:trPr>
        <w:tc>
          <w:tcPr>
            <w:tcW w:w="450"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rPr>
                <w:rFonts w:ascii="Coronet" w:hAnsi="Coronet" w:cs="Coronet"/>
                <w:b/>
                <w:b/>
                <w:sz w:val="22"/>
              </w:rPr>
            </w:pPr>
            <w:r>
              <w:rPr>
                <w:rFonts w:cs="Coronet" w:ascii="Coronet" w:hAnsi="Coronet"/>
                <w:b/>
                <w:sz w:val="22"/>
              </w:rPr>
            </w:r>
          </w:p>
          <w:p>
            <w:pPr>
              <w:pStyle w:val="Normal"/>
              <w:rPr>
                <w:rFonts w:ascii="Coronet" w:hAnsi="Coronet" w:cs="Coronet"/>
                <w:sz w:val="22"/>
              </w:rPr>
            </w:pPr>
            <w:r>
              <w:rPr>
                <w:rFonts w:cs="Coronet" w:ascii="Coronet" w:hAnsi="Coronet"/>
                <w:sz w:val="22"/>
              </w:rPr>
              <w:t>8/2/2000</w:t>
            </w:r>
          </w:p>
        </w:tc>
        <w:tc>
          <w:tcPr>
            <w:tcW w:w="1233"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rPr>
                <w:rFonts w:ascii="Coronet" w:hAnsi="Coronet" w:cs="Coronet"/>
                <w:sz w:val="22"/>
              </w:rPr>
            </w:pPr>
            <w:r>
              <w:rPr>
                <w:rFonts w:cs="Coronet" w:ascii="Coronet" w:hAnsi="Coronet"/>
                <w:sz w:val="22"/>
              </w:rPr>
            </w:r>
          </w:p>
          <w:p>
            <w:pPr>
              <w:pStyle w:val="Header"/>
              <w:tabs>
                <w:tab w:val="clear" w:pos="4320"/>
                <w:tab w:val="clear" w:pos="8640"/>
              </w:tabs>
              <w:rPr>
                <w:rFonts w:ascii="Coronet" w:hAnsi="Coronet" w:cs="Coronet"/>
                <w:sz w:val="22"/>
              </w:rPr>
            </w:pPr>
            <w:r>
              <w:rPr>
                <w:rFonts w:cs="Coronet" w:ascii="Coronet" w:hAnsi="Coronet"/>
                <w:sz w:val="22"/>
              </w:rPr>
              <w:t>4125993</w:t>
            </w:r>
          </w:p>
        </w:tc>
        <w:tc>
          <w:tcPr>
            <w:tcW w:w="927"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sz w:val="20"/>
              </w:rPr>
            </w:pPr>
            <w:r>
              <w:rPr>
                <w:sz w:val="20"/>
              </w:rPr>
              <w:t>RB   RICA</w:t>
            </w:r>
          </w:p>
          <w:p>
            <w:pPr>
              <w:pStyle w:val="CommentText"/>
              <w:spacing w:before="120" w:after="120"/>
              <w:rPr/>
            </w:pPr>
            <w:r>
              <w:rPr/>
              <w:t>LB    LICA</w:t>
            </w:r>
          </w:p>
        </w:tc>
        <w:tc>
          <w:tcPr>
            <w:tcW w:w="783" w:type="dxa"/>
            <w:tcBorders>
              <w:top w:val="doub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0:00</w:t>
            </w:r>
          </w:p>
        </w:tc>
        <w:tc>
          <w:tcPr>
            <w:tcW w:w="108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rFonts w:ascii="Coronet" w:hAnsi="Coronet" w:cs="Coronet"/>
                <w:sz w:val="22"/>
              </w:rPr>
            </w:pPr>
            <w:r>
              <w:rPr>
                <w:rFonts w:cs="Coronet" w:ascii="Coronet" w:hAnsi="Coronet"/>
                <w:sz w:val="22"/>
              </w:rPr>
            </w:r>
          </w:p>
          <w:p>
            <w:pPr>
              <w:pStyle w:val="Header"/>
              <w:tabs>
                <w:tab w:val="clear" w:pos="4320"/>
                <w:tab w:val="clear" w:pos="8640"/>
              </w:tabs>
              <w:jc w:val="center"/>
              <w:rPr>
                <w:rFonts w:ascii="Coronet" w:hAnsi="Coronet" w:cs="Coronet"/>
                <w:sz w:val="22"/>
              </w:rPr>
            </w:pPr>
            <w:r>
              <w:rPr>
                <w:rFonts w:cs="Coronet" w:ascii="Coronet" w:hAnsi="Coronet"/>
                <w:sz w:val="22"/>
              </w:rPr>
              <w:t>456</w:t>
            </w:r>
          </w:p>
        </w:tc>
        <w:tc>
          <w:tcPr>
            <w:tcW w:w="1287" w:type="dxa"/>
            <w:tcBorders>
              <w:top w:val="doub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Good study, easy subject</w:t>
            </w:r>
          </w:p>
        </w:tc>
      </w:tr>
      <w:tr>
        <w:trPr>
          <w:trHeight w:val="640" w:hRule="atLeast"/>
        </w:trPr>
        <w:tc>
          <w:tcPr>
            <w:tcW w:w="450"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mc:AlternateContent>
                <mc:Choice Requires="wps">
                  <w:drawing>
                    <wp:anchor behindDoc="0" distT="0" distB="0" distL="114935" distR="114935" simplePos="0" locked="0" layoutInCell="0" allowOverlap="1" relativeHeight="51">
                      <wp:simplePos x="0" y="0"/>
                      <wp:positionH relativeFrom="margin">
                        <wp:posOffset>1143000</wp:posOffset>
                      </wp:positionH>
                      <wp:positionV relativeFrom="paragraph">
                        <wp:posOffset>368935</wp:posOffset>
                      </wp:positionV>
                      <wp:extent cx="274320" cy="182880"/>
                      <wp:effectExtent l="5080" t="5080" r="5715" b="5715"/>
                      <wp:wrapNone/>
                      <wp:docPr id="33" name=""/>
                      <a:graphic xmlns:a="http://schemas.openxmlformats.org/drawingml/2006/main">
                        <a:graphicData uri="http://schemas.microsoft.com/office/word/2010/wordprocessingShape">
                          <wps:wsp>
                            <wps:cNvSpPr/>
                            <wps:spPr>
                              <a:xfrm>
                                <a:off x="0" y="0"/>
                                <a:ext cx="274320" cy="182880"/>
                              </a:xfrm>
                              <a:prstGeom prst="ellipse">
                                <a:avLst/>
                              </a:prstGeom>
                              <a:noFill/>
                              <a:ln w="9360">
                                <a:solidFill>
                                  <a:srgbClr val="000000"/>
                                </a:solidFill>
                                <a:miter/>
                              </a:ln>
                            </wps:spPr>
                            <wps:style>
                              <a:lnRef idx="0"/>
                              <a:fillRef idx="0"/>
                              <a:effectRef idx="0"/>
                              <a:fontRef idx="minor"/>
                            </wps:style>
                            <wps:bodyPr/>
                          </wps:wsp>
                        </a:graphicData>
                      </a:graphic>
                    </wp:anchor>
                  </w:drawing>
                </mc:Choice>
                <mc:Fallback>
                  <w:pict>
                    <v:oval id="shape_0" stroked="t" o:allowincell="f" style="position:absolute;margin-left:90pt;margin-top:29.05pt;width:21.55pt;height:14.35pt;mso-wrap-style:none;v-text-anchor:middle;mso-position-horizontal-relative:margin">
                      <v:fill o:detectmouseclick="t" on="false"/>
                      <v:stroke color="black" weight="9360" joinstyle="miter" endcap="flat"/>
                      <w10:wrap type="none"/>
                    </v:oval>
                  </w:pict>
                </mc:Fallback>
              </mc:AlternateContent>
            </w:r>
            <w:r>
              <w:rPr>
                <w:b/>
              </w:rPr>
              <w:t>2.</w:t>
            </w:r>
          </w:p>
        </w:tc>
        <w:tc>
          <w:tcPr>
            <w:tcW w:w="1260" w:type="dxa"/>
            <w:tcBorders>
              <w:top w:val="single" w:sz="4" w:space="0" w:color="000000"/>
              <w:bottom w:val="single" w:sz="4" w:space="0" w:color="000000"/>
              <w:right w:val="single" w:sz="4" w:space="0" w:color="000000"/>
            </w:tcBorders>
            <w:shd w:fill="FFFFFF" w:val="clear"/>
          </w:tcPr>
          <w:p>
            <w:pPr>
              <w:pStyle w:val="Footer"/>
              <w:tabs>
                <w:tab w:val="clear" w:pos="4320"/>
                <w:tab w:val="clear" w:pos="8640"/>
              </w:tabs>
              <w:snapToGrid w:val="false"/>
              <w:rPr>
                <w:rFonts w:ascii="Coronet" w:hAnsi="Coronet" w:cs="Coronet"/>
                <w:b/>
                <w:b/>
                <w:sz w:val="22"/>
              </w:rPr>
            </w:pPr>
            <w:r>
              <w:rPr>
                <w:rFonts w:cs="Coronet" w:ascii="Coronet" w:hAnsi="Coronet"/>
                <w:b/>
                <w:sz w:val="22"/>
              </w:rPr>
            </w:r>
          </w:p>
          <w:p>
            <w:pPr>
              <w:pStyle w:val="Footer"/>
              <w:tabs>
                <w:tab w:val="clear" w:pos="4320"/>
                <w:tab w:val="clear" w:pos="8640"/>
              </w:tabs>
              <w:rPr>
                <w:rFonts w:ascii="Coronet" w:hAnsi="Coronet" w:cs="Coronet"/>
                <w:sz w:val="22"/>
              </w:rPr>
            </w:pPr>
            <w:r>
              <w:rPr>
                <w:rFonts w:cs="Coronet" w:ascii="Coronet" w:hAnsi="Coronet"/>
                <w:sz w:val="22"/>
              </w:rPr>
              <w:t>8/2/2000</w:t>
            </w:r>
          </w:p>
        </w:tc>
        <w:tc>
          <w:tcPr>
            <w:tcW w:w="1233" w:type="dxa"/>
            <w:tcBorders>
              <w:top w:val="single" w:sz="4" w:space="0" w:color="000000"/>
              <w:bottom w:val="single" w:sz="4" w:space="0" w:color="000000"/>
              <w:right w:val="single" w:sz="4" w:space="0" w:color="000000"/>
            </w:tcBorders>
            <w:shd w:fill="FFFFFF" w:val="clear"/>
          </w:tcPr>
          <w:p>
            <w:pPr>
              <w:pStyle w:val="Normal"/>
              <w:snapToGrid w:val="false"/>
              <w:rPr>
                <w:rFonts w:ascii="Coronet" w:hAnsi="Coronet" w:cs="Coronet"/>
                <w:sz w:val="22"/>
              </w:rPr>
            </w:pPr>
            <w:r>
              <w:rPr>
                <w:rFonts w:cs="Coronet" w:ascii="Coronet" w:hAnsi="Coronet"/>
                <w:sz w:val="22"/>
              </w:rPr>
            </w:r>
          </w:p>
          <w:p>
            <w:pPr>
              <w:pStyle w:val="Normal"/>
              <w:rPr>
                <w:rFonts w:ascii="Coronet" w:hAnsi="Coronet" w:cs="Coronet"/>
                <w:sz w:val="22"/>
              </w:rPr>
            </w:pPr>
            <w:r>
              <w:rPr>
                <w:rFonts w:cs="Coronet" w:ascii="Coronet" w:hAnsi="Coronet"/>
                <w:sz w:val="22"/>
              </w:rPr>
              <w:t>4328713</w:t>
            </w:r>
          </w:p>
        </w:tc>
        <w:tc>
          <w:tcPr>
            <w:tcW w:w="927"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sz w:val="20"/>
              </w:rPr>
            </w:pPr>
            <w:r>
              <w:rPr>
                <w:sz w:val="20"/>
              </w:rPr>
              <w:t>RB   RICA</w:t>
            </w:r>
          </w:p>
          <w:p>
            <w:pPr>
              <w:pStyle w:val="CommentText"/>
              <w:spacing w:before="120" w:after="120"/>
              <w:rPr/>
            </w:pPr>
            <w:r>
              <w:rPr/>
              <w:t>LB    LICA</w:t>
            </w:r>
          </w:p>
        </w:tc>
        <w:tc>
          <w:tcPr>
            <w:tcW w:w="783" w:type="dxa"/>
            <w:tcBorders>
              <w:top w:val="sing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5:34</w:t>
            </w:r>
          </w:p>
        </w:tc>
        <w:tc>
          <w:tcPr>
            <w:tcW w:w="1080" w:type="dxa"/>
            <w:tcBorders>
              <w:top w:val="sing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413</w:t>
            </w:r>
          </w:p>
        </w:tc>
        <w:tc>
          <w:tcPr>
            <w:tcW w:w="1287"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rFonts w:ascii="Coronet" w:hAnsi="Coronet" w:cs="Coronet"/>
                <w:sz w:val="22"/>
              </w:rPr>
            </w:pPr>
            <w:r>
              <w:rPr>
                <w:rFonts w:cs="Coronet" w:ascii="Coronet" w:hAnsi="Coronet"/>
                <w:sz w:val="22"/>
              </w:rPr>
            </w:r>
          </w:p>
          <w:p>
            <w:pPr>
              <w:pStyle w:val="Header"/>
              <w:tabs>
                <w:tab w:val="clear" w:pos="4320"/>
                <w:tab w:val="clear" w:pos="8640"/>
              </w:tabs>
              <w:jc w:val="center"/>
              <w:rPr>
                <w:rFonts w:ascii="Coronet" w:hAnsi="Coronet" w:cs="Coronet"/>
                <w:sz w:val="22"/>
              </w:rPr>
            </w:pPr>
            <w:r>
              <w:rPr>
                <w:rFonts w:cs="Coronet" w:ascii="Coronet" w:hAnsi="Coronet"/>
                <w:sz w:val="22"/>
              </w:rPr>
              <w:t>Lesion in left bulb</w:t>
            </w:r>
          </w:p>
        </w:tc>
      </w:tr>
    </w:tbl>
    <w:p>
      <w:pPr>
        <w:pStyle w:val="Normal"/>
        <w:rPr/>
      </w:pPr>
      <w:r>
        <w:rPr/>
      </w:r>
    </w:p>
    <w:p>
      <w:pPr>
        <w:pStyle w:val="Normal"/>
        <w:rPr/>
      </w:pPr>
      <w:r>
        <w:rPr/>
      </w:r>
    </w:p>
    <w:p>
      <w:pPr>
        <w:pStyle w:val="Number11"/>
        <w:rPr/>
      </w:pPr>
      <w:r>
        <w:rPr/>
        <w:tab/>
        <w:t>2.3</w:t>
        <w:tab/>
        <w:t xml:space="preserve">The value of sonographer - reader communication cannot be overemphasized. </w:t>
      </w:r>
      <w:r>
        <w:rPr>
          <w:b/>
        </w:rPr>
        <w:t>Use the Comment section of the log sheet to communicate</w:t>
      </w:r>
      <w:r>
        <w:rPr/>
        <w:t xml:space="preserve"> any abnormalities, problems or difficulties encountered. For example, if a scan is canceled or if there are images missing or out of order, </w:t>
      </w:r>
      <w:r>
        <w:rPr>
          <w:b/>
        </w:rPr>
        <w:t>write it down</w:t>
      </w:r>
      <w:r>
        <w:rPr/>
        <w:t>. The readers base all of their decisions on the information the sonographer provides. It is not easy for a reader who is not medically trained, to distinguish plaque from artifact. Efforts by a sonographer to assist the reader in the analysis process are greatly appreciated.</w:t>
      </w:r>
    </w:p>
    <w:p>
      <w:pPr>
        <w:pStyle w:val="Normal"/>
        <w:rPr/>
      </w:pPr>
      <w:r>
        <w:rPr/>
      </w:r>
    </w:p>
    <w:p>
      <w:pPr>
        <w:pStyle w:val="Number1"/>
        <w:rPr/>
      </w:pPr>
      <w:r>
        <w:rPr/>
        <w:tab/>
        <w:t>3.</w:t>
        <w:tab/>
      </w:r>
      <w:r>
        <w:rPr>
          <w:u w:val="single"/>
        </w:rPr>
        <w:t>Shipping Videotapes and Log Sheets</w:t>
      </w:r>
    </w:p>
    <w:p>
      <w:pPr>
        <w:pStyle w:val="Normal"/>
        <w:rPr>
          <w:u w:val="single"/>
        </w:rPr>
      </w:pPr>
      <w:r>
        <w:rPr>
          <w:u w:val="single"/>
        </w:rPr>
      </w:r>
    </w:p>
    <w:p>
      <w:pPr>
        <w:pStyle w:val="Number11"/>
        <w:rPr/>
      </w:pPr>
      <w:r>
        <w:rPr/>
        <w:tab/>
        <w:t>3.1</w:t>
        <w:tab/>
        <w:t>The videotapes are to be sent monthly to the Ultrasound Reading Center. The package should include the videotape, log sheet and a hard copy packing slip. A copy of the log sheet should be made prior to packaging it with the videotape. This will enable the sonographer to maintain a record of his scanned subjects. Mailing labels will be provided at the training session, the delivery address is:</w:t>
      </w:r>
    </w:p>
    <w:p>
      <w:pPr>
        <w:pStyle w:val="Number11"/>
        <w:rPr/>
      </w:pPr>
      <w:r>
        <w:rPr/>
      </w:r>
    </w:p>
    <w:p>
      <w:pPr>
        <w:pStyle w:val="Number11body"/>
        <w:rPr/>
      </w:pPr>
      <w:r>
        <w:rPr/>
        <w:t>Daniel H. O’Leary, MD</w:t>
      </w:r>
    </w:p>
    <w:p>
      <w:pPr>
        <w:pStyle w:val="Number11body"/>
        <w:rPr/>
      </w:pPr>
      <w:r>
        <w:rPr/>
        <w:t>Ultrasound Reading Center</w:t>
      </w:r>
    </w:p>
    <w:p>
      <w:pPr>
        <w:pStyle w:val="Number11body"/>
        <w:rPr/>
      </w:pPr>
      <w:r>
        <w:rPr/>
        <w:t>750 Washington Street</w:t>
      </w:r>
    </w:p>
    <w:p>
      <w:pPr>
        <w:pStyle w:val="Number11body"/>
        <w:rPr/>
      </w:pPr>
      <w:r>
        <w:rPr/>
        <w:t>NEMC #380</w:t>
      </w:r>
    </w:p>
    <w:p>
      <w:pPr>
        <w:pStyle w:val="Number11body"/>
        <w:rPr/>
      </w:pPr>
      <w:r>
        <w:rPr/>
        <w:t>Boston, MA 02111</w:t>
      </w:r>
    </w:p>
    <w:p>
      <w:pPr>
        <w:pStyle w:val="Number11"/>
        <w:rPr/>
      </w:pPr>
      <w:r>
        <w:rPr/>
      </w:r>
    </w:p>
    <w:p>
      <w:pPr>
        <w:pStyle w:val="Number11"/>
        <w:rPr/>
      </w:pPr>
      <w:r>
        <w:rPr/>
        <w:tab/>
        <w:t>3.2</w:t>
        <w:tab/>
        <w:t>The Ultrasound Reading Center insists that a delivery service with tracking capabilities be used. This will reduce the possibility of lost data. United Parcel Service ground delivery has proven to be both satisfactory and economical.</w:t>
      </w:r>
    </w:p>
    <w:p>
      <w:pPr>
        <w:pStyle w:val="Number1"/>
        <w:rPr/>
      </w:pPr>
      <w:r>
        <w:rPr/>
      </w:r>
    </w:p>
    <w:p>
      <w:pPr>
        <w:pStyle w:val="Number1"/>
        <w:rPr/>
      </w:pPr>
      <w:r>
        <w:rPr/>
        <w:tab/>
        <w:t>4.</w:t>
        <w:tab/>
      </w:r>
      <w:r>
        <w:rPr>
          <w:u w:val="single"/>
        </w:rPr>
        <w:t>Data Transmission to the Coordinating Center</w:t>
      </w:r>
    </w:p>
    <w:p>
      <w:pPr>
        <w:pStyle w:val="Normal"/>
        <w:rPr>
          <w:b/>
          <w:b/>
        </w:rPr>
      </w:pPr>
      <w:r>
        <w:rPr>
          <w:b/>
        </w:rPr>
      </w:r>
    </w:p>
    <w:p>
      <w:pPr>
        <w:pStyle w:val="Number1body"/>
        <w:rPr/>
      </w:pPr>
      <w:r>
        <w:rPr/>
        <w:t xml:space="preserve">The carotid ultrasound analysis program output is an MS Access database that contains the calculated measurements and subjective scores for each analyzed participant study. The calculated measurements include values for the far wall, near wall, vessel width and lumen. The subjective scores that characterize the surface of the artery or lesion include assessments of the morphology, the percent stenosis, the location of the lesion, and the morphology. Also included with each participant data record are items such as sonographer ID, scan date, reader ID, read date and pulse-wave Doppler measurements. The data files will be appropriately formatted and sent on a regular basis to the Coordinating Center on either floppy disk or via e-mail. </w:t>
      </w:r>
    </w:p>
    <w:p>
      <w:pPr>
        <w:pStyle w:val="Normal"/>
        <w:rPr>
          <w:b/>
          <w:b/>
        </w:rPr>
      </w:pPr>
      <w:r>
        <w:rPr>
          <w:b/>
        </w:rPr>
      </w:r>
    </w:p>
    <w:p>
      <w:pPr>
        <w:pStyle w:val="Romanbold"/>
        <w:rPr/>
      </w:pPr>
      <w:r>
        <w:rPr/>
        <w:tab/>
        <w:t>IV.</w:t>
        <w:tab/>
        <w:t>Sonographer Quality Control</w:t>
      </w:r>
    </w:p>
    <w:p>
      <w:pPr>
        <w:pStyle w:val="Normal"/>
        <w:rPr/>
      </w:pPr>
      <w:r>
        <w:rPr/>
      </w:r>
    </w:p>
    <w:p>
      <w:pPr>
        <w:pStyle w:val="Romanbody"/>
        <w:rPr/>
      </w:pPr>
      <w:r>
        <w:rPr/>
        <w:t>Following initial certification sonographers will be evaluated continuously to monitor and assure quality control. Since reliable data is the essential element in studies that seek to monitor arterial change over time, great effort must be expended upon all aspects of quality control. The Ultrasound Reading Center has found it best to minimize the number of sonographers and to maintain the same reader thereby limiting problems prospectively rather than retrospectively adjusting data.</w:t>
      </w:r>
    </w:p>
    <w:p>
      <w:pPr>
        <w:pStyle w:val="Normal"/>
        <w:rPr/>
      </w:pPr>
      <w:r>
        <w:rPr/>
      </w:r>
    </w:p>
    <w:p>
      <w:pPr>
        <w:pStyle w:val="Number1"/>
        <w:rPr/>
      </w:pPr>
      <w:r>
        <w:rPr/>
        <w:tab/>
        <w:t>1.</w:t>
        <w:tab/>
      </w:r>
      <w:r>
        <w:rPr>
          <w:u w:val="single"/>
        </w:rPr>
        <w:t>Field Center Sonographers</w:t>
      </w:r>
    </w:p>
    <w:p>
      <w:pPr>
        <w:pStyle w:val="Normal"/>
        <w:rPr/>
      </w:pPr>
      <w:r>
        <w:rPr/>
      </w:r>
    </w:p>
    <w:p>
      <w:pPr>
        <w:pStyle w:val="Number11"/>
        <w:rPr/>
      </w:pPr>
      <w:r>
        <w:rPr/>
        <w:tab/>
        <w:t>1.1</w:t>
        <w:tab/>
        <w:t>If possible, two sonographers should perform all examinations at each field center on the same ultrasound machine. Ideally, these individuals would be an experienced vascular sonographer, preferably RVT certified or equivalent. If not the sonographers should have experience in an ICAVL accredited laboratory. The sonographers do not necessarily have to have experience performing research protocols. The Ultrasound Reading Center Carotid IMT protocol is such that it can be quickly taught to someone who routinely performs high quality clinical ultrasound examinations.</w:t>
      </w:r>
    </w:p>
    <w:p>
      <w:pPr>
        <w:pStyle w:val="Number11"/>
        <w:rPr/>
      </w:pPr>
      <w:r>
        <w:rPr/>
      </w:r>
    </w:p>
    <w:p>
      <w:pPr>
        <w:pStyle w:val="Number11"/>
        <w:rPr/>
      </w:pPr>
      <w:r>
        <w:rPr/>
        <w:tab/>
        <w:t>1.2</w:t>
        <w:tab/>
        <w:t>The Ultrasound Reading Center assumes that at most of the six field centers there will be two sonographers performing all of the carotid studies. Together with the Coordinating Center the Ultrasound Reading Center will assess inter-sonographer variation. Intra-sonographer variability measurements, which will involve the replicate scanning of approximately twenty subjects by the same sonographer on two different occasions, are highly recommended.</w:t>
      </w:r>
    </w:p>
    <w:p>
      <w:pPr>
        <w:pStyle w:val="Number11"/>
        <w:rPr/>
      </w:pPr>
      <w:r>
        <w:rPr/>
      </w:r>
    </w:p>
    <w:p>
      <w:pPr>
        <w:pStyle w:val="Number1"/>
        <w:rPr/>
      </w:pPr>
      <w:r>
        <w:rPr/>
        <w:tab/>
        <w:t>2.</w:t>
        <w:tab/>
      </w:r>
      <w:r>
        <w:rPr>
          <w:u w:val="single"/>
        </w:rPr>
        <w:t>Ultrasound Reading Center – Sonographer Communication</w:t>
      </w:r>
    </w:p>
    <w:p>
      <w:pPr>
        <w:pStyle w:val="Normal"/>
        <w:rPr>
          <w:u w:val="single"/>
        </w:rPr>
      </w:pPr>
      <w:r>
        <w:rPr>
          <w:u w:val="single"/>
        </w:rPr>
      </w:r>
    </w:p>
    <w:p>
      <w:pPr>
        <w:pStyle w:val="Number11"/>
        <w:rPr/>
      </w:pPr>
      <w:r>
        <w:rPr/>
        <w:tab/>
        <w:t>2.1</w:t>
        <w:tab/>
        <w:t xml:space="preserve">Experience with prior studies demonstrated the need for rapid and possibly frequent communication between the Ultrasound Reading Center and the sonographers. The project manager and readers will periodically call each of the field centers. Problems encountered by the sonographers and sonographer performance will be discussed and the importance of sonographer compliance with the protocol will be stressed. Examples of the kind of problems that required immediate attention in the past include the apparent non-recording of images on videotape and discordance between Doppler and imaging data. Sonographers are asked to keep notes when problems are recognized so that they may provide direction to the Ultrasound Reading Center when necessary. Sonographers are encouraged to call the project manager to discuss problems or questions as they arise. If necessary, a member of the Ultrasound Reading Center staff will visit field centers. The execution of the carotid protocol will be observed and equipment function evaluated. The purpose of the visits is to be a direct assistance to the sonographers and the field centers. </w:t>
      </w:r>
    </w:p>
    <w:p>
      <w:pPr>
        <w:pStyle w:val="Number11"/>
        <w:rPr/>
      </w:pPr>
      <w:r>
        <w:rPr/>
      </w:r>
    </w:p>
    <w:p>
      <w:pPr>
        <w:pStyle w:val="Number11"/>
        <w:rPr/>
      </w:pPr>
      <w:r>
        <w:rPr/>
        <w:tab/>
        <w:t>2.2</w:t>
        <w:tab/>
        <w:t xml:space="preserve">If a sonographer submits unacceptable or un-analyzable studies, the reader will alert the project manager. An unacceptable study is one from which very little or no data can be obtained. Unusable studies can be the result of poor images or failure to follow the protocol (incorrect images). Poor performance by a sonographer will result in a telephone call to the sonographer and the clinic coordinator from the project manager. Severe cases will warrant a memo to the field center and Ultrasound Reading Center Director documenting the persistent poor quality. </w:t>
      </w:r>
    </w:p>
    <w:p>
      <w:pPr>
        <w:pStyle w:val="Number11"/>
        <w:rPr/>
      </w:pPr>
      <w:r>
        <w:rPr/>
      </w:r>
    </w:p>
    <w:p>
      <w:pPr>
        <w:pStyle w:val="Number11"/>
        <w:rPr/>
      </w:pPr>
      <w:r>
        <w:rPr/>
        <w:tab/>
        <w:t>2.3</w:t>
        <w:tab/>
        <w:t xml:space="preserve">Throughout the exam period, the sonographer will receive sets of </w:t>
      </w:r>
      <w:r>
        <w:rPr>
          <w:i/>
        </w:rPr>
        <w:t xml:space="preserve">Reader Comments. </w:t>
      </w:r>
      <w:r>
        <w:rPr/>
        <w:t xml:space="preserve"> The </w:t>
      </w:r>
      <w:r>
        <w:rPr>
          <w:i/>
        </w:rPr>
        <w:t>Reader Comments</w:t>
      </w:r>
      <w:r>
        <w:rPr/>
        <w:t xml:space="preserve"> are written by the reader at the time of study analysis. Typically, the comments contain constructive criticisms and suggestions for improving the study images, i.e., gain adjustments, check the Doppler gate angle or position. More often than not, the </w:t>
      </w:r>
      <w:r>
        <w:rPr>
          <w:i/>
        </w:rPr>
        <w:t>Reader Comments</w:t>
      </w:r>
      <w:r>
        <w:rPr/>
        <w:t xml:space="preserve"> include such positive feedback as “Great images, thanks”.</w:t>
      </w:r>
    </w:p>
    <w:p>
      <w:pPr>
        <w:pStyle w:val="Normal"/>
        <w:rPr/>
      </w:pPr>
      <w:r>
        <w:rPr/>
      </w:r>
    </w:p>
    <w:p>
      <w:pPr>
        <w:pStyle w:val="Number1"/>
        <w:rPr/>
      </w:pPr>
      <w:r>
        <w:rPr/>
        <w:tab/>
        <w:t>3.</w:t>
        <w:tab/>
      </w:r>
      <w:r>
        <w:rPr>
          <w:u w:val="single"/>
        </w:rPr>
        <w:t>Ultrasound Reading Center Report on Sonographer Performance</w:t>
      </w:r>
    </w:p>
    <w:p>
      <w:pPr>
        <w:pStyle w:val="Normal"/>
        <w:rPr/>
      </w:pPr>
      <w:r>
        <w:rPr/>
      </w:r>
    </w:p>
    <w:p>
      <w:pPr>
        <w:pStyle w:val="Number11"/>
        <w:rPr/>
      </w:pPr>
      <w:r>
        <w:rPr/>
        <w:tab/>
        <w:t>3.1</w:t>
        <w:tab/>
        <w:t xml:space="preserve">In addition to the </w:t>
      </w:r>
      <w:r>
        <w:rPr>
          <w:i/>
        </w:rPr>
        <w:t>Reader Comments,</w:t>
      </w:r>
      <w:r>
        <w:rPr/>
        <w:t xml:space="preserve"> sonographers will receive feedback from the Ultrasound Reading Center in the form of a sonographer performance quality control report. The maintenance of high performance requires immediate and direct feedback. The reports, which will be published bi-monthly, quantitatively track each sonographer’s performance. Copies of the reports will be distributed to the field centers, the Ultrasound Reading Center PI and the coordinating center. Cumulative summaries will be published periodically to serve as an ongoing benchmark against which to judge individual results.</w:t>
      </w:r>
    </w:p>
    <w:p>
      <w:pPr>
        <w:pStyle w:val="Number11"/>
        <w:rPr/>
      </w:pPr>
      <w:r>
        <w:rPr/>
      </w:r>
    </w:p>
    <w:p>
      <w:pPr>
        <w:pStyle w:val="Number11"/>
        <w:rPr/>
      </w:pPr>
      <w:r>
        <w:rPr/>
        <w:tab/>
        <w:t>3.2</w:t>
        <w:tab/>
        <w:t xml:space="preserve">The report will include the number of studies, average image quality scores and percentages of possible lines drawn and Doppler velocity measurements tabulated for all of the field centers, and then by each individual field center, by sonographer and reader. A one page summary report that highlights the overall study results as well as the best and the worst field center and sonographers will accompany each report. Consistently poor performance by a sonographer will initiate a call of encouragement and investigation by the project manager. Continued poor performance will result in the sonographer being re-trained or replaced. </w:t>
      </w:r>
    </w:p>
    <w:p>
      <w:pPr>
        <w:pStyle w:val="Number11"/>
        <w:rPr/>
      </w:pPr>
      <w:r>
        <w:rPr/>
      </w:r>
    </w:p>
    <w:p>
      <w:pPr>
        <w:pStyle w:val="Number1"/>
        <w:rPr/>
      </w:pPr>
      <w:r>
        <w:rPr/>
        <w:tab/>
        <w:t>4.</w:t>
        <w:tab/>
      </w:r>
      <w:r>
        <w:rPr>
          <w:u w:val="single"/>
        </w:rPr>
        <w:t>Performance Standards During Examination Period</w:t>
      </w:r>
    </w:p>
    <w:p>
      <w:pPr>
        <w:pStyle w:val="Normal"/>
        <w:rPr>
          <w:u w:val="single"/>
        </w:rPr>
      </w:pPr>
      <w:r>
        <w:rPr>
          <w:u w:val="single"/>
        </w:rPr>
      </w:r>
    </w:p>
    <w:p>
      <w:pPr>
        <w:pStyle w:val="Number1body"/>
        <w:rPr/>
      </w:pPr>
      <w:r>
        <w:rPr/>
        <w:t xml:space="preserve">A baseline quality control score, derived from the score assigned to each image and the number of lines drawn for each image, will be established after analysis of pilot and pre-pilot data, below which sonographer performance will be considered unacceptable if maintained for three consecutive weeks. The readers will be monitored to ensure uniform scoring throughout the exam period. Additional training may be required of sonographers and/or readers in the event of any significant temporal drift in accuracy or precision of sonography study performance and/or reading. In terms of the analysis of the actual measurements produced, we will subscribe to those suggested by echocardiography - namely, a goal of mean variability of 10%, with a cut-off point of 15% acceptable variability. </w:t>
      </w:r>
    </w:p>
    <w:p>
      <w:pPr>
        <w:pStyle w:val="Normal"/>
        <w:rPr>
          <w:b/>
          <w:b/>
        </w:rPr>
      </w:pPr>
      <w:r>
        <w:rPr>
          <w:b/>
        </w:rPr>
      </w:r>
    </w:p>
    <w:p>
      <w:pPr>
        <w:pStyle w:val="Number1"/>
        <w:rPr/>
      </w:pPr>
      <w:r>
        <w:rPr/>
        <w:tab/>
        <w:t>5.</w:t>
        <w:tab/>
      </w:r>
      <w:r>
        <w:rPr>
          <w:u w:val="single"/>
        </w:rPr>
        <w:t>Replacement or Retraining of a Sonographer</w:t>
      </w:r>
    </w:p>
    <w:p>
      <w:pPr>
        <w:pStyle w:val="Normal"/>
        <w:rPr>
          <w:u w:val="single"/>
        </w:rPr>
      </w:pPr>
      <w:r>
        <w:rPr>
          <w:u w:val="single"/>
        </w:rPr>
      </w:r>
    </w:p>
    <w:p>
      <w:pPr>
        <w:pStyle w:val="Number1body"/>
        <w:rPr/>
      </w:pPr>
      <w:r>
        <w:rPr/>
        <w:t>If a sonographer resigns or is replaced due to poor performance, a replacement must be trained and certified prior to performing scans on research subjects. The Ultrasound Reading Center must conduct all sonographer training. A new sonographer can be introduced to the protocol by a certified sonographer, but the new sonographer will not be certified to conduct participant exams until he attends an Ultrasound Reading Center training session. Contact the Ultrasound Reading Center Project Manager immediately when the need to train a new sonographer becomes apparent. Due to the Ultrasound Reading Center’s involvement in numerous national multi-center research studies, it may be possible to identify a local sonographer who is certified to execute the carotid ultrasound protocol to assist with the training.</w:t>
      </w:r>
    </w:p>
    <w:p>
      <w:pPr>
        <w:pStyle w:val="Normal"/>
        <w:rPr/>
      </w:pPr>
      <w:r>
        <w:rPr/>
      </w:r>
    </w:p>
    <w:p>
      <w:pPr>
        <w:pStyle w:val="Number1"/>
        <w:rPr/>
      </w:pPr>
      <w:r>
        <w:rPr/>
        <w:tab/>
        <w:t>6.</w:t>
        <w:tab/>
      </w:r>
      <w:r>
        <w:rPr>
          <w:u w:val="single"/>
        </w:rPr>
        <w:t>Within Sonographer Variability Assessment</w:t>
      </w:r>
      <w:r>
        <w:rPr/>
        <w:t xml:space="preserve"> </w:t>
      </w:r>
    </w:p>
    <w:p>
      <w:pPr>
        <w:pStyle w:val="Normal"/>
        <w:rPr/>
      </w:pPr>
      <w:r>
        <w:rPr/>
      </w:r>
    </w:p>
    <w:p>
      <w:pPr>
        <w:pStyle w:val="Number1body"/>
        <w:rPr/>
      </w:pPr>
      <w:r>
        <w:rPr/>
        <w:t>Intra-sonographer variability during the examination period will be assessed from the data obtained by repeating complete carotid ultrasound studies on a number of subjects. Each sonographer will complete two scans on a subset of approximately twenty participants distributed throughout the exam time period. The videotapes will be sent to the Ultrasound Reading Center for analysis coded with random number assigned by the Coordinating Center. The reader will be blinded – he will not know that a study he is analyzing is a standard or a sonographer intra-variability quality control study. Subjects for the replicate studies will be recruited during the exit interview. They will not be recruited by the sonographer. The repeat scan should be scheduled to occur no sooner than one week and no later than one month after the initial scan. On the return visits, each volunteer will be scanned once by each sonographer.</w:t>
      </w:r>
    </w:p>
    <w:p>
      <w:pPr>
        <w:pStyle w:val="Normal"/>
        <w:rPr/>
      </w:pPr>
      <w:r>
        <w:rPr/>
        <w:t xml:space="preserve"> </w:t>
      </w:r>
    </w:p>
    <w:p>
      <w:pPr>
        <w:pStyle w:val="Number1"/>
        <w:rPr/>
      </w:pPr>
      <w:r>
        <w:rPr/>
        <w:tab/>
        <w:t>7.</w:t>
        <w:tab/>
      </w:r>
      <w:r>
        <w:rPr>
          <w:u w:val="single"/>
        </w:rPr>
        <w:t>Achieving and Maintaining Quality Ultrasound Data</w:t>
      </w:r>
    </w:p>
    <w:p>
      <w:pPr>
        <w:pStyle w:val="Normal"/>
        <w:rPr>
          <w:b/>
          <w:b/>
          <w:u w:val="single"/>
        </w:rPr>
      </w:pPr>
      <w:r>
        <w:rPr>
          <w:b/>
          <w:u w:val="single"/>
        </w:rPr>
      </w:r>
    </w:p>
    <w:p>
      <w:pPr>
        <w:pStyle w:val="Number11"/>
        <w:rPr/>
      </w:pPr>
      <w:r>
        <w:rPr/>
        <w:tab/>
        <w:t>7.1</w:t>
        <w:tab/>
        <w:t>Quality carotid ultrasound data begins with the sonographer. The sonographer produces the images from which the readers extract the date. A poor set of images results in a poor and sometimes incomplete set of data. The readers are entirely dependent upon the sonographers to provide clear images and to explain any conditions, anatomical or procedural that vary from the norm.</w:t>
      </w:r>
    </w:p>
    <w:p>
      <w:pPr>
        <w:pStyle w:val="Number11"/>
        <w:rPr/>
      </w:pPr>
      <w:r>
        <w:rPr/>
      </w:r>
    </w:p>
    <w:p>
      <w:pPr>
        <w:pStyle w:val="Number11"/>
        <w:rPr/>
      </w:pPr>
      <w:r>
        <w:rPr/>
        <w:tab/>
        <w:t>7.2</w:t>
        <w:tab/>
        <w:t>To maintain high quality ultrasound data:</w:t>
      </w:r>
    </w:p>
    <w:p>
      <w:pPr>
        <w:pStyle w:val="Footer"/>
        <w:tabs>
          <w:tab w:val="clear" w:pos="4320"/>
          <w:tab w:val="clear" w:pos="8640"/>
        </w:tabs>
        <w:rPr/>
      </w:pPr>
      <w:r>
        <w:rPr/>
      </w:r>
    </w:p>
    <w:p>
      <w:pPr>
        <w:pStyle w:val="Number111"/>
        <w:rPr/>
      </w:pPr>
      <w:r>
        <w:rPr/>
        <w:tab/>
        <w:t>7.21</w:t>
        <w:tab/>
        <w:t>Acquire nothing but clean images that clearly display the intimal linings and the lesions. The intimal linings and the lesions are the top priority, they are what is measured by the reader. It is expected that in order to clearly display the intimal linings the lumen will contain more artifact than the typical clinical study. Review Section 2.4, “Priorities.”</w:t>
      </w:r>
    </w:p>
    <w:p>
      <w:pPr>
        <w:pStyle w:val="Number111"/>
        <w:rPr/>
      </w:pPr>
      <w:r>
        <w:rPr/>
      </w:r>
    </w:p>
    <w:p>
      <w:pPr>
        <w:pStyle w:val="Number111"/>
        <w:rPr/>
      </w:pPr>
      <w:r>
        <w:rPr/>
        <w:tab/>
        <w:t>7.22</w:t>
        <w:tab/>
        <w:t>Videotape the images in the order stated by the protocol. A study that is videotaped out of order is not as easy for the readers to analyze.</w:t>
      </w:r>
    </w:p>
    <w:p>
      <w:pPr>
        <w:pStyle w:val="Number111bodybullet"/>
        <w:rPr/>
      </w:pPr>
      <w:r>
        <w:rPr/>
      </w:r>
    </w:p>
    <w:p>
      <w:pPr>
        <w:pStyle w:val="Number111bodybullet"/>
        <w:rPr/>
      </w:pPr>
      <w:r>
        <w:rPr/>
        <w:tab/>
      </w:r>
      <w:r>
        <w:rPr>
          <w:rFonts w:eastAsia="Symbol" w:cs="Symbol" w:ascii="Symbol" w:hAnsi="Symbol"/>
        </w:rPr>
        <w:t></w:t>
      </w:r>
      <w:r>
        <w:rPr/>
        <w:tab/>
        <w:t>Right transverse sweep of common and internal</w:t>
      </w:r>
    </w:p>
    <w:p>
      <w:pPr>
        <w:pStyle w:val="Number111bodybullet"/>
        <w:rPr/>
      </w:pPr>
      <w:r>
        <w:rPr/>
        <w:tab/>
      </w:r>
      <w:r>
        <w:rPr>
          <w:rFonts w:eastAsia="Symbol" w:cs="Symbol" w:ascii="Symbol" w:hAnsi="Symbol"/>
        </w:rPr>
        <w:t></w:t>
      </w:r>
      <w:r>
        <w:rPr/>
        <w:tab/>
        <w:t>Right pulse wave Doppler measurement</w:t>
      </w:r>
    </w:p>
    <w:p>
      <w:pPr>
        <w:pStyle w:val="Number111bodybullet"/>
        <w:rPr/>
      </w:pPr>
      <w:r>
        <w:rPr/>
        <w:tab/>
      </w:r>
      <w:r>
        <w:rPr>
          <w:rFonts w:eastAsia="Symbol" w:cs="Symbol" w:ascii="Symbol" w:hAnsi="Symbol"/>
        </w:rPr>
        <w:t></w:t>
      </w:r>
      <w:r>
        <w:rPr/>
        <w:tab/>
        <w:t>Right common carotid</w:t>
      </w:r>
    </w:p>
    <w:p>
      <w:pPr>
        <w:pStyle w:val="Number111bodybullet"/>
        <w:rPr/>
      </w:pPr>
      <w:r>
        <w:rPr/>
        <w:tab/>
      </w:r>
      <w:r>
        <w:rPr>
          <w:rFonts w:eastAsia="Symbol" w:cs="Symbol" w:ascii="Symbol" w:hAnsi="Symbol"/>
        </w:rPr>
        <w:t></w:t>
      </w:r>
      <w:r>
        <w:rPr/>
        <w:tab/>
        <w:t>Right internal/bulb anterior oblique</w:t>
      </w:r>
    </w:p>
    <w:p>
      <w:pPr>
        <w:pStyle w:val="Number111bodybullet"/>
        <w:rPr/>
      </w:pPr>
      <w:r>
        <w:rPr/>
        <w:tab/>
      </w:r>
      <w:r>
        <w:rPr>
          <w:rFonts w:eastAsia="Symbol" w:cs="Symbol" w:ascii="Symbol" w:hAnsi="Symbol"/>
        </w:rPr>
        <w:t></w:t>
      </w:r>
      <w:r>
        <w:rPr/>
        <w:tab/>
        <w:t>Right internal/bulb lateral oblique</w:t>
      </w:r>
    </w:p>
    <w:p>
      <w:pPr>
        <w:pStyle w:val="Number111bodybullet"/>
        <w:rPr/>
      </w:pPr>
      <w:r>
        <w:rPr/>
        <w:tab/>
      </w:r>
      <w:r>
        <w:rPr>
          <w:rFonts w:eastAsia="Symbol" w:cs="Symbol" w:ascii="Symbol" w:hAnsi="Symbol"/>
        </w:rPr>
        <w:t></w:t>
      </w:r>
      <w:r>
        <w:rPr/>
        <w:tab/>
        <w:t>Right posterior/bulb oblique</w:t>
      </w:r>
    </w:p>
    <w:p>
      <w:pPr>
        <w:pStyle w:val="Number111bodybullet"/>
        <w:rPr/>
      </w:pPr>
      <w:r>
        <w:rPr/>
        <w:tab/>
      </w:r>
      <w:r>
        <w:rPr>
          <w:rFonts w:eastAsia="Symbol" w:cs="Symbol" w:ascii="Symbol" w:hAnsi="Symbol"/>
        </w:rPr>
        <w:t></w:t>
      </w:r>
      <w:r>
        <w:rPr/>
        <w:tab/>
        <w:t>Left transverse sweep of common and internal</w:t>
      </w:r>
    </w:p>
    <w:p>
      <w:pPr>
        <w:pStyle w:val="Number111bodybullet"/>
        <w:rPr/>
      </w:pPr>
      <w:r>
        <w:rPr/>
        <w:tab/>
      </w:r>
      <w:r>
        <w:rPr>
          <w:rFonts w:eastAsia="Symbol" w:cs="Symbol" w:ascii="Symbol" w:hAnsi="Symbol"/>
        </w:rPr>
        <w:t></w:t>
      </w:r>
      <w:r>
        <w:rPr/>
        <w:tab/>
        <w:t xml:space="preserve">Left pulse wave Doppler measurement </w:t>
      </w:r>
    </w:p>
    <w:p>
      <w:pPr>
        <w:pStyle w:val="Number111bodybullet"/>
        <w:rPr/>
      </w:pPr>
      <w:r>
        <w:rPr/>
        <w:tab/>
      </w:r>
      <w:r>
        <w:rPr>
          <w:rFonts w:eastAsia="Symbol" w:cs="Symbol" w:ascii="Symbol" w:hAnsi="Symbol"/>
        </w:rPr>
        <w:t></w:t>
      </w:r>
      <w:r>
        <w:rPr/>
        <w:tab/>
        <w:t>Left common carotid</w:t>
      </w:r>
    </w:p>
    <w:p>
      <w:pPr>
        <w:pStyle w:val="Number111bodybullet"/>
        <w:rPr/>
      </w:pPr>
      <w:r>
        <w:rPr/>
        <w:tab/>
      </w:r>
      <w:r>
        <w:rPr>
          <w:rFonts w:eastAsia="Symbol" w:cs="Symbol" w:ascii="Symbol" w:hAnsi="Symbol"/>
        </w:rPr>
        <w:t></w:t>
      </w:r>
      <w:r>
        <w:rPr/>
        <w:tab/>
        <w:t>Left internal/bulb anterior oblique</w:t>
      </w:r>
    </w:p>
    <w:p>
      <w:pPr>
        <w:pStyle w:val="Number111bodybullet"/>
        <w:rPr/>
      </w:pPr>
      <w:r>
        <w:rPr/>
        <w:tab/>
      </w:r>
      <w:r>
        <w:rPr>
          <w:rFonts w:eastAsia="Symbol" w:cs="Symbol" w:ascii="Symbol" w:hAnsi="Symbol"/>
        </w:rPr>
        <w:t></w:t>
      </w:r>
      <w:r>
        <w:rPr/>
        <w:tab/>
        <w:t>Left internal/bulb lateral oblique</w:t>
      </w:r>
    </w:p>
    <w:p>
      <w:pPr>
        <w:pStyle w:val="Number111bodybullet"/>
        <w:rPr/>
      </w:pPr>
      <w:r>
        <w:rPr/>
        <w:tab/>
      </w:r>
      <w:r>
        <w:rPr>
          <w:rFonts w:eastAsia="Symbol" w:cs="Symbol" w:ascii="Symbol" w:hAnsi="Symbol"/>
        </w:rPr>
        <w:t></w:t>
      </w:r>
      <w:r>
        <w:rPr/>
        <w:tab/>
        <w:t>Left internal/bulb posterior oblique</w:t>
      </w:r>
    </w:p>
    <w:p>
      <w:pPr>
        <w:pStyle w:val="Number111bodybullet"/>
        <w:rPr/>
      </w:pPr>
      <w:r>
        <w:rPr/>
      </w:r>
    </w:p>
    <w:p>
      <w:pPr>
        <w:pStyle w:val="Number111"/>
        <w:rPr/>
      </w:pPr>
      <w:r>
        <w:rPr/>
        <w:tab/>
        <w:t>7.23</w:t>
        <w:tab/>
        <w:t>Annotate the images with the following information:</w:t>
      </w:r>
    </w:p>
    <w:p>
      <w:pPr>
        <w:pStyle w:val="Number111bodybullet"/>
        <w:rPr/>
      </w:pPr>
      <w:r>
        <w:rPr/>
      </w:r>
    </w:p>
    <w:p>
      <w:pPr>
        <w:pStyle w:val="Number111bodybullet"/>
        <w:rPr/>
      </w:pPr>
      <w:r>
        <w:rPr/>
        <w:tab/>
      </w:r>
      <w:r>
        <w:rPr>
          <w:rFonts w:eastAsia="Symbol" w:cs="Symbol" w:ascii="Symbol" w:hAnsi="Symbol"/>
        </w:rPr>
        <w:t></w:t>
      </w:r>
      <w:r>
        <w:rPr/>
        <w:tab/>
        <w:t>MESA</w:t>
      </w:r>
    </w:p>
    <w:p>
      <w:pPr>
        <w:pStyle w:val="Number111bodybullet"/>
        <w:rPr/>
      </w:pPr>
      <w:r>
        <w:rPr/>
        <w:tab/>
      </w:r>
      <w:r>
        <w:rPr>
          <w:rFonts w:eastAsia="Symbol" w:cs="Symbol" w:ascii="Symbol" w:hAnsi="Symbol"/>
        </w:rPr>
        <w:t></w:t>
      </w:r>
      <w:r>
        <w:rPr/>
        <w:tab/>
        <w:t>Subject ID</w:t>
      </w:r>
    </w:p>
    <w:p>
      <w:pPr>
        <w:pStyle w:val="Number111bodybullet"/>
        <w:rPr/>
      </w:pPr>
      <w:r>
        <w:rPr/>
        <w:tab/>
      </w:r>
      <w:r>
        <w:rPr>
          <w:rFonts w:eastAsia="Symbol" w:cs="Symbol" w:ascii="Symbol" w:hAnsi="Symbol"/>
        </w:rPr>
        <w:t></w:t>
      </w:r>
      <w:r>
        <w:rPr/>
        <w:tab/>
        <w:t>Subject Acrostic</w:t>
      </w:r>
    </w:p>
    <w:p>
      <w:pPr>
        <w:pStyle w:val="Number111bodybullet"/>
        <w:rPr/>
      </w:pPr>
      <w:r>
        <w:rPr/>
        <w:tab/>
      </w:r>
      <w:r>
        <w:rPr>
          <w:rFonts w:eastAsia="Symbol" w:cs="Symbol" w:ascii="Symbol" w:hAnsi="Symbol"/>
        </w:rPr>
        <w:t></w:t>
      </w:r>
      <w:r>
        <w:rPr/>
        <w:tab/>
        <w:t>Sonographer ID</w:t>
      </w:r>
    </w:p>
    <w:p>
      <w:pPr>
        <w:pStyle w:val="Number111bodybullet"/>
        <w:rPr/>
      </w:pPr>
      <w:r>
        <w:rPr/>
        <w:tab/>
      </w:r>
      <w:r>
        <w:rPr>
          <w:rFonts w:eastAsia="Symbol" w:cs="Symbol" w:ascii="Symbol" w:hAnsi="Symbol"/>
        </w:rPr>
        <w:t></w:t>
      </w:r>
      <w:r>
        <w:rPr/>
        <w:tab/>
        <w:t>Image acronyms: RPW, RCC, RAO, RLO, RPO, LPW, LCC, LAO, LLO, LPO</w:t>
      </w:r>
    </w:p>
    <w:p>
      <w:pPr>
        <w:pStyle w:val="Number111bodybullet"/>
        <w:rPr/>
      </w:pPr>
      <w:r>
        <w:rPr/>
      </w:r>
    </w:p>
    <w:p>
      <w:pPr>
        <w:pStyle w:val="Number111"/>
        <w:rPr/>
      </w:pPr>
      <w:r>
        <w:rPr/>
        <w:tab/>
        <w:t>7.24</w:t>
        <w:tab/>
        <w:t>Magnify the views of the CCA and ICA. Keep the magnification level constant throughout the scan.</w:t>
      </w:r>
    </w:p>
    <w:p>
      <w:pPr>
        <w:pStyle w:val="Number111"/>
        <w:rPr/>
      </w:pPr>
      <w:r>
        <w:rPr/>
      </w:r>
    </w:p>
    <w:p>
      <w:pPr>
        <w:pStyle w:val="Number111"/>
        <w:rPr/>
      </w:pPr>
      <w:r>
        <w:rPr/>
        <w:tab/>
        <w:t>7.25</w:t>
        <w:tab/>
        <w:t>Annotate the images and use arrows to distinguish the vessels when the images are atypical. Don’t force the reader to guess which vessel is the internal and which is the external carotid.</w:t>
      </w:r>
    </w:p>
    <w:p>
      <w:pPr>
        <w:pStyle w:val="Number111"/>
        <w:rPr/>
      </w:pPr>
      <w:r>
        <w:rPr/>
      </w:r>
    </w:p>
    <w:p>
      <w:pPr>
        <w:pStyle w:val="Number111"/>
        <w:rPr/>
      </w:pPr>
      <w:r>
        <w:rPr>
          <w:b/>
        </w:rPr>
        <w:tab/>
      </w:r>
      <w:r>
        <w:rPr>
          <w:bCs/>
        </w:rPr>
        <w:t>7.26</w:t>
      </w:r>
      <w:r>
        <w:rPr>
          <w:b/>
        </w:rPr>
        <w:tab/>
        <w:t>Use the Comment section of the log sheet to communicate</w:t>
      </w:r>
      <w:r>
        <w:rPr/>
        <w:t xml:space="preserve"> any abnormalities, problems or difficulties encountered. For example, if a scan is canceled or if there are images missing or out of order, </w:t>
      </w:r>
      <w:r>
        <w:rPr>
          <w:b/>
        </w:rPr>
        <w:t>write it down</w:t>
      </w:r>
      <w:r>
        <w:rPr/>
        <w:t>. The importance of this communication cannot be stressed enough. The readers are not medically trained and must base their decisions on the information the sonographer provides.</w:t>
      </w:r>
    </w:p>
    <w:p>
      <w:pPr>
        <w:pStyle w:val="Number111"/>
        <w:rPr/>
      </w:pPr>
      <w:r>
        <w:rPr/>
      </w:r>
    </w:p>
    <w:p>
      <w:pPr>
        <w:pStyle w:val="Number111"/>
        <w:rPr/>
      </w:pPr>
      <w:r>
        <w:rPr/>
        <w:tab/>
        <w:t>7.27</w:t>
        <w:tab/>
        <w:t>Videotape the frozen images for 5-10 seconds. Any less than 5 seconds makes the image difficult to capture and any longer than 10 seconds reduces the reader’s efficiency.</w:t>
      </w:r>
    </w:p>
    <w:p>
      <w:pPr>
        <w:pStyle w:val="Number111"/>
        <w:rPr/>
      </w:pPr>
      <w:r>
        <w:rPr/>
      </w:r>
    </w:p>
    <w:p>
      <w:pPr>
        <w:pStyle w:val="Number111"/>
        <w:rPr/>
      </w:pPr>
      <w:r>
        <w:rPr/>
        <w:tab/>
        <w:t>7.28</w:t>
        <w:tab/>
        <w:t>Videotape the complete cine loops. Cine loops enable the reader to discriminate between true anatomy and artifact.</w:t>
      </w:r>
    </w:p>
    <w:p>
      <w:pPr>
        <w:pStyle w:val="Number111"/>
        <w:rPr/>
      </w:pPr>
      <w:r>
        <w:rPr/>
      </w:r>
    </w:p>
    <w:p>
      <w:pPr>
        <w:pStyle w:val="Number111"/>
        <w:rPr/>
      </w:pPr>
      <w:r>
        <w:rPr/>
        <w:tab/>
        <w:t>7.29</w:t>
        <w:tab/>
        <w:t>Take the time to verify subject ID’s. Check the ID typed into the ultrasound machine and written on the log sheet. If an incorrect ID is videotaped because the wrong ID was typed into the ultrasound machine, tell the Ultrasound Reading Center about it with a note in the Comments section of the log sheet. After the videotape leaves the field center sorting out erroneous ID’s can be a very difficult, if not impossible task. Watch for transpositions.</w:t>
      </w:r>
    </w:p>
    <w:p>
      <w:pPr>
        <w:sectPr>
          <w:headerReference w:type="even" r:id="rId158"/>
          <w:headerReference w:type="default" r:id="rId159"/>
          <w:footerReference w:type="even" r:id="rId160"/>
          <w:footerReference w:type="default" r:id="rId161"/>
          <w:type w:val="oddPage"/>
          <w:pgSz w:w="12240" w:h="15840"/>
          <w:pgMar w:left="2880" w:right="1080" w:gutter="0" w:header="720" w:top="1440" w:footer="720" w:bottom="1440"/>
          <w:pgNumType w:fmt="decimal"/>
          <w:formProt w:val="false"/>
          <w:textDirection w:val="lrTb"/>
          <w:docGrid w:type="default" w:linePitch="360" w:charSpace="0"/>
        </w:sectPr>
        <w:pStyle w:val="Number111"/>
        <w:rPr/>
      </w:pPr>
      <w:r>
        <w:rPr/>
      </w:r>
    </w:p>
    <w:p>
      <w:pPr>
        <w:pStyle w:val="Subsub"/>
        <w:rPr/>
      </w:pPr>
      <w:bookmarkStart w:id="36" w:name="__RefHeading___Toc503858992"/>
      <w:bookmarkEnd w:id="36"/>
      <w:r>
        <w:rPr/>
        <w:t>3.8.4  Arterial Pulse Wave</w:t>
      </w:r>
    </w:p>
    <w:p>
      <w:pPr>
        <w:pStyle w:val="Normal"/>
        <w:jc w:val="center"/>
        <w:rPr/>
      </w:pPr>
      <w:r>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Normal"/>
        <w:jc w:val="center"/>
        <w:rPr>
          <w:b/>
          <w:b/>
          <w:sz w:val="28"/>
        </w:rPr>
      </w:pPr>
      <w:r>
        <w:rPr>
          <w:b/>
          <w:sz w:val="28"/>
        </w:rPr>
      </w:r>
    </w:p>
    <w:p>
      <w:pPr>
        <w:pStyle w:val="WPNormal"/>
        <w:widowControl/>
        <w:overflowPunct w:val="true"/>
        <w:autoSpaceDE w:val="true"/>
        <w:textAlignment w:val="auto"/>
        <w:rPr>
          <w:b/>
          <w:b/>
          <w:sz w:val="28"/>
        </w:rPr>
      </w:pPr>
      <w:r>
        <w:rPr>
          <w:b/>
          <w:sz w:val="28"/>
        </w:rPr>
      </w:r>
    </w:p>
    <w:p>
      <w:pPr>
        <w:pStyle w:val="Normal"/>
        <w:numPr>
          <w:ilvl w:val="0"/>
          <w:numId w:val="35"/>
        </w:numPr>
        <w:rPr>
          <w:b/>
          <w:b/>
        </w:rPr>
      </w:pPr>
      <w:r>
        <w:rPr>
          <w:b/>
        </w:rPr>
        <w:t>Overview of the Arterial Pulse Wave Protocol</w:t>
      </w:r>
    </w:p>
    <w:p>
      <w:pPr>
        <w:pStyle w:val="Normal"/>
        <w:rPr>
          <w:b/>
          <w:b/>
        </w:rPr>
      </w:pPr>
      <w:r>
        <w:rPr>
          <w:b/>
        </w:rPr>
      </w:r>
    </w:p>
    <w:p>
      <w:pPr>
        <w:pStyle w:val="Normal"/>
        <w:rPr/>
      </w:pPr>
      <w:r>
        <w:rPr/>
        <w:t xml:space="preserve">The MESA sonographers will acquire the arterial pulse wave data and the Ultrasound Reading Center will supervise the acquisition and compile it. Analyses will follow. The arterial pulse wave data will be acquired with the Hypertension Diagnostics, Inc. PulseWave CR-2000 device. PulseWave CR-2000 devices were sent to each of the six MESA field centers the week of May 1, 2000. The MESA computers that will be connected to this device were delivered to the field centers the week of May 8, 2000. HDI has provided null modem cables and specific directions on how to connect the pulse wave device to the computer. </w:t>
      </w:r>
    </w:p>
    <w:p>
      <w:pPr>
        <w:pStyle w:val="Normal"/>
        <w:rPr/>
      </w:pPr>
      <w:r>
        <w:rPr/>
      </w:r>
    </w:p>
    <w:p>
      <w:pPr>
        <w:pStyle w:val="Normal"/>
        <w:rPr/>
      </w:pPr>
      <w:r>
        <w:rPr/>
        <w:t>The PulseWave CR-2000 obtains blood pressure measurements and arterial pulse waveforms with an oscillometric blood pressure module, and an arterial pulse pressure sensor. The blood pressure measurements are taken from the upper left arm and the pulse pressure sensor is positioned on the right wrist.</w:t>
      </w:r>
    </w:p>
    <w:p>
      <w:pPr>
        <w:pStyle w:val="Normal"/>
        <w:rPr/>
      </w:pPr>
      <w:r>
        <w:rPr/>
      </w:r>
    </w:p>
    <w:p>
      <w:pPr>
        <w:pStyle w:val="Normal"/>
        <w:rPr/>
      </w:pPr>
      <w:r>
        <w:rPr/>
        <w:t>The arterial pulse wave data is initially and temporarily stored on the PulseWave CR-2000. A maximum of 30 records can be stored in the device. Subsequent records are deleted: first in, first out. At the end of each working day, the new MESA data is uploaded to the MESA computer. Each Thursday data is transmitted to the Ultrasound Reading Center where it will be processed.</w:t>
      </w:r>
    </w:p>
    <w:p>
      <w:pPr>
        <w:pStyle w:val="Normal"/>
        <w:rPr/>
      </w:pPr>
      <w:r>
        <w:rPr/>
      </w:r>
    </w:p>
    <w:p>
      <w:pPr>
        <w:pStyle w:val="Normal"/>
        <w:numPr>
          <w:ilvl w:val="0"/>
          <w:numId w:val="35"/>
        </w:numPr>
        <w:rPr>
          <w:b/>
          <w:b/>
        </w:rPr>
      </w:pPr>
      <w:r>
        <w:rPr>
          <w:b/>
        </w:rPr>
        <w:t>Introduction to the Arterial Pulse Wave Protocol</w:t>
      </w:r>
    </w:p>
    <w:p>
      <w:pPr>
        <w:pStyle w:val="Normal"/>
        <w:rPr>
          <w:b/>
          <w:b/>
        </w:rPr>
      </w:pPr>
      <w:r>
        <w:rPr>
          <w:b/>
        </w:rPr>
      </w:r>
    </w:p>
    <w:p>
      <w:pPr>
        <w:pStyle w:val="Heading1"/>
        <w:rPr/>
      </w:pPr>
      <w:r>
        <w:rPr/>
        <w:t>Training and Certification</w:t>
      </w:r>
    </w:p>
    <w:p>
      <w:pPr>
        <w:pStyle w:val="Normal"/>
        <w:rPr/>
      </w:pPr>
      <w:r>
        <w:rPr/>
      </w:r>
    </w:p>
    <w:p>
      <w:pPr>
        <w:pStyle w:val="Normal"/>
        <w:rPr/>
      </w:pPr>
      <w:r>
        <w:rPr/>
        <w:t>Mr. Jim Johnson from HDI presented a lecture and provided a brief opportunity for hands-on practice on April 28, 2000 as part of the central MESA Ultrasound Reading Center Sonographer Training. Arterial pulse wave technician training includes reading the MESA Arterial Pulse Wave MOP (this document), viewing the HDI/PulseWave-CR2000 video, reading the HDI/PulseWave CR-2000 manual and performing 10 pulse wave procedures. Training is complete, and the technician will be certified, upon the URC’s review of the data from the 10 procedures.</w:t>
      </w:r>
    </w:p>
    <w:p>
      <w:pPr>
        <w:pStyle w:val="Normal"/>
        <w:rPr/>
      </w:pPr>
      <w:r>
        <w:rPr/>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t>As part of the initial training at the start of MESA, each sonographer will repeat the entire arterial pulse wave procedure 3 times on the same subject, performing the 3 procedures within a 15-30 minute period with no smoking or food/ medication intake by subject between procedures. Print the three “Cardiovascular Profile” reports from the instrument on the standardized forms that HDI has provided for these tests. Annotate the reports with the acronym “MESA”, and the Technician’s MESA ID. Fax the reports with a cover sheet to Jim Johnson at HDI and Laurie Funk at the Ultrasound Reading Center.</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5238" w:type="dxa"/>
        <w:jc w:val="center"/>
        <w:tblInd w:w="0" w:type="dxa"/>
        <w:tblLayout w:type="fixed"/>
        <w:tblCellMar>
          <w:top w:w="0" w:type="dxa"/>
          <w:left w:w="108" w:type="dxa"/>
          <w:bottom w:w="0" w:type="dxa"/>
          <w:right w:w="108" w:type="dxa"/>
        </w:tblCellMar>
      </w:tblPr>
      <w:tblGrid>
        <w:gridCol w:w="1548"/>
        <w:gridCol w:w="3690"/>
      </w:tblGrid>
      <w:tr>
        <w:trPr/>
        <w:tc>
          <w:tcPr>
            <w:tcW w:w="1548"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Jim Johnson</w:t>
            </w:r>
          </w:p>
        </w:tc>
        <w:tc>
          <w:tcPr>
            <w:tcW w:w="3690"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Telephone: 651.687.9999 Ext 116</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Fax: 651.687.0485</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Laurie Funk</w:t>
            </w:r>
          </w:p>
        </w:tc>
        <w:tc>
          <w:tcPr>
            <w:tcW w:w="3690"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Telephone: 717.228.3750</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Fax: 717.274.0133</w:t>
            </w:r>
          </w:p>
        </w:tc>
      </w:tr>
    </w:tbl>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t>HDI will provide feedback and comments to improve data quality.</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To be certified to perform the pulse wave procedure in MESA, technicians must complete the following:</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View the HDI PulseWave cardiovascular profiling device video.</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Read the HDI PulseWave manual</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Read the MESA Arterial Pulse Wave MOP</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Perform 10 pulse wave procedures and successfully transmit the procedure data to the URC for a quality review.</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The sonographer will be responsible for operating the device and collecting the arterial pulse waveform data from each MESA participant. At some field centers, the data manager will be responsible for uploading data to the PC, archiving it and transmitting it to the URC.</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3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Exclusions</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with a diagnosis of heart failure, arrhythmia, or cardiac valve abnormality (aortic stenosis or mitral regurgitation)</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 unwilling or unable to have wrist stabilizer on his right wrist</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If the movement at the monitoring location of the sensor of the participant’s wrist cannot be controlled</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who have skin or vascular lesions at the sites where the sensor, wrist stabilizer or restraint straps must be positioned.</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with capillary fragility or excessive tendency to bruise</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Participants who are non-ambulatory. </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who weigh less than 50 or more than 500 pounds.</w:t>
      </w:r>
    </w:p>
    <w:p>
      <w:pPr>
        <w:pStyle w:val="Normal"/>
        <w:rPr>
          <w:rFonts w:ascii="Times New Roman;Times New Roman" w:hAnsi="Times New Roman;Times New Roman" w:cs="Times New Roman;Times New Roman"/>
        </w:rPr>
      </w:pPr>
      <w:r>
        <w:rPr>
          <w:rFonts w:cs="Times New Roman;Times New Roman"/>
        </w:rPr>
      </w:r>
    </w:p>
    <w:p>
      <w:pPr>
        <w:pStyle w:val="Normal"/>
        <w:numPr>
          <w:ilvl w:val="0"/>
          <w:numId w:val="35"/>
        </w:numPr>
        <w:rPr>
          <w:b/>
          <w:b/>
        </w:rPr>
      </w:pPr>
      <w:r>
        <w:rPr>
          <w:b/>
        </w:rPr>
        <w:t>Positioning: Participant, Blood Pressure Cuff, Wrist Stabilizer, and Acoustic Sensor</w:t>
      </w:r>
    </w:p>
    <w:p>
      <w:pPr>
        <w:pStyle w:val="Normal"/>
        <w:rPr>
          <w:b/>
          <w:b/>
        </w:rPr>
      </w:pPr>
      <w:r>
        <w:rPr>
          <w:b/>
        </w:rPr>
      </w:r>
    </w:p>
    <w:p>
      <w:pPr>
        <w:pStyle w:val="Normal"/>
        <w:rPr/>
      </w:pPr>
      <w:r>
        <w:rPr/>
        <w:t>The participant is supine during the arterial pulse wave exam and encouraged to relax, uncross legs, not talk, breathe normally, not move, and not fall asleep. Use only the blood pressure cuffs supplied with the PulseWave CR-2000. Using other cuffs may result in inaccurate measurements.</w:t>
      </w:r>
    </w:p>
    <w:p>
      <w:pPr>
        <w:pStyle w:val="Normal"/>
        <w:rPr/>
      </w:pPr>
      <w:r>
        <w:rPr/>
      </w:r>
    </w:p>
    <w:p>
      <w:pPr>
        <w:pStyle w:val="Normal"/>
        <w:rPr/>
      </w:pPr>
      <w:r>
        <w:rPr/>
        <w:t xml:space="preserve">To obtain pulse pressure data it is necessary to place the subject’s wrist in the wrist stabilizer. Have the subject hold out his right arm, point his thumb upward and extend his fingers. Wrap the wide strap around the subject’s forearm and the narrow strap around his fingers. </w:t>
      </w:r>
    </w:p>
    <w:p>
      <w:pPr>
        <w:pStyle w:val="Normal"/>
        <w:rPr/>
      </w:pPr>
      <w:r>
        <w:rPr/>
      </w:r>
    </w:p>
    <w:p>
      <w:pPr>
        <w:pStyle w:val="Normal"/>
        <w:rPr/>
      </w:pPr>
      <w:r>
        <w:rPr/>
        <w:t>The sensor is positioned on the area of maximum radial artery pulsation. The maximum pulsation is typically adjacent to thumb in the location between the distal, lateral bony prominence of the right radius bone (styloid process) and tendons medial to the same. Adjusting the hold-down pressure optimizes the pressure waveform.</w:t>
      </w:r>
    </w:p>
    <w:p>
      <w:pPr>
        <w:pStyle w:val="Normal"/>
        <w:rPr/>
      </w:pPr>
      <w:r>
        <w:rPr/>
      </w:r>
    </w:p>
    <w:p>
      <w:pPr>
        <w:pStyle w:val="Normal"/>
        <w:rPr/>
      </w:pPr>
      <w:r>
        <w:rPr/>
        <w:t>Note that the pulse pressure waveform sweep will not start until after the first set of blood pressure measurements have been taken.</w:t>
      </w:r>
    </w:p>
    <w:p>
      <w:pPr>
        <w:pStyle w:val="Normal"/>
        <w:rPr/>
      </w:pPr>
      <w:r>
        <w:rPr/>
      </w:r>
    </w:p>
    <w:p>
      <w:pPr>
        <w:pStyle w:val="Normal"/>
        <w:numPr>
          <w:ilvl w:val="0"/>
          <w:numId w:val="35"/>
        </w:numPr>
        <w:rPr>
          <w:b/>
          <w:b/>
        </w:rPr>
      </w:pPr>
      <w:r>
        <w:rPr>
          <w:b/>
        </w:rPr>
        <w:t>Anatomical Site of Interest</w:t>
      </w:r>
    </w:p>
    <w:p>
      <w:pPr>
        <w:pStyle w:val="Normal"/>
        <w:rPr>
          <w:b/>
          <w:b/>
        </w:rPr>
      </w:pPr>
      <w:r>
        <w:rPr>
          <w:b/>
        </w:rPr>
      </w:r>
    </w:p>
    <w:p>
      <w:pPr>
        <w:pStyle w:val="Normal"/>
        <w:rPr/>
      </w:pPr>
      <w:r>
        <w:rPr/>
        <w:t xml:space="preserve">The sensor is placed on the area of maximum radial artery pulsation. Palpate the are at the base of the subject’s thumb where the pulse can be felt at against the underlying bone. Mark the location with a water soluble felt tip pen. Typically this spot is about two centimeters from the base of the thumb (towards the elbow). </w:t>
      </w:r>
    </w:p>
    <w:p>
      <w:pPr>
        <w:pStyle w:val="Normal"/>
        <w:rPr/>
      </w:pPr>
      <w:r>
        <w:rPr/>
      </w:r>
    </w:p>
    <w:p>
      <w:pPr>
        <w:pStyle w:val="Normal"/>
        <w:rPr/>
      </w:pPr>
      <w:r>
        <w:rPr/>
        <w:t>Once the area if maximum pulsation has been marked, the Sensor Holding and Positioning device is placed on the right wrist. The device is strapped to the wrist such that the rubber feet are parallel to the radial artery and the sensor is directly over the marked area of maximum pulsation. Position the sensor on the skin by turning the knob. After it is touching the skin the sensor will require one to three additional turns to begin the display of the pressure waveform.</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widowControl/>
        <w:numPr>
          <w:ilvl w:val="0"/>
          <w:numId w:val="35"/>
        </w:numPr>
        <w:overflowPunct w:val="true"/>
        <w:autoSpaceDE w:val="true"/>
        <w:textAlignment w:val="auto"/>
        <w:rPr>
          <w:rFonts w:ascii="Times New Roman;Times New Roman" w:hAnsi="Times New Roman;Times New Roman" w:cs="Times New Roman;Times New Roman"/>
          <w:b/>
          <w:b/>
        </w:rPr>
      </w:pPr>
      <w:r>
        <w:rPr>
          <w:rFonts w:cs="Times New Roman;Times New Roman" w:ascii="Times New Roman;Times New Roman" w:hAnsi="Times New Roman;Times New Roman"/>
          <w:b/>
        </w:rPr>
        <w:t>Arterial Pulse Wave Equipment</w:t>
      </w:r>
    </w:p>
    <w:p>
      <w:pPr>
        <w:pStyle w:val="Normal"/>
        <w:rPr>
          <w:rFonts w:ascii="Times New Roman;Times New Roman" w:hAnsi="Times New Roman;Times New Roman" w:cs="Times New Roman;Times New Roman"/>
          <w:b/>
          <w:b/>
        </w:rPr>
      </w:pPr>
      <w:r>
        <w:rPr>
          <w:rFonts w:cs="Times New Roman;Times New Roman"/>
          <w:b/>
        </w:rPr>
      </w:r>
    </w:p>
    <w:p>
      <w:pPr>
        <w:pStyle w:val="Normal"/>
        <w:rPr/>
      </w:pPr>
      <w:r>
        <w:rPr/>
        <w:t>The following equipment is necessary for the Arterial Pulse Wave protocol.</w:t>
      </w:r>
    </w:p>
    <w:p>
      <w:pPr>
        <w:pStyle w:val="Normal"/>
        <w:rPr/>
      </w:pPr>
      <w:r>
        <w:rPr/>
      </w:r>
    </w:p>
    <w:tbl>
      <w:tblPr>
        <w:tblW w:w="8856" w:type="dxa"/>
        <w:jc w:val="left"/>
        <w:tblInd w:w="-113" w:type="dxa"/>
        <w:tblLayout w:type="fixed"/>
        <w:tblCellMar>
          <w:top w:w="0" w:type="dxa"/>
          <w:left w:w="108" w:type="dxa"/>
          <w:bottom w:w="0" w:type="dxa"/>
          <w:right w:w="108" w:type="dxa"/>
        </w:tblCellMar>
      </w:tblPr>
      <w:tblGrid>
        <w:gridCol w:w="3798"/>
        <w:gridCol w:w="5058"/>
      </w:tblGrid>
      <w:tr>
        <w:trPr/>
        <w:tc>
          <w:tcPr>
            <w:tcW w:w="3798" w:type="dxa"/>
            <w:tcBorders>
              <w:top w:val="single" w:sz="4" w:space="0" w:color="000000"/>
              <w:left w:val="single" w:sz="4" w:space="0" w:color="000000"/>
              <w:bottom w:val="single" w:sz="4" w:space="0" w:color="000000"/>
              <w:right w:val="single" w:sz="4" w:space="0" w:color="000000"/>
            </w:tcBorders>
          </w:tcPr>
          <w:p>
            <w:pPr>
              <w:pStyle w:val="Normal"/>
              <w:rPr>
                <w:b/>
                <w:b/>
                <w:sz w:val="22"/>
              </w:rPr>
            </w:pPr>
            <w:r>
              <w:rPr>
                <w:b/>
                <w:sz w:val="22"/>
              </w:rPr>
              <w:t>Item</w:t>
            </w:r>
          </w:p>
        </w:tc>
        <w:tc>
          <w:tcPr>
            <w:tcW w:w="5058" w:type="dxa"/>
            <w:tcBorders>
              <w:top w:val="single" w:sz="4" w:space="0" w:color="000000"/>
              <w:left w:val="single" w:sz="4" w:space="0" w:color="000000"/>
              <w:bottom w:val="single" w:sz="4" w:space="0" w:color="000000"/>
              <w:right w:val="single" w:sz="4" w:space="0" w:color="000000"/>
            </w:tcBorders>
          </w:tcPr>
          <w:p>
            <w:pPr>
              <w:pStyle w:val="Normal"/>
              <w:rPr>
                <w:b/>
                <w:b/>
                <w:sz w:val="22"/>
              </w:rPr>
            </w:pPr>
            <w:r>
              <w:rPr>
                <w:b/>
                <w:sz w:val="22"/>
              </w:rPr>
              <w:t>Note</w:t>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HDI PulseWave CR-2000</w:t>
            </w:r>
          </w:p>
          <w:p>
            <w:pPr>
              <w:pStyle w:val="Normal"/>
              <w:rPr>
                <w:sz w:val="22"/>
              </w:rPr>
            </w:pPr>
            <w:r>
              <w:rPr>
                <w:sz w:val="22"/>
              </w:rPr>
              <w:t xml:space="preserve">Research CardioVascular Profiling Instrument </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The device has a touch sensitive screen, keep air vents clear to dissipate heat.</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Arterial Pulse Pressure Sensor</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Piezoelectric transducer within a metal canister. Positioned on radial artery to obtain pressure waveform.</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Sensor Holding and Positioning Device</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Holds and positions transducer, is adjustable in three dimensions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Wrist Stabilizer</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Rigid plastic material to position and immobilize participant’s wrist, held on with Velcro straps.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Blood Pressure Cuffs</w:t>
            </w:r>
          </w:p>
          <w:p>
            <w:pPr>
              <w:pStyle w:val="Normal"/>
              <w:ind w:left="720" w:hanging="0"/>
              <w:rPr>
                <w:sz w:val="22"/>
              </w:rPr>
            </w:pPr>
            <w:r>
              <w:rPr>
                <w:sz w:val="22"/>
              </w:rPr>
              <w:t>Green – small</w:t>
            </w:r>
          </w:p>
          <w:p>
            <w:pPr>
              <w:pStyle w:val="Normal"/>
              <w:ind w:left="720" w:hanging="0"/>
              <w:rPr>
                <w:sz w:val="22"/>
              </w:rPr>
            </w:pPr>
            <w:r>
              <w:rPr>
                <w:sz w:val="22"/>
              </w:rPr>
              <w:t>Blue – regular</w:t>
            </w:r>
          </w:p>
          <w:p>
            <w:pPr>
              <w:pStyle w:val="Normal"/>
              <w:ind w:left="720" w:hanging="0"/>
              <w:rPr>
                <w:sz w:val="22"/>
              </w:rPr>
            </w:pPr>
            <w:r>
              <w:rPr>
                <w:sz w:val="22"/>
              </w:rPr>
              <w:t>Red – large</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Use the regular (Blue) cuff for all but extreme MESA participants.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 xml:space="preserve">Cords/Cables packaged with the HDI instrument </w:t>
            </w:r>
          </w:p>
          <w:p>
            <w:pPr>
              <w:pStyle w:val="Normal"/>
              <w:rPr>
                <w:sz w:val="22"/>
              </w:rPr>
            </w:pPr>
            <w:r>
              <w:rPr>
                <w:sz w:val="22"/>
              </w:rPr>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Power cord – main power cord</w:t>
            </w:r>
          </w:p>
          <w:p>
            <w:pPr>
              <w:pStyle w:val="Normal"/>
              <w:rPr>
                <w:sz w:val="22"/>
              </w:rPr>
            </w:pPr>
            <w:r>
              <w:rPr>
                <w:sz w:val="22"/>
              </w:rPr>
            </w:r>
          </w:p>
          <w:p>
            <w:pPr>
              <w:pStyle w:val="Normal"/>
              <w:rPr>
                <w:sz w:val="22"/>
              </w:rPr>
            </w:pPr>
            <w:r>
              <w:rPr>
                <w:sz w:val="22"/>
              </w:rPr>
              <w:t>Arterial Pulse Pressure Sensor – connects pulse pressure sensor to device</w:t>
            </w:r>
          </w:p>
          <w:p>
            <w:pPr>
              <w:pStyle w:val="Normal"/>
              <w:rPr>
                <w:sz w:val="22"/>
              </w:rPr>
            </w:pPr>
            <w:r>
              <w:rPr>
                <w:sz w:val="22"/>
              </w:rPr>
            </w:r>
          </w:p>
          <w:p>
            <w:pPr>
              <w:pStyle w:val="Normal"/>
              <w:rPr>
                <w:sz w:val="22"/>
              </w:rPr>
            </w:pPr>
            <w:r>
              <w:rPr>
                <w:sz w:val="22"/>
              </w:rPr>
              <w:t>Blood pressure cuff hose – connects blood pressure hose to the rear panel of the device</w:t>
            </w:r>
          </w:p>
          <w:p>
            <w:pPr>
              <w:pStyle w:val="Normal"/>
              <w:rPr>
                <w:sz w:val="22"/>
              </w:rPr>
            </w:pPr>
            <w:r>
              <w:rPr>
                <w:sz w:val="22"/>
              </w:rPr>
            </w:r>
          </w:p>
          <w:p>
            <w:pPr>
              <w:pStyle w:val="Normal"/>
              <w:rPr>
                <w:sz w:val="22"/>
              </w:rPr>
            </w:pPr>
            <w:r>
              <w:rPr>
                <w:sz w:val="22"/>
              </w:rPr>
              <w:t>Printer power cord – power is provided to printer through the device</w:t>
            </w:r>
          </w:p>
          <w:p>
            <w:pPr>
              <w:pStyle w:val="Normal"/>
              <w:rPr>
                <w:sz w:val="22"/>
              </w:rPr>
            </w:pPr>
            <w:r>
              <w:rPr>
                <w:sz w:val="22"/>
              </w:rPr>
            </w:r>
          </w:p>
          <w:p>
            <w:pPr>
              <w:pStyle w:val="Normal"/>
              <w:rPr>
                <w:sz w:val="22"/>
              </w:rPr>
            </w:pPr>
            <w:r>
              <w:rPr>
                <w:sz w:val="22"/>
              </w:rPr>
              <w:t>Parallel printer data cable – connects the printer to the device</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 xml:space="preserve">Computer </w:t>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Upload data to computer by the end of each day. Transmit data by e-mail via a computer connected to the internet.</w:t>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Printer – a printer has been provided by HDI to print “Research CardioVascular Profile” reports</w:t>
            </w:r>
          </w:p>
        </w:tc>
        <w:tc>
          <w:tcPr>
            <w:tcW w:w="5058" w:type="dxa"/>
            <w:tcBorders>
              <w:top w:val="single" w:sz="4" w:space="0" w:color="000000"/>
              <w:left w:val="single" w:sz="4" w:space="0" w:color="000000"/>
              <w:bottom w:val="single" w:sz="4" w:space="0" w:color="000000"/>
              <w:right w:val="single" w:sz="4" w:space="0" w:color="000000"/>
            </w:tcBorders>
          </w:tcPr>
          <w:p>
            <w:pPr>
              <w:pStyle w:val="Normal"/>
              <w:rPr/>
            </w:pPr>
            <w:r>
              <w:rPr>
                <w:b/>
                <w:sz w:val="22"/>
              </w:rPr>
              <w:t>These reports will not be printed for MESA participants.</w:t>
            </w:r>
            <w:r>
              <w:rPr>
                <w:sz w:val="22"/>
              </w:rPr>
              <w:t xml:space="preserve"> However, the capability to print is valuable both for training and troubleshooting.</w:t>
            </w:r>
          </w:p>
        </w:tc>
      </w:tr>
    </w:tbl>
    <w:p>
      <w:pPr>
        <w:pStyle w:val="Normal"/>
        <w:rPr/>
      </w:pPr>
      <w:r>
        <w:rPr/>
      </w:r>
    </w:p>
    <w:p>
      <w:pPr>
        <w:pStyle w:val="Normal"/>
        <w:numPr>
          <w:ilvl w:val="0"/>
          <w:numId w:val="35"/>
        </w:numPr>
        <w:rPr>
          <w:b/>
          <w:b/>
        </w:rPr>
      </w:pPr>
      <w:r>
        <w:rPr>
          <w:b/>
        </w:rPr>
        <w:t>Initial Signal Adjustment</w:t>
      </w:r>
    </w:p>
    <w:p>
      <w:pPr>
        <w:pStyle w:val="Normal"/>
        <w:rPr>
          <w:b/>
          <w:b/>
        </w:rPr>
      </w:pPr>
      <w:r>
        <w:rPr>
          <w:b/>
        </w:rPr>
      </w:r>
    </w:p>
    <w:p>
      <w:pPr>
        <w:pStyle w:val="Normal"/>
        <w:rPr/>
      </w:pPr>
      <w:r>
        <w:rPr>
          <w:b/>
        </w:rPr>
        <w:t>Note:</w:t>
      </w:r>
      <w:r>
        <w:rPr/>
        <w:t xml:space="preserve"> Items in this document that refer to CR-2000 menu options and commands that are indicated in bold and are enclosed in “&lt; </w:t>
      </w:r>
      <w:r>
        <w:rPr>
          <w:b/>
        </w:rPr>
        <w:t>…</w:t>
      </w:r>
      <w:r>
        <w:rPr/>
        <w:t xml:space="preserve"> &gt;” marks. For example, </w:t>
      </w:r>
      <w:r>
        <w:rPr>
          <w:b/>
        </w:rPr>
        <w:t>&lt;START&gt;.</w:t>
      </w:r>
    </w:p>
    <w:p>
      <w:pPr>
        <w:pStyle w:val="Normal"/>
        <w:rPr>
          <w:b/>
          <w:b/>
        </w:rPr>
      </w:pPr>
      <w:r>
        <w:rPr>
          <w:b/>
        </w:rPr>
      </w:r>
    </w:p>
    <w:p>
      <w:pPr>
        <w:pStyle w:val="Normal"/>
        <w:rPr/>
      </w:pPr>
      <w:r>
        <w:rPr/>
        <w:t>The pulse pressure waveform sweep will not start until after the first set of blood pressure measurements have been taken.</w:t>
      </w:r>
    </w:p>
    <w:p>
      <w:pPr>
        <w:pStyle w:val="Normal"/>
        <w:rPr/>
      </w:pPr>
      <w:r>
        <w:rPr/>
      </w:r>
    </w:p>
    <w:p>
      <w:pPr>
        <w:pStyle w:val="Normal"/>
        <w:rPr/>
      </w:pPr>
      <w:r>
        <w:rPr/>
        <w:t xml:space="preserve">When the wrist stabilizer and pulse sensor is in position, confirm that the blood pressure cuff is properly positioned on the subject’s left arm. The sensor and the blood pressure cuff should be at about the same level as the subject’s heart. </w:t>
      </w:r>
    </w:p>
    <w:p>
      <w:pPr>
        <w:pStyle w:val="Normal"/>
        <w:rPr/>
      </w:pPr>
      <w:r>
        <w:rPr/>
      </w:r>
    </w:p>
    <w:p>
      <w:pPr>
        <w:pStyle w:val="Normal"/>
        <w:rPr/>
      </w:pPr>
      <w:r>
        <w:rPr/>
        <w:t xml:space="preserve">Encourage the subject to relax, breathe normally, not to cross legs, not to talk, and to remain awake. Tell the subject that repeated blood pressure measurements will be taken. </w:t>
      </w:r>
    </w:p>
    <w:p>
      <w:pPr>
        <w:pStyle w:val="Normal"/>
        <w:rPr/>
      </w:pPr>
      <w:r>
        <w:rPr/>
      </w:r>
    </w:p>
    <w:p>
      <w:pPr>
        <w:pStyle w:val="Normal"/>
        <w:rPr/>
      </w:pPr>
      <w:r>
        <w:rPr/>
        <w:t xml:space="preserve">The technician can then repeat the blood pressure measurement by selecting </w:t>
      </w:r>
      <w:r>
        <w:rPr>
          <w:b/>
        </w:rPr>
        <w:t>&lt;START&gt;</w:t>
      </w:r>
      <w:r>
        <w:rPr/>
        <w:t xml:space="preserve"> CUFF, which will give the subject time to relax and a chance to get accustomed to the blood pressure cuff inflation. Alternatively the technician can select </w:t>
      </w:r>
      <w:r>
        <w:rPr>
          <w:b/>
        </w:rPr>
        <w:t>&lt;START RECORD&gt;</w:t>
      </w:r>
      <w:r>
        <w:rPr/>
        <w:t xml:space="preserve"> which causes a repeat blood pressure followed by the recording of the pulse pressure waveform for 30 seconds.</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35"/>
        </w:numPr>
        <w:rPr>
          <w:b/>
          <w:b/>
        </w:rPr>
      </w:pPr>
      <w:r>
        <w:rPr>
          <w:b/>
        </w:rPr>
        <w:t>Signal Optimization</w:t>
      </w:r>
    </w:p>
    <w:p>
      <w:pPr>
        <w:pStyle w:val="Normal"/>
        <w:rPr>
          <w:b/>
          <w:b/>
        </w:rPr>
      </w:pPr>
      <w:r>
        <w:rPr>
          <w:b/>
        </w:rPr>
      </w:r>
    </w:p>
    <w:p>
      <w:pPr>
        <w:pStyle w:val="Normal"/>
        <w:rPr/>
      </w:pPr>
      <w:r>
        <w:rPr/>
        <w:t>When the subject has the wrist stabilizer, sensor and blood pressure cuff in position and is supine, comfortable, relaxed and breathing normally, the operator observes the waveform sweeping across the display screen. The sensor hold-down pressure can be increased by slowly, turning it down. After each adjustment wait three complete signal sweeps for the signal stabilize.</w:t>
      </w:r>
    </w:p>
    <w:p>
      <w:pPr>
        <w:pStyle w:val="Normal"/>
        <w:rPr/>
      </w:pPr>
      <w:r>
        <w:rPr/>
      </w:r>
    </w:p>
    <w:p>
      <w:pPr>
        <w:pStyle w:val="Normal"/>
        <w:rPr/>
      </w:pPr>
      <w:r>
        <w:rPr/>
        <w:t xml:space="preserve">The Relative Signal Strength is displayed as an aid to assist in signal optimization. The higher the Relative Signal Strength, the better the arterial waveform data will be It has been suggested by HDI that the signal strength be at least 12. More likely ranges for signal strength is from 30 to 50. If an adjustment does not improve or decreases the signal strength, return the sensor to the previous position. </w:t>
      </w:r>
    </w:p>
    <w:p>
      <w:pPr>
        <w:pStyle w:val="Normal"/>
        <w:rPr/>
      </w:pPr>
      <w:r>
        <w:rPr/>
      </w:r>
    </w:p>
    <w:p>
      <w:pPr>
        <w:pStyle w:val="Heading1"/>
        <w:numPr>
          <w:ilvl w:val="0"/>
          <w:numId w:val="35"/>
        </w:numPr>
        <w:rPr/>
      </w:pPr>
      <w:r>
        <w:rPr/>
        <w:t>Data Collection</w:t>
      </w:r>
    </w:p>
    <w:p>
      <w:pPr>
        <w:pStyle w:val="Normal"/>
        <w:rPr/>
      </w:pPr>
      <w:r>
        <w:rPr/>
      </w:r>
    </w:p>
    <w:p>
      <w:pPr>
        <w:pStyle w:val="Heading1"/>
        <w:rPr/>
      </w:pPr>
      <w:r>
        <w:rPr/>
        <w:t>Measurement Summary</w:t>
      </w:r>
    </w:p>
    <w:p>
      <w:pPr>
        <w:pStyle w:val="Normal"/>
        <w:rPr/>
      </w:pPr>
      <w:r>
        <w:rPr/>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t>Turn on the HDI device</w:t>
      </w:r>
    </w:p>
    <w:p>
      <w:pPr>
        <w:pStyle w:val="Normal"/>
        <w:rPr/>
      </w:pPr>
      <w:r>
        <w:rPr/>
        <w:t>Wait for it to start-up. This takes a few minutes</w:t>
      </w:r>
    </w:p>
    <w:p>
      <w:pPr>
        <w:pStyle w:val="Normal"/>
        <w:rPr/>
      </w:pPr>
      <w:r>
        <w:rPr/>
      </w:r>
    </w:p>
    <w:p>
      <w:pPr>
        <w:pStyle w:val="Normal"/>
        <w:rPr/>
      </w:pPr>
      <w:r>
        <w:rPr/>
        <w:t>The display screen is touch sensitive. To select an option or a data record, touch the screen on the appropriate place to initiate action.</w:t>
      </w:r>
    </w:p>
    <w:p>
      <w:pPr>
        <w:pStyle w:val="Normal"/>
        <w:rPr/>
      </w:pPr>
      <w:r>
        <w:rPr/>
      </w:r>
    </w:p>
    <w:p>
      <w:pPr>
        <w:pStyle w:val="Normal"/>
        <w:rPr/>
      </w:pPr>
      <w:r>
        <w:rPr/>
        <w:t xml:space="preserve">After start-up, agree to licensing agreement by selecting </w:t>
      </w:r>
      <w:r>
        <w:rPr>
          <w:b/>
        </w:rPr>
        <w:t>&lt;AGREE&gt;.</w:t>
      </w:r>
      <w:r>
        <w:rPr/>
        <w:t xml:space="preserve"> If you don’t agree the machine won’t work so you no choice. </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Heading1"/>
        <w:rPr/>
      </w:pPr>
      <w:r>
        <w:rPr/>
        <w:t>The Main Menu</w:t>
      </w:r>
    </w:p>
    <w:p>
      <w:pPr>
        <w:pStyle w:val="Normal"/>
        <w:rPr/>
      </w:pPr>
      <w:r>
        <w:rPr/>
        <w:t>The Main Menu screen has four options</w:t>
      </w:r>
    </w:p>
    <w:p>
      <w:pPr>
        <w:pStyle w:val="Normal"/>
        <w:ind w:left="360" w:hanging="0"/>
        <w:rPr/>
      </w:pPr>
      <w:r>
        <w:rPr/>
      </w:r>
    </w:p>
    <w:p>
      <w:pPr>
        <w:pStyle w:val="WPNormal"/>
        <w:widowControl/>
        <w:numPr>
          <w:ilvl w:val="0"/>
          <w:numId w:val="17"/>
        </w:numPr>
        <w:tabs>
          <w:tab w:val="left" w:pos="720" w:leader="none"/>
        </w:tabs>
        <w:overflowPunct w:val="true"/>
        <w:autoSpaceDE w:val="true"/>
        <w:ind w:left="720" w:hanging="360"/>
        <w:textAlignment w:val="auto"/>
        <w:rPr>
          <w:rFonts w:ascii="Times New Roman;Times New Roman" w:hAnsi="Times New Roman;Times New Roman" w:cs="Times New Roman;Times New Roman"/>
          <w:b/>
          <w:b/>
        </w:rPr>
      </w:pPr>
      <w:r>
        <w:rPr>
          <w:rFonts w:cs="Times New Roman;Times New Roman" w:ascii="Times New Roman;Times New Roman" w:hAnsi="Times New Roman;Times New Roman"/>
          <w:b/>
        </w:rPr>
        <w:t>&lt;Perform Cardiovascular Profile&gt;</w:t>
      </w:r>
    </w:p>
    <w:p>
      <w:pPr>
        <w:pStyle w:val="Normal"/>
        <w:numPr>
          <w:ilvl w:val="0"/>
          <w:numId w:val="17"/>
        </w:numPr>
        <w:tabs>
          <w:tab w:val="left" w:pos="720" w:leader="none"/>
        </w:tabs>
        <w:ind w:left="720" w:hanging="360"/>
        <w:rPr>
          <w:b/>
          <w:b/>
        </w:rPr>
      </w:pPr>
      <w:r>
        <w:rPr>
          <w:b/>
        </w:rPr>
        <w:t>&lt;Review Stored Records&gt;</w:t>
      </w:r>
    </w:p>
    <w:p>
      <w:pPr>
        <w:pStyle w:val="Normal"/>
        <w:numPr>
          <w:ilvl w:val="0"/>
          <w:numId w:val="17"/>
        </w:numPr>
        <w:tabs>
          <w:tab w:val="left" w:pos="720" w:leader="none"/>
        </w:tabs>
        <w:ind w:left="720" w:hanging="360"/>
        <w:rPr>
          <w:b/>
          <w:b/>
        </w:rPr>
      </w:pPr>
      <w:r>
        <w:rPr>
          <w:b/>
        </w:rPr>
        <w:t>&lt;Measure Blood Pressure&gt;</w:t>
      </w:r>
    </w:p>
    <w:p>
      <w:pPr>
        <w:pStyle w:val="Normal"/>
        <w:numPr>
          <w:ilvl w:val="0"/>
          <w:numId w:val="17"/>
        </w:numPr>
        <w:tabs>
          <w:tab w:val="left" w:pos="720" w:leader="none"/>
        </w:tabs>
        <w:ind w:left="720" w:hanging="360"/>
        <w:rPr>
          <w:b/>
          <w:b/>
        </w:rPr>
      </w:pPr>
      <w:r>
        <w:rPr>
          <w:b/>
        </w:rPr>
        <w:t>&lt;Update Instrument Settings&gt;</w:t>
      </w:r>
    </w:p>
    <w:p>
      <w:pPr>
        <w:pStyle w:val="Normal"/>
        <w:rPr>
          <w:b/>
          <w:b/>
        </w:rPr>
      </w:pPr>
      <w:r>
        <w:rPr>
          <w:b/>
        </w:rPr>
      </w:r>
    </w:p>
    <w:p>
      <w:pPr>
        <w:pStyle w:val="Normal"/>
        <w:rPr/>
      </w:pPr>
      <w:r>
        <w:rPr/>
        <w:t xml:space="preserve">Verify that the correct date and time are displayed in the upper right hand corner of the display. If the date or time is not correct. Select </w:t>
      </w:r>
      <w:r>
        <w:rPr>
          <w:b/>
        </w:rPr>
        <w:t>&lt;Update Instrument Settings&gt;</w:t>
      </w:r>
      <w:r>
        <w:rPr/>
        <w:t xml:space="preserve"> to correct the date and time.</w:t>
      </w:r>
    </w:p>
    <w:p>
      <w:pPr>
        <w:pStyle w:val="Normal"/>
        <w:rPr/>
      </w:pPr>
      <w:r>
        <w:rPr/>
      </w:r>
    </w:p>
    <w:p>
      <w:pPr>
        <w:pStyle w:val="Normal"/>
        <w:rPr/>
      </w:pPr>
      <w:r>
        <w:rPr/>
        <w:t xml:space="preserve">To begin the process for a new participant select </w:t>
      </w:r>
      <w:r>
        <w:rPr>
          <w:b/>
        </w:rPr>
        <w:t>&lt;Perform Cardiovascular Profile&gt;</w:t>
      </w:r>
      <w:r>
        <w:rPr/>
        <w:t>.</w:t>
      </w:r>
    </w:p>
    <w:p>
      <w:pPr>
        <w:pStyle w:val="Normal"/>
        <w:rPr/>
      </w:pPr>
      <w:r>
        <w:rPr/>
      </w:r>
    </w:p>
    <w:p>
      <w:pPr>
        <w:pStyle w:val="Normal"/>
        <w:rPr/>
      </w:pPr>
      <w:r>
        <w:rPr/>
        <w:t xml:space="preserve">A demographics entry screen with a list of fields that must be entered now appears. The information is entered using the alphabetical touch-screen keyboard displayed in the bottom half of the screen. The letters and numbers that are available for entry into each field are highlighted. After completing the entry for one field, move to the next by selecting </w:t>
      </w:r>
      <w:r>
        <w:rPr>
          <w:b/>
        </w:rPr>
        <w:t>&lt;Next Selection&gt;</w:t>
      </w:r>
      <w:r>
        <w:rPr/>
        <w:t xml:space="preserve">. When all the information has been entered and checked, proceed by selecting </w:t>
      </w:r>
      <w:r>
        <w:rPr>
          <w:b/>
        </w:rPr>
        <w:t>&lt;Next Screen&gt;</w:t>
      </w:r>
      <w:r>
        <w:rPr/>
        <w:t>.</w:t>
      </w:r>
    </w:p>
    <w:p>
      <w:pPr>
        <w:pStyle w:val="Normal"/>
        <w:rPr/>
      </w:pPr>
      <w:r>
        <w:rPr/>
      </w:r>
    </w:p>
    <w:tbl>
      <w:tblPr>
        <w:tblW w:w="8856" w:type="dxa"/>
        <w:jc w:val="left"/>
        <w:tblInd w:w="-113" w:type="dxa"/>
        <w:tblLayout w:type="fixed"/>
        <w:tblCellMar>
          <w:top w:w="0" w:type="dxa"/>
          <w:left w:w="108" w:type="dxa"/>
          <w:bottom w:w="0" w:type="dxa"/>
          <w:right w:w="108" w:type="dxa"/>
        </w:tblCellMar>
      </w:tblPr>
      <w:tblGrid>
        <w:gridCol w:w="2358"/>
        <w:gridCol w:w="3546"/>
        <w:gridCol w:w="2952"/>
      </w:tblGrid>
      <w:tr>
        <w:trPr/>
        <w:tc>
          <w:tcPr>
            <w:tcW w:w="2358" w:type="dxa"/>
            <w:tcBorders>
              <w:top w:val="single" w:sz="4" w:space="0" w:color="000000"/>
              <w:left w:val="single" w:sz="4" w:space="0" w:color="000000"/>
              <w:bottom w:val="single" w:sz="4" w:space="0" w:color="000000"/>
              <w:right w:val="single" w:sz="4" w:space="0" w:color="000000"/>
            </w:tcBorders>
          </w:tcPr>
          <w:p>
            <w:pPr>
              <w:pStyle w:val="Normal"/>
              <w:rPr>
                <w:b/>
                <w:b/>
              </w:rPr>
            </w:pPr>
            <w:r>
              <w:rPr>
                <w:b/>
              </w:rPr>
              <w:t>Field</w:t>
            </w:r>
          </w:p>
        </w:tc>
        <w:tc>
          <w:tcPr>
            <w:tcW w:w="3546" w:type="dxa"/>
            <w:tcBorders>
              <w:top w:val="single" w:sz="4" w:space="0" w:color="000000"/>
              <w:left w:val="single" w:sz="4" w:space="0" w:color="000000"/>
              <w:bottom w:val="single" w:sz="4" w:space="0" w:color="000000"/>
              <w:right w:val="single" w:sz="4" w:space="0" w:color="000000"/>
            </w:tcBorders>
          </w:tcPr>
          <w:p>
            <w:pPr>
              <w:pStyle w:val="Normal"/>
              <w:rPr>
                <w:b/>
                <w:b/>
              </w:rPr>
            </w:pPr>
            <w:r>
              <w:rPr>
                <w:b/>
              </w:rPr>
              <w:t>Enter</w:t>
            </w:r>
          </w:p>
        </w:tc>
        <w:tc>
          <w:tcPr>
            <w:tcW w:w="2952" w:type="dxa"/>
            <w:tcBorders>
              <w:top w:val="single" w:sz="4" w:space="0" w:color="000000"/>
              <w:left w:val="single" w:sz="4" w:space="0" w:color="000000"/>
              <w:bottom w:val="single" w:sz="4" w:space="0" w:color="000000"/>
              <w:right w:val="single" w:sz="4" w:space="0" w:color="000000"/>
            </w:tcBorders>
          </w:tcPr>
          <w:p>
            <w:pPr>
              <w:pStyle w:val="Normal"/>
              <w:rPr>
                <w:b/>
                <w:b/>
              </w:rPr>
            </w:pPr>
            <w:r>
              <w:rPr>
                <w:b/>
              </w:rPr>
              <w:t>Note</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Research Subject ID:</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Participant’s MESA ID followed by a space and the sonographer’s MESA Technician ID</w:t>
            </w:r>
          </w:p>
          <w:p>
            <w:pPr>
              <w:pStyle w:val="Normal"/>
              <w:rPr/>
            </w:pPr>
            <w:r>
              <w:rPr/>
            </w:r>
          </w:p>
          <w:p>
            <w:pPr>
              <w:pStyle w:val="Normal"/>
              <w:rPr/>
            </w:pPr>
            <w:r>
              <w:rPr/>
            </w:r>
          </w:p>
        </w:tc>
        <w:tc>
          <w:tcPr>
            <w:tcW w:w="2952" w:type="dxa"/>
            <w:tcBorders>
              <w:top w:val="single" w:sz="4" w:space="0" w:color="000000"/>
              <w:left w:val="single" w:sz="4" w:space="0" w:color="000000"/>
              <w:bottom w:val="single" w:sz="4" w:space="0" w:color="000000"/>
              <w:right w:val="single" w:sz="4" w:space="0" w:color="000000"/>
            </w:tcBorders>
          </w:tcPr>
          <w:p>
            <w:pPr>
              <w:pStyle w:val="Normal"/>
              <w:rPr/>
            </w:pPr>
            <w:r>
              <w:rPr/>
              <w:t>Example:</w:t>
            </w:r>
          </w:p>
          <w:p>
            <w:pPr>
              <w:pStyle w:val="Normal"/>
              <w:rPr/>
            </w:pPr>
            <w:r>
              <w:rPr/>
              <w:t>5900319 512</w:t>
            </w:r>
          </w:p>
          <w:p>
            <w:pPr>
              <w:pStyle w:val="Normal"/>
              <w:rPr/>
            </w:pPr>
            <w:r>
              <w:rPr/>
            </w:r>
          </w:p>
          <w:p>
            <w:pPr>
              <w:pStyle w:val="Normal"/>
              <w:rPr/>
            </w:pPr>
            <w:r>
              <w:rPr/>
              <w:t>Participant 5900.19 by</w:t>
            </w:r>
          </w:p>
          <w:p>
            <w:pPr>
              <w:pStyle w:val="Normal"/>
              <w:rPr/>
            </w:pPr>
            <w:r>
              <w:rPr/>
              <w:t>Sonographer 512</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First Name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Sonographer’s Initials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Middle Name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Leave blank</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 xml:space="preserve">Last Name </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Leave blank</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 xml:space="preserve">Gender </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M for Male or F for Female</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Birth date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Format is DD MMM YYYY</w:t>
            </w:r>
          </w:p>
          <w:p>
            <w:pPr>
              <w:pStyle w:val="Normal"/>
              <w:rPr/>
            </w:pPr>
            <w:r>
              <w:rPr/>
            </w:r>
          </w:p>
          <w:p>
            <w:pPr>
              <w:pStyle w:val="Normal"/>
              <w:rPr/>
            </w:pPr>
            <w:r>
              <w:rPr/>
            </w:r>
          </w:p>
        </w:tc>
        <w:tc>
          <w:tcPr>
            <w:tcW w:w="2952" w:type="dxa"/>
            <w:tcBorders>
              <w:top w:val="single" w:sz="4" w:space="0" w:color="000000"/>
              <w:left w:val="single" w:sz="4" w:space="0" w:color="000000"/>
              <w:bottom w:val="single" w:sz="4" w:space="0" w:color="000000"/>
              <w:right w:val="single" w:sz="4" w:space="0" w:color="000000"/>
            </w:tcBorders>
          </w:tcPr>
          <w:p>
            <w:pPr>
              <w:pStyle w:val="Normal"/>
              <w:rPr/>
            </w:pPr>
            <w:r>
              <w:rPr/>
              <w:t>Example:</w:t>
            </w:r>
          </w:p>
          <w:p>
            <w:pPr>
              <w:pStyle w:val="Normal"/>
              <w:rPr/>
            </w:pPr>
            <w:r>
              <w:rPr/>
              <w:t>15 Dec 1963</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Weight</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Pounds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Height</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Inches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rPr/>
      </w:r>
    </w:p>
    <w:p>
      <w:pPr>
        <w:pStyle w:val="Normal"/>
        <w:rPr/>
      </w:pPr>
      <w:r>
        <w:rPr/>
        <w:t xml:space="preserve">When all the necessary fields have been completed select </w:t>
      </w:r>
      <w:r>
        <w:rPr>
          <w:b/>
        </w:rPr>
        <w:t>&lt;Next Screen&gt;</w:t>
      </w:r>
      <w:r>
        <w:rPr/>
        <w:t>. The next screen includes a pulse pressure display window, blood pressure and pulse rate measurements and four buttons.</w:t>
      </w:r>
    </w:p>
    <w:p>
      <w:pPr>
        <w:pStyle w:val="Normal"/>
        <w:rPr/>
      </w:pPr>
      <w:r>
        <w:rPr/>
      </w:r>
    </w:p>
    <w:p>
      <w:pPr>
        <w:pStyle w:val="Normal"/>
        <w:numPr>
          <w:ilvl w:val="0"/>
          <w:numId w:val="19"/>
        </w:numPr>
        <w:tabs>
          <w:tab w:val="left" w:pos="720" w:leader="none"/>
        </w:tabs>
        <w:ind w:left="720" w:hanging="360"/>
        <w:rPr>
          <w:b/>
          <w:b/>
        </w:rPr>
      </w:pPr>
      <w:r>
        <w:rPr>
          <w:b/>
        </w:rPr>
        <w:t>&lt;Start Cuff&gt;</w:t>
      </w:r>
    </w:p>
    <w:p>
      <w:pPr>
        <w:pStyle w:val="Normal"/>
        <w:numPr>
          <w:ilvl w:val="0"/>
          <w:numId w:val="19"/>
        </w:numPr>
        <w:tabs>
          <w:tab w:val="left" w:pos="720" w:leader="none"/>
        </w:tabs>
        <w:ind w:left="720" w:hanging="360"/>
        <w:rPr>
          <w:b/>
          <w:b/>
        </w:rPr>
      </w:pPr>
      <w:r>
        <w:rPr>
          <w:b/>
        </w:rPr>
        <w:t>&lt;Start Record&gt;</w:t>
      </w:r>
    </w:p>
    <w:p>
      <w:pPr>
        <w:pStyle w:val="Normal"/>
        <w:numPr>
          <w:ilvl w:val="0"/>
          <w:numId w:val="19"/>
        </w:numPr>
        <w:tabs>
          <w:tab w:val="left" w:pos="720" w:leader="none"/>
        </w:tabs>
        <w:ind w:left="720" w:hanging="360"/>
        <w:rPr>
          <w:b/>
          <w:b/>
        </w:rPr>
      </w:pPr>
      <w:r>
        <w:rPr>
          <w:b/>
        </w:rPr>
        <w:t>&lt;Report&gt;</w:t>
      </w:r>
    </w:p>
    <w:p>
      <w:pPr>
        <w:pStyle w:val="Normal"/>
        <w:numPr>
          <w:ilvl w:val="0"/>
          <w:numId w:val="19"/>
        </w:numPr>
        <w:tabs>
          <w:tab w:val="left" w:pos="720" w:leader="none"/>
        </w:tabs>
        <w:ind w:left="720" w:hanging="360"/>
        <w:rPr>
          <w:b/>
          <w:b/>
        </w:rPr>
      </w:pPr>
      <w:r>
        <w:rPr>
          <w:b/>
        </w:rPr>
        <w:t>&lt;Main Menu&gt;</w:t>
      </w:r>
    </w:p>
    <w:p>
      <w:pPr>
        <w:pStyle w:val="Normal"/>
        <w:rPr>
          <w:b/>
          <w:b/>
        </w:rPr>
      </w:pPr>
      <w:r>
        <w:rPr>
          <w:b/>
        </w:rPr>
      </w:r>
    </w:p>
    <w:p>
      <w:pPr>
        <w:pStyle w:val="Normal"/>
        <w:rPr/>
      </w:pPr>
      <w:r>
        <w:rPr/>
        <w:t>Select &lt;</w:t>
      </w:r>
      <w:r>
        <w:rPr>
          <w:b/>
        </w:rPr>
        <w:t>Start Cuff</w:t>
      </w:r>
      <w:r>
        <w:rPr/>
        <w:t xml:space="preserve">&gt; to initiate a blood pressure measurement and the display of the arterial pulse signal. Adjust the sensor to optimize the relative signal strength. When the signal strength is optimized and the signal appears to be clean and stable select </w:t>
      </w:r>
      <w:r>
        <w:rPr>
          <w:b/>
        </w:rPr>
        <w:t>&lt;Start Record&gt;</w:t>
      </w:r>
      <w:r>
        <w:rPr/>
        <w:t xml:space="preserve">. Another blood pressure measurement will be made and then the acquisition of the arterial pulse wave form will begin. </w:t>
      </w:r>
    </w:p>
    <w:p>
      <w:pPr>
        <w:pStyle w:val="Normal"/>
        <w:rPr/>
      </w:pPr>
      <w:r>
        <w:rPr/>
      </w:r>
    </w:p>
    <w:p>
      <w:pPr>
        <w:pStyle w:val="Normal"/>
        <w:rPr/>
      </w:pPr>
      <w:r>
        <w:rPr/>
        <w:t xml:space="preserve">When the acquisition is finished, select </w:t>
      </w:r>
      <w:r>
        <w:rPr>
          <w:b/>
        </w:rPr>
        <w:t>&lt;Report&gt;</w:t>
      </w:r>
      <w:r>
        <w:rPr/>
        <w:t xml:space="preserve">. </w:t>
      </w:r>
      <w:r>
        <w:rPr>
          <w:b/>
        </w:rPr>
        <w:t>&lt;Report&gt;</w:t>
      </w:r>
      <w:r>
        <w:rPr/>
        <w:t xml:space="preserve"> will cause the data to be save to the device and start the cardiac output and elasticity calculations. Selecting &lt;</w:t>
      </w:r>
      <w:r>
        <w:rPr>
          <w:b/>
        </w:rPr>
        <w:t>Main Menu&gt;</w:t>
      </w:r>
      <w:r>
        <w:rPr/>
        <w:t xml:space="preserve"> at this point will cause the loss of data. </w:t>
      </w:r>
    </w:p>
    <w:p>
      <w:pPr>
        <w:pStyle w:val="Normal"/>
        <w:rPr/>
      </w:pPr>
      <w:r>
        <w:rPr/>
      </w:r>
    </w:p>
    <w:p>
      <w:pPr>
        <w:pStyle w:val="Normal"/>
        <w:rPr/>
      </w:pPr>
      <w:r>
        <w:rPr/>
        <w:t>The report screen displays the Research Subjects Cardiovascular Profile. Included in the display are the blood pressure, pulse pressure, pulse rate, and cardiac output and elasticity calculations. The buttons on the report screen are</w:t>
      </w:r>
    </w:p>
    <w:p>
      <w:pPr>
        <w:pStyle w:val="Normal"/>
        <w:ind w:left="360" w:hanging="0"/>
        <w:rPr>
          <w:b/>
          <w:b/>
        </w:rPr>
      </w:pPr>
      <w:r>
        <w:rPr>
          <w:b/>
        </w:rPr>
      </w:r>
    </w:p>
    <w:p>
      <w:pPr>
        <w:pStyle w:val="Normal"/>
        <w:numPr>
          <w:ilvl w:val="0"/>
          <w:numId w:val="33"/>
        </w:numPr>
        <w:tabs>
          <w:tab w:val="left" w:pos="720" w:leader="none"/>
        </w:tabs>
        <w:ind w:left="720" w:hanging="360"/>
        <w:rPr>
          <w:b/>
          <w:b/>
        </w:rPr>
      </w:pPr>
      <w:r>
        <w:rPr>
          <w:b/>
        </w:rPr>
        <w:t>&lt;Transmit Results&gt;</w:t>
      </w:r>
    </w:p>
    <w:p>
      <w:pPr>
        <w:pStyle w:val="Normal"/>
        <w:numPr>
          <w:ilvl w:val="0"/>
          <w:numId w:val="33"/>
        </w:numPr>
        <w:tabs>
          <w:tab w:val="left" w:pos="720" w:leader="none"/>
        </w:tabs>
        <w:ind w:left="720" w:hanging="360"/>
        <w:rPr>
          <w:b/>
          <w:b/>
        </w:rPr>
      </w:pPr>
      <w:r>
        <w:rPr>
          <w:b/>
        </w:rPr>
        <w:t>&lt;Repeat Profile&gt;</w:t>
      </w:r>
    </w:p>
    <w:p>
      <w:pPr>
        <w:pStyle w:val="Normal"/>
        <w:numPr>
          <w:ilvl w:val="0"/>
          <w:numId w:val="33"/>
        </w:numPr>
        <w:tabs>
          <w:tab w:val="left" w:pos="720" w:leader="none"/>
        </w:tabs>
        <w:ind w:left="720" w:hanging="360"/>
        <w:rPr>
          <w:b/>
          <w:b/>
        </w:rPr>
      </w:pPr>
      <w:r>
        <w:rPr>
          <w:b/>
        </w:rPr>
        <w:t>&lt;Print Report&gt;</w:t>
      </w:r>
    </w:p>
    <w:p>
      <w:pPr>
        <w:pStyle w:val="Normal"/>
        <w:numPr>
          <w:ilvl w:val="0"/>
          <w:numId w:val="33"/>
        </w:numPr>
        <w:tabs>
          <w:tab w:val="left" w:pos="720" w:leader="none"/>
        </w:tabs>
        <w:ind w:left="720" w:hanging="360"/>
        <w:rPr>
          <w:b/>
          <w:b/>
        </w:rPr>
      </w:pPr>
      <w:r>
        <w:rPr>
          <w:b/>
        </w:rPr>
        <w:t>&lt;Main Menu&gt;</w:t>
      </w:r>
    </w:p>
    <w:p>
      <w:pPr>
        <w:pStyle w:val="Normal"/>
        <w:rPr>
          <w:b/>
          <w:b/>
        </w:rPr>
      </w:pPr>
      <w:r>
        <w:rPr>
          <w:b/>
        </w:rPr>
      </w:r>
    </w:p>
    <w:p>
      <w:pPr>
        <w:pStyle w:val="Normal"/>
        <w:rPr/>
      </w:pPr>
      <w:r>
        <w:rPr/>
        <w:t xml:space="preserve">If the computer is ready to accept the data, select </w:t>
      </w:r>
      <w:r>
        <w:rPr>
          <w:b/>
        </w:rPr>
        <w:t>&lt;Transmit Results&gt;</w:t>
      </w:r>
      <w:r>
        <w:rPr/>
        <w:t>. If not then either get the computer ready by starting up HyperTerminal and selecting Transfer</w:t>
      </w:r>
      <w:r>
        <w:rPr>
          <w:rFonts w:eastAsia="Wingdings" w:cs="Wingdings" w:ascii="Wingdings" w:hAnsi="Wingdings"/>
          <w:lang w:val="en-US" w:eastAsia="en-US"/>
        </w:rPr>
        <w:t></w:t>
      </w:r>
      <w:r>
        <w:rPr/>
        <w:t xml:space="preserve"> Capture Text or select </w:t>
      </w:r>
      <w:r>
        <w:rPr>
          <w:b/>
        </w:rPr>
        <w:t>&lt;Main Menu&gt;</w:t>
      </w:r>
      <w:r>
        <w:rPr/>
        <w:t xml:space="preserve"> to start a new participant.</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rPr>
      </w:r>
    </w:p>
    <w:p>
      <w:pPr>
        <w:pStyle w:val="Heading1"/>
        <w:numPr>
          <w:ilvl w:val="0"/>
          <w:numId w:val="35"/>
        </w:numPr>
        <w:rPr/>
      </w:pPr>
      <w:r>
        <w:rPr/>
        <w:t>Transferring Data from the HDI/Pulse Wave CR-2000 to a Computer</w:t>
      </w:r>
    </w:p>
    <w:p>
      <w:pPr>
        <w:pStyle w:val="Normal"/>
        <w:rPr/>
      </w:pPr>
      <w:r>
        <w:rPr/>
      </w:r>
    </w:p>
    <w:p>
      <w:pPr>
        <w:pStyle w:val="Heading1"/>
        <w:rPr/>
      </w:pPr>
      <w:r>
        <w:rPr/>
        <w:t>Computer Directory Structure</w:t>
      </w:r>
    </w:p>
    <w:p>
      <w:pPr>
        <w:pStyle w:val="Normal"/>
        <w:rPr/>
      </w:pPr>
      <w:r>
        <w:rPr/>
      </w:r>
    </w:p>
    <w:p>
      <w:pPr>
        <w:pStyle w:val="Normal"/>
        <w:rPr/>
      </w:pPr>
      <w:r>
        <w:rPr/>
        <w:t>It will be necessary for each field center to keep the computer to which the arterial pulse wave data is uploaded well organized. The sonographer or field center data manager will create the following directory structure on the MESA Ultrasound PC.</w:t>
      </w:r>
    </w:p>
    <w:p>
      <w:pPr>
        <w:pStyle w:val="Normal"/>
        <w:rPr/>
      </w:pPr>
      <w:r>
        <w:rPr/>
      </w:r>
    </w:p>
    <w:p>
      <w:pPr>
        <w:pStyle w:val="Normal"/>
        <w:ind w:left="720" w:hanging="0"/>
        <w:rPr/>
      </w:pPr>
      <w:r>
        <w:rPr/>
        <w:t>C:\ArterialPulseWave\Test</w:t>
      </w:r>
    </w:p>
    <w:p>
      <w:pPr>
        <w:pStyle w:val="Normal"/>
        <w:ind w:left="1440" w:hanging="0"/>
        <w:rPr/>
      </w:pPr>
      <w:r>
        <w:rPr/>
        <w:t>Will contain data from non-MESA test cases</w:t>
      </w:r>
    </w:p>
    <w:p>
      <w:pPr>
        <w:pStyle w:val="Normal"/>
        <w:ind w:left="720" w:hanging="0"/>
        <w:rPr/>
      </w:pPr>
      <w:r>
        <w:rPr/>
      </w:r>
    </w:p>
    <w:p>
      <w:pPr>
        <w:pStyle w:val="Normal"/>
        <w:ind w:left="720" w:hanging="0"/>
        <w:rPr/>
      </w:pPr>
      <w:r>
        <w:rPr/>
        <w:t>C:\ArterialPulseWave\MESAPilot</w:t>
      </w:r>
    </w:p>
    <w:p>
      <w:pPr>
        <w:pStyle w:val="Normal"/>
        <w:ind w:left="1440" w:hanging="0"/>
        <w:rPr/>
      </w:pPr>
      <w:r>
        <w:rPr/>
        <w:t>Will contain data from MESA Pilot cases</w:t>
      </w:r>
    </w:p>
    <w:p>
      <w:pPr>
        <w:pStyle w:val="Normal"/>
        <w:ind w:left="720" w:hanging="0"/>
        <w:rPr/>
      </w:pPr>
      <w:r>
        <w:rPr/>
      </w:r>
    </w:p>
    <w:p>
      <w:pPr>
        <w:pStyle w:val="Normal"/>
        <w:ind w:left="720" w:hanging="0"/>
        <w:rPr/>
      </w:pPr>
      <w:r>
        <w:rPr/>
        <w:t>C:\ArterialPulseWave\MESANewData</w:t>
      </w:r>
    </w:p>
    <w:p>
      <w:pPr>
        <w:pStyle w:val="Normal"/>
        <w:ind w:left="1440" w:hanging="0"/>
        <w:rPr/>
      </w:pPr>
      <w:r>
        <w:rPr/>
        <w:t>Will contain the current week’s MESA participant data</w:t>
      </w:r>
    </w:p>
    <w:p>
      <w:pPr>
        <w:pStyle w:val="Normal"/>
        <w:ind w:left="720" w:hanging="0"/>
        <w:rPr/>
      </w:pPr>
      <w:r>
        <w:rPr/>
      </w:r>
    </w:p>
    <w:p>
      <w:pPr>
        <w:pStyle w:val="Normal"/>
        <w:ind w:left="720" w:hanging="0"/>
        <w:rPr/>
      </w:pPr>
      <w:r>
        <w:rPr/>
        <w:t>C:\ArterialPulseWave\MESAArchive</w:t>
      </w:r>
    </w:p>
    <w:p>
      <w:pPr>
        <w:pStyle w:val="Normal"/>
        <w:ind w:left="1440" w:hanging="0"/>
        <w:rPr/>
      </w:pPr>
      <w:r>
        <w:rPr/>
        <w:t>Will contain all previous weeks’ MESA participant data</w:t>
      </w:r>
    </w:p>
    <w:p>
      <w:pPr>
        <w:pStyle w:val="Normal"/>
        <w:rPr/>
      </w:pPr>
      <w:r>
        <w:rPr/>
      </w:r>
    </w:p>
    <w:p>
      <w:pPr>
        <w:pStyle w:val="Normal"/>
        <w:rPr/>
      </w:pPr>
      <w:r>
        <w:rPr/>
        <w:t xml:space="preserve">The data files will be transferred from the HDI device to the Ultrasound computer at the end of every working day. The HDI device stores a maximum of 30 records. The first record saved is the first record that is deleted. Records cannot be deleted from the HDI device. </w:t>
      </w:r>
    </w:p>
    <w:p>
      <w:pPr>
        <w:pStyle w:val="Normal"/>
        <w:rPr/>
      </w:pPr>
      <w:r>
        <w:rPr/>
      </w:r>
    </w:p>
    <w:p>
      <w:pPr>
        <w:pStyle w:val="Normal"/>
        <w:rPr/>
      </w:pPr>
      <w:r>
        <w:rPr/>
        <w:t>There are several options for transferring the pulse wave data from the PulseWave CR-2000 to the computer. It can be sent as one file per participant or it can be sent as a cumulative data that contains the data for multiple participants.</w:t>
      </w:r>
    </w:p>
    <w:p>
      <w:pPr>
        <w:pStyle w:val="Normal"/>
        <w:rPr/>
      </w:pPr>
      <w:r>
        <w:rPr/>
      </w:r>
    </w:p>
    <w:p>
      <w:pPr>
        <w:pStyle w:val="Heading1"/>
        <w:rPr/>
      </w:pPr>
      <w:r>
        <w:rPr/>
        <w:t>One Participant per File</w:t>
      </w:r>
    </w:p>
    <w:p>
      <w:pPr>
        <w:pStyle w:val="Normal"/>
        <w:rPr/>
      </w:pPr>
      <w:r>
        <w:rPr/>
      </w:r>
    </w:p>
    <w:p>
      <w:pPr>
        <w:pStyle w:val="Normal"/>
        <w:rPr/>
      </w:pPr>
      <w:r>
        <w:rPr/>
        <w:t xml:space="preserve">The MESA arterial pulse wave file naming convention is </w:t>
      </w:r>
    </w:p>
    <w:p>
      <w:pPr>
        <w:pStyle w:val="Normal"/>
        <w:ind w:left="1440" w:hanging="0"/>
        <w:rPr/>
      </w:pPr>
      <w:r>
        <w:rPr/>
      </w:r>
    </w:p>
    <w:p>
      <w:pPr>
        <w:pStyle w:val="Normal"/>
        <w:ind w:left="1440" w:hanging="0"/>
        <w:rPr/>
      </w:pPr>
      <w:r>
        <w:rPr/>
        <w:t>XXXXXXX.txt where “XXXXXXX”= MESA participant ID, 7 digits</w:t>
      </w:r>
    </w:p>
    <w:p>
      <w:pPr>
        <w:pStyle w:val="Normal"/>
        <w:rPr/>
      </w:pPr>
      <w:r>
        <w:rPr/>
      </w:r>
    </w:p>
    <w:p>
      <w:pPr>
        <w:pStyle w:val="Normal"/>
        <w:rPr/>
      </w:pPr>
      <w:r>
        <w:rPr/>
        <w:t>Repeat pulse wave data can be indicated with the addition of a “_2”, “_3” and so on added to the end of the file name.</w:t>
      </w:r>
    </w:p>
    <w:p>
      <w:pPr>
        <w:pStyle w:val="Normal"/>
        <w:rPr/>
      </w:pPr>
      <w:r>
        <w:rPr/>
      </w:r>
    </w:p>
    <w:p>
      <w:pPr>
        <w:pStyle w:val="Heading1"/>
        <w:rPr/>
      </w:pPr>
      <w:r>
        <w:rPr/>
        <w:t>Multiple Files per Participant</w:t>
      </w:r>
    </w:p>
    <w:p>
      <w:pPr>
        <w:pStyle w:val="Normal"/>
        <w:rPr>
          <w:b/>
          <w:b/>
        </w:rPr>
      </w:pPr>
      <w:r>
        <w:rPr>
          <w:b/>
        </w:rPr>
      </w:r>
    </w:p>
    <w:p>
      <w:pPr>
        <w:pStyle w:val="Normal"/>
        <w:rPr/>
      </w:pPr>
      <w:r>
        <w:rPr/>
        <w:t>The HDI data to computer transmission procedure can be worked into the protocol routine. Following this procedure will improve efficiency by eliminating the need to transmit the HDI data to the computer at the end of the day. The computer must be set up in the morning, left on and for the sake of efficiency HyperTerminal kept open.</w:t>
      </w:r>
    </w:p>
    <w:p>
      <w:pPr>
        <w:pStyle w:val="Normal"/>
        <w:rPr/>
      </w:pPr>
      <w:r>
        <w:rPr/>
      </w:r>
    </w:p>
    <w:p>
      <w:pPr>
        <w:pStyle w:val="Normal"/>
        <w:rPr/>
      </w:pPr>
      <w:r>
        <w:rPr/>
        <w:t>Capture all data onto computer into one data file each day.</w:t>
      </w:r>
    </w:p>
    <w:p>
      <w:pPr>
        <w:pStyle w:val="Normal"/>
        <w:rPr/>
      </w:pPr>
      <w:r>
        <w:rPr/>
        <w:t xml:space="preserve">At start of day start up </w:t>
      </w:r>
    </w:p>
    <w:p>
      <w:pPr>
        <w:pStyle w:val="Normal"/>
        <w:ind w:left="720" w:hanging="0"/>
        <w:rPr/>
      </w:pPr>
      <w:r>
        <w:rPr/>
      </w:r>
    </w:p>
    <w:p>
      <w:pPr>
        <w:pStyle w:val="Normal"/>
        <w:ind w:left="720" w:hanging="0"/>
        <w:rPr/>
      </w:pPr>
      <w:r>
        <w:rPr/>
        <w:t>CR 2000 Hyperterminal</w:t>
      </w:r>
    </w:p>
    <w:p>
      <w:pPr>
        <w:pStyle w:val="Normal"/>
        <w:ind w:left="720" w:hanging="0"/>
        <w:rPr/>
      </w:pPr>
      <w:r>
        <w:rPr/>
        <w:t xml:space="preserve">From top menu select </w:t>
      </w:r>
      <w:r>
        <w:rPr>
          <w:b/>
        </w:rPr>
        <w:t xml:space="preserve">Transfer </w:t>
      </w:r>
      <w:r>
        <w:rPr>
          <w:rFonts w:eastAsia="Wingdings" w:cs="Wingdings" w:ascii="Wingdings" w:hAnsi="Wingdings"/>
          <w:b/>
          <w:lang w:val="en-US" w:eastAsia="en-US"/>
        </w:rPr>
        <w:t></w:t>
      </w:r>
      <w:r>
        <w:rPr>
          <w:b/>
        </w:rPr>
        <w:t xml:space="preserve"> Capture Text</w:t>
      </w:r>
    </w:p>
    <w:p>
      <w:pPr>
        <w:pStyle w:val="Normal"/>
        <w:ind w:left="720" w:hanging="0"/>
        <w:rPr/>
      </w:pPr>
      <w:r>
        <w:rPr/>
        <w:t>Browse to appropriate folder</w:t>
      </w:r>
    </w:p>
    <w:p>
      <w:pPr>
        <w:pStyle w:val="Normal"/>
        <w:ind w:left="720" w:hanging="0"/>
        <w:rPr/>
      </w:pPr>
      <w:r>
        <w:rPr/>
        <w:t>Name file according to the following format</w:t>
      </w:r>
    </w:p>
    <w:p>
      <w:pPr>
        <w:pStyle w:val="Normal"/>
        <w:ind w:left="720" w:hanging="0"/>
        <w:rPr/>
      </w:pPr>
      <w:r>
        <w:rPr/>
      </w:r>
    </w:p>
    <w:p>
      <w:pPr>
        <w:pStyle w:val="Normal"/>
        <w:ind w:left="1440" w:hanging="0"/>
        <w:rPr/>
      </w:pPr>
      <w:r>
        <w:rPr/>
        <w:t xml:space="preserve">MPW9YYMMDD.txt </w:t>
      </w:r>
    </w:p>
    <w:p>
      <w:pPr>
        <w:pStyle w:val="Normal"/>
        <w:ind w:left="1440" w:hanging="0"/>
        <w:rPr/>
      </w:pPr>
      <w:r>
        <w:rPr/>
        <w:t>where,</w:t>
      </w:r>
    </w:p>
    <w:p>
      <w:pPr>
        <w:pStyle w:val="Normal"/>
        <w:ind w:left="2160" w:hanging="0"/>
        <w:rPr/>
      </w:pPr>
      <w:r>
        <w:rPr/>
        <w:t>M stands for MESA Pulse Wave</w:t>
      </w:r>
    </w:p>
    <w:p>
      <w:pPr>
        <w:pStyle w:val="Normal"/>
        <w:ind w:left="2160" w:hanging="0"/>
        <w:rPr/>
      </w:pPr>
      <w:r>
        <w:rPr/>
        <w:t>9 is the field center number</w:t>
      </w:r>
    </w:p>
    <w:p>
      <w:pPr>
        <w:pStyle w:val="Normal"/>
        <w:ind w:left="2160" w:hanging="0"/>
        <w:rPr/>
      </w:pPr>
      <w:r>
        <w:rPr/>
        <w:t>YY is the year</w:t>
      </w:r>
    </w:p>
    <w:p>
      <w:pPr>
        <w:pStyle w:val="Normal"/>
        <w:ind w:left="2160" w:hanging="0"/>
        <w:rPr/>
      </w:pPr>
      <w:r>
        <w:rPr/>
        <w:t>MM is the month</w:t>
      </w:r>
    </w:p>
    <w:p>
      <w:pPr>
        <w:pStyle w:val="Normal"/>
        <w:ind w:left="2160" w:hanging="0"/>
        <w:rPr/>
      </w:pPr>
      <w:r>
        <w:rPr/>
        <w:t>DD is the day</w:t>
      </w:r>
    </w:p>
    <w:p>
      <w:pPr>
        <w:pStyle w:val="Normal"/>
        <w:rPr/>
      </w:pPr>
      <w:r>
        <w:rPr/>
      </w:r>
    </w:p>
    <w:p>
      <w:pPr>
        <w:pStyle w:val="Normal"/>
        <w:rPr/>
      </w:pPr>
      <w:r>
        <w:rPr/>
        <w:t>For example arterial waveform data collected at the University of Minnesota on July 23, 2000 would be captured into a file named, “MPW6000723.txt”</w:t>
      </w:r>
    </w:p>
    <w:p>
      <w:pPr>
        <w:pStyle w:val="Normal"/>
        <w:rPr/>
      </w:pPr>
      <w:r>
        <w:rPr/>
      </w:r>
    </w:p>
    <w:p>
      <w:pPr>
        <w:pStyle w:val="Normal"/>
        <w:rPr/>
      </w:pPr>
      <w:r>
        <w:rPr/>
        <w:t xml:space="preserve">The computer is now ready to accept data transmitted to it from the HDI CR 2000 device. </w:t>
      </w:r>
    </w:p>
    <w:p>
      <w:pPr>
        <w:pStyle w:val="Normal"/>
        <w:rPr/>
      </w:pPr>
      <w:r>
        <w:rPr/>
        <w:t xml:space="preserve">Run the procedure on the participant. After </w:t>
      </w:r>
      <w:r>
        <w:rPr>
          <w:b/>
        </w:rPr>
        <w:t>&lt;Report&gt;</w:t>
      </w:r>
      <w:r>
        <w:rPr/>
        <w:t xml:space="preserve"> select the </w:t>
      </w:r>
      <w:r>
        <w:rPr>
          <w:b/>
        </w:rPr>
        <w:t>&lt;Transmit Results&gt;</w:t>
      </w:r>
      <w:r>
        <w:rPr/>
        <w:t xml:space="preserve"> button. Data will be displayed on the HyperTerminal window as it streams into the computer.</w:t>
      </w:r>
    </w:p>
    <w:p>
      <w:pPr>
        <w:pStyle w:val="Normal"/>
        <w:rPr/>
      </w:pPr>
      <w:r>
        <w:rPr/>
      </w:r>
    </w:p>
    <w:p>
      <w:pPr>
        <w:pStyle w:val="Normal"/>
        <w:rPr/>
      </w:pPr>
      <w:r>
        <w:rPr/>
      </w:r>
    </w:p>
    <w:p>
      <w:pPr>
        <w:pStyle w:val="Normal"/>
        <w:numPr>
          <w:ilvl w:val="0"/>
          <w:numId w:val="35"/>
        </w:numPr>
        <w:rPr>
          <w:b/>
          <w:b/>
        </w:rPr>
      </w:pPr>
      <w:r>
        <w:rPr>
          <w:b/>
        </w:rPr>
        <w:t>Data Transmission to the Ultrasound Reading Center</w:t>
      </w:r>
    </w:p>
    <w:p>
      <w:pPr>
        <w:pStyle w:val="Normal"/>
        <w:rPr>
          <w:b/>
          <w:b/>
        </w:rPr>
      </w:pPr>
      <w:r>
        <w:rPr>
          <w:b/>
        </w:rPr>
      </w:r>
    </w:p>
    <w:p>
      <w:pPr>
        <w:pStyle w:val="Normal"/>
        <w:rPr/>
      </w:pPr>
      <w:r>
        <w:rPr/>
        <w:t>Data will be transmitted to the Ultrasound Reading Center on a weekly basis. The field center Data Manager will be responsible for copying the data from the MESA Ultrasound computer and transmitting it. The data should be transmitted each Thursday. Call or e-mail the Ultrasound Reading Center if for any reason data cannot or will not be sent on a particular Thursday.</w:t>
      </w:r>
    </w:p>
    <w:p>
      <w:pPr>
        <w:pStyle w:val="Normal"/>
        <w:rPr/>
      </w:pPr>
      <w:r>
        <w:rPr/>
      </w:r>
    </w:p>
    <w:p>
      <w:pPr>
        <w:pStyle w:val="Normal"/>
        <w:rPr/>
      </w:pPr>
      <w:r>
        <w:rPr/>
        <w:t>Transfer individual files as e-mail attachments to Laurie Funk (lrcfunk@iw1.net).</w:t>
      </w:r>
    </w:p>
    <w:p>
      <w:pPr>
        <w:pStyle w:val="Normal"/>
        <w:rPr/>
      </w:pPr>
      <w:r>
        <w:rPr/>
      </w:r>
    </w:p>
    <w:p>
      <w:pPr>
        <w:pStyle w:val="Normal"/>
        <w:rPr/>
      </w:pPr>
      <w:r>
        <w:rPr/>
        <w:t xml:space="preserve">Data should be sent as e-mail attachments with the body of the e-mail message containing the following information: field center, number of arterial pulse wave files and the names of the pulse wave files. The Subject should be MESA PW Data – </w:t>
      </w:r>
      <w:r>
        <w:rPr>
          <w:i/>
        </w:rPr>
        <w:t>Center  Number Center Name.</w:t>
      </w:r>
    </w:p>
    <w:p>
      <w:pPr>
        <w:pStyle w:val="Normal"/>
        <w:rPr>
          <w:i/>
          <w:i/>
        </w:rPr>
      </w:pPr>
      <w:r>
        <w:rPr>
          <w:i/>
        </w:rPr>
      </w:r>
    </w:p>
    <w:p>
      <w:pPr>
        <w:pStyle w:val="Normal"/>
        <w:rPr/>
      </w:pPr>
      <w:r>
        <w:rPr/>
        <w:t>During the actual MESA exam cycle sonographers will e-mail the URC data files on Thursday of each week. Copies of all the data files are to be kept at the field center.</w:t>
      </w:r>
    </w:p>
    <w:p>
      <w:pPr>
        <w:pStyle w:val="Normal"/>
        <w:rPr/>
      </w:pPr>
      <w:r>
        <w:rPr/>
      </w:r>
    </w:p>
    <w:p>
      <w:pPr>
        <w:pStyle w:val="Normal"/>
        <w:rPr/>
      </w:pPr>
      <w:r>
        <w:rPr/>
        <w:t>Before transmitting data to the URC copy the data files from the directory C:\PulseWave\MESANewData to a floppy disk.</w:t>
      </w:r>
    </w:p>
    <w:p>
      <w:pPr>
        <w:pStyle w:val="Normal"/>
        <w:rPr/>
      </w:pPr>
      <w:r>
        <w:rPr/>
      </w:r>
    </w:p>
    <w:p>
      <w:pPr>
        <w:pStyle w:val="Normal"/>
        <w:rPr/>
      </w:pPr>
      <w:r>
        <w:rPr/>
        <w:t>Move all files raw data files and the archive file that are in the directory C:\PulseWave\MESANewData to C:\ArterialPulseWave\MESAArchive.</w:t>
      </w:r>
    </w:p>
    <w:p>
      <w:pPr>
        <w:pStyle w:val="Normal"/>
        <w:rPr/>
      </w:pPr>
      <w:r>
        <w:rPr/>
      </w:r>
    </w:p>
    <w:p>
      <w:pPr>
        <w:pStyle w:val="Normal"/>
        <w:rPr/>
      </w:pPr>
      <w:r>
        <w:rPr/>
        <w:t xml:space="preserve">Bring floppy to MESA 1 computer. </w:t>
      </w:r>
    </w:p>
    <w:p>
      <w:pPr>
        <w:pStyle w:val="Normal"/>
        <w:rPr/>
      </w:pPr>
      <w:r>
        <w:rPr/>
        <w:t>Copy the files to a temporary space such as C:\Temp</w:t>
      </w:r>
    </w:p>
    <w:p>
      <w:pPr>
        <w:pStyle w:val="Normal"/>
        <w:rPr/>
      </w:pPr>
      <w:r>
        <w:rPr/>
      </w:r>
    </w:p>
    <w:p>
      <w:pPr>
        <w:pStyle w:val="Normal"/>
        <w:rPr/>
      </w:pPr>
      <w:r>
        <w:rPr/>
        <w:t xml:space="preserve">Send the files as an attachment to </w:t>
      </w:r>
      <w:hyperlink r:id="rId162">
        <w:r>
          <w:rPr>
            <w:rStyle w:val="InternetLink"/>
          </w:rPr>
          <w:t>lrcfunk@iw1.net</w:t>
        </w:r>
      </w:hyperlink>
      <w:r>
        <w:rPr/>
        <w:t xml:space="preserve"> along with the following information </w:t>
      </w:r>
    </w:p>
    <w:p>
      <w:pPr>
        <w:pStyle w:val="Normal"/>
        <w:ind w:left="360" w:hanging="0"/>
        <w:rPr/>
      </w:pPr>
      <w:r>
        <w:rPr/>
      </w:r>
    </w:p>
    <w:p>
      <w:pPr>
        <w:pStyle w:val="Normal"/>
        <w:numPr>
          <w:ilvl w:val="0"/>
          <w:numId w:val="7"/>
        </w:numPr>
        <w:tabs>
          <w:tab w:val="left" w:pos="720" w:leader="none"/>
        </w:tabs>
        <w:ind w:left="720" w:hanging="360"/>
        <w:rPr/>
      </w:pPr>
      <w:r>
        <w:rPr/>
        <w:t xml:space="preserve">Field Center Number </w:t>
      </w:r>
    </w:p>
    <w:p>
      <w:pPr>
        <w:pStyle w:val="Normal"/>
        <w:numPr>
          <w:ilvl w:val="0"/>
          <w:numId w:val="7"/>
        </w:numPr>
        <w:tabs>
          <w:tab w:val="left" w:pos="720" w:leader="none"/>
        </w:tabs>
        <w:ind w:left="720" w:hanging="360"/>
        <w:rPr/>
      </w:pPr>
      <w:r>
        <w:rPr/>
        <w:t>Field Center Number</w:t>
      </w:r>
    </w:p>
    <w:p>
      <w:pPr>
        <w:pStyle w:val="Normal"/>
        <w:numPr>
          <w:ilvl w:val="0"/>
          <w:numId w:val="7"/>
        </w:numPr>
        <w:tabs>
          <w:tab w:val="left" w:pos="720" w:leader="none"/>
        </w:tabs>
        <w:ind w:left="720" w:hanging="360"/>
        <w:rPr/>
      </w:pPr>
      <w:r>
        <w:rPr/>
        <w:t>Number of pulse wave data files in archive</w:t>
      </w:r>
    </w:p>
    <w:p>
      <w:pPr>
        <w:pStyle w:val="Normal"/>
        <w:numPr>
          <w:ilvl w:val="0"/>
          <w:numId w:val="7"/>
        </w:numPr>
        <w:tabs>
          <w:tab w:val="left" w:pos="720" w:leader="none"/>
        </w:tabs>
        <w:ind w:left="720" w:hanging="360"/>
        <w:rPr/>
      </w:pPr>
      <w:r>
        <w:rPr/>
        <w:t>List of participant ID’s whose data is being transmitted</w:t>
      </w:r>
    </w:p>
    <w:p>
      <w:pPr>
        <w:pStyle w:val="Normal"/>
        <w:rPr/>
      </w:pPr>
      <w:r>
        <w:rPr/>
      </w:r>
    </w:p>
    <w:p>
      <w:pPr>
        <w:pStyle w:val="Normal"/>
        <w:rPr/>
      </w:pPr>
      <w:r>
        <w:rPr/>
        <w:t xml:space="preserve">If the sonographers or data manager prefer, data can be sent to the URC as WinZip file archives instead of individual files. Archive files should be named according to the following naming convention </w:t>
      </w:r>
    </w:p>
    <w:p>
      <w:pPr>
        <w:pStyle w:val="Normal"/>
        <w:rPr/>
      </w:pPr>
      <w:r>
        <w:rPr/>
      </w:r>
    </w:p>
    <w:p>
      <w:pPr>
        <w:pStyle w:val="Normal"/>
        <w:ind w:left="720" w:hanging="0"/>
        <w:rPr/>
      </w:pPr>
      <w:r>
        <w:rPr/>
        <w:t>MPW</w:t>
      </w:r>
      <w:r>
        <w:rPr>
          <w:i/>
        </w:rPr>
        <w:t>XYYMMDD.</w:t>
      </w:r>
      <w:r>
        <w:rPr/>
        <w:t>zip</w:t>
      </w:r>
    </w:p>
    <w:p>
      <w:pPr>
        <w:pStyle w:val="Normal"/>
        <w:ind w:left="720" w:hanging="0"/>
        <w:rPr/>
      </w:pPr>
      <w:r>
        <w:rPr/>
        <w:t>where,</w:t>
      </w:r>
    </w:p>
    <w:p>
      <w:pPr>
        <w:pStyle w:val="Normal"/>
        <w:rPr/>
      </w:pPr>
      <w:r>
        <w:rPr/>
      </w:r>
    </w:p>
    <w:p>
      <w:pPr>
        <w:pStyle w:val="Normal"/>
        <w:ind w:left="1440" w:hanging="0"/>
        <w:rPr/>
      </w:pPr>
      <w:r>
        <w:rPr/>
        <w:t>MPW stands for MESA Pulse Wave</w:t>
      </w:r>
    </w:p>
    <w:p>
      <w:pPr>
        <w:pStyle w:val="Normal"/>
        <w:ind w:left="1440" w:hanging="0"/>
        <w:rPr/>
      </w:pPr>
      <w:r>
        <w:rPr/>
        <w:t>X = field center number</w:t>
      </w:r>
    </w:p>
    <w:p>
      <w:pPr>
        <w:pStyle w:val="Normal"/>
        <w:ind w:left="1440" w:hanging="0"/>
        <w:rPr/>
      </w:pPr>
      <w:r>
        <w:rPr/>
        <w:t>YY = last two digits of the year</w:t>
      </w:r>
    </w:p>
    <w:p>
      <w:pPr>
        <w:pStyle w:val="Normal"/>
        <w:ind w:left="1440" w:hanging="0"/>
        <w:rPr/>
      </w:pPr>
      <w:r>
        <w:rPr/>
        <w:t>MM = month with preceding zeros: January = 01, Feb = 02, ….. Dec = 12</w:t>
      </w:r>
    </w:p>
    <w:p>
      <w:pPr>
        <w:pStyle w:val="Normal"/>
        <w:ind w:left="1440" w:hanging="0"/>
        <w:rPr/>
      </w:pPr>
      <w:r>
        <w:rPr/>
        <w:t>DD = day of the month with preceding zeros</w:t>
      </w:r>
    </w:p>
    <w:p>
      <w:pPr>
        <w:pStyle w:val="Normal"/>
        <w:rPr/>
      </w:pPr>
      <w:r>
        <w:rPr/>
      </w:r>
    </w:p>
    <w:p>
      <w:pPr>
        <w:pStyle w:val="Normal"/>
        <w:numPr>
          <w:ilvl w:val="0"/>
          <w:numId w:val="35"/>
        </w:numPr>
        <w:rPr>
          <w:b/>
          <w:b/>
        </w:rPr>
      </w:pPr>
      <w:r>
        <w:rPr>
          <w:b/>
        </w:rPr>
        <w:t>Data Quality</w:t>
      </w:r>
    </w:p>
    <w:p>
      <w:pPr>
        <w:pStyle w:val="Normal"/>
        <w:rPr>
          <w:b/>
          <w:b/>
        </w:rPr>
      </w:pPr>
      <w:r>
        <w:rPr>
          <w:b/>
        </w:rPr>
      </w:r>
    </w:p>
    <w:p>
      <w:pPr>
        <w:pStyle w:val="Normal"/>
        <w:rPr/>
      </w:pPr>
      <w:r>
        <w:rPr/>
        <w:t>The quality of the waveform is determined by the consistent presence of characteristic features:</w:t>
      </w:r>
    </w:p>
    <w:p>
      <w:pPr>
        <w:pStyle w:val="Number111bodybullet"/>
        <w:rPr/>
      </w:pPr>
      <w:r>
        <w:rPr/>
      </w:r>
    </w:p>
    <w:p>
      <w:pPr>
        <w:pStyle w:val="Number1bodybullet"/>
        <w:rPr/>
      </w:pPr>
      <w:r>
        <w:rPr>
          <w:rFonts w:eastAsia="Symbol" w:cs="Symbol" w:ascii="Symbol" w:hAnsi="Symbol"/>
        </w:rPr>
        <w:t></w:t>
      </w:r>
      <w:r>
        <w:rPr/>
        <w:tab/>
        <w:t>Steep rise from diastole to a distinctive systolic peak</w:t>
      </w:r>
    </w:p>
    <w:p>
      <w:pPr>
        <w:pStyle w:val="Number1bodybullet"/>
        <w:rPr/>
      </w:pPr>
      <w:r>
        <w:rPr>
          <w:rFonts w:eastAsia="Symbol" w:cs="Symbol" w:ascii="Symbol" w:hAnsi="Symbol"/>
        </w:rPr>
        <w:t></w:t>
      </w:r>
      <w:r>
        <w:rPr/>
        <w:tab/>
        <w:t>Prominent dicrotic notch</w:t>
      </w:r>
    </w:p>
    <w:p>
      <w:pPr>
        <w:pStyle w:val="Number1bodybullet"/>
        <w:rPr/>
      </w:pPr>
      <w:r>
        <w:rPr>
          <w:rFonts w:eastAsia="Symbol" w:cs="Symbol" w:ascii="Symbol" w:hAnsi="Symbol"/>
        </w:rPr>
        <w:t></w:t>
      </w:r>
      <w:r>
        <w:rPr/>
        <w:tab/>
        <w:t>Smooth and gradual decline of the diastolic decay curve</w:t>
      </w:r>
    </w:p>
    <w:p>
      <w:pPr>
        <w:pStyle w:val="Number111bodybullet"/>
        <w:rPr/>
      </w:pPr>
      <w:r>
        <w:rPr/>
      </w:r>
    </w:p>
    <w:p>
      <w:pPr>
        <w:pStyle w:val="Normal"/>
        <w:numPr>
          <w:ilvl w:val="0"/>
          <w:numId w:val="35"/>
        </w:numPr>
        <w:rPr>
          <w:b/>
          <w:b/>
        </w:rPr>
      </w:pPr>
      <w:r>
        <w:rPr>
          <w:b/>
        </w:rPr>
        <w:t>MESA Alert Sonographer Response to High Blood Pressure</w:t>
      </w:r>
    </w:p>
    <w:p>
      <w:pPr>
        <w:pStyle w:val="Normal"/>
        <w:rPr>
          <w:b/>
          <w:b/>
        </w:rPr>
      </w:pPr>
      <w:r>
        <w:rPr>
          <w:b/>
        </w:rPr>
      </w:r>
    </w:p>
    <w:p>
      <w:pPr>
        <w:pStyle w:val="TimesHeaderB"/>
        <w:spacing w:lineRule="auto" w:line="240"/>
        <w:rPr/>
      </w:pPr>
      <w:r>
        <w:rPr/>
        <w:t>The sonographer is to report blood pressure alerts to the clinic coordinator immediately without indicating a concern to the participant.</w:t>
      </w:r>
    </w:p>
    <w:p>
      <w:pPr>
        <w:pStyle w:val="Normal"/>
        <w:rPr/>
      </w:pPr>
      <w:r>
        <w:rPr/>
      </w:r>
    </w:p>
    <w:p>
      <w:pPr>
        <w:pStyle w:val="Normal"/>
        <w:rPr/>
      </w:pPr>
      <w:r>
        <w:rPr/>
        <w:t>Alert levels requiring immediate referral for MESA patients are:</w:t>
      </w:r>
    </w:p>
    <w:p>
      <w:pPr>
        <w:pStyle w:val="Normal"/>
        <w:rPr>
          <w:u w:val="single"/>
        </w:rPr>
      </w:pPr>
      <w:r>
        <w:rPr>
          <w:u w:val="single"/>
        </w:rPr>
      </w:r>
    </w:p>
    <w:p>
      <w:pPr>
        <w:pStyle w:val="Normal"/>
        <w:ind w:left="720" w:hanging="0"/>
        <w:rPr>
          <w:u w:val="single"/>
        </w:rPr>
      </w:pPr>
      <w:r>
        <w:rPr>
          <w:u w:val="single"/>
        </w:rPr>
        <w:t>Immediate:  Systolic &gt; 200 mmHg or Diastolic &gt; 120 mmHg</w:t>
      </w:r>
    </w:p>
    <w:p>
      <w:pPr>
        <w:pStyle w:val="Normal"/>
        <w:rPr>
          <w:u w:val="single"/>
        </w:rPr>
      </w:pPr>
      <w:r>
        <w:rPr>
          <w:u w:val="single"/>
        </w:rPr>
      </w:r>
    </w:p>
    <w:p>
      <w:pPr>
        <w:pStyle w:val="Normal"/>
        <w:rPr/>
      </w:pPr>
      <w:r>
        <w:rPr/>
        <w:t>Alert levels requiring referral within one week are:</w:t>
      </w:r>
    </w:p>
    <w:p>
      <w:pPr>
        <w:pStyle w:val="Normal"/>
        <w:rPr/>
      </w:pPr>
      <w:r>
        <w:rPr/>
      </w:r>
    </w:p>
    <w:p>
      <w:pPr>
        <w:sectPr>
          <w:headerReference w:type="even" r:id="rId163"/>
          <w:headerReference w:type="default" r:id="rId164"/>
          <w:footerReference w:type="even" r:id="rId165"/>
          <w:footerReference w:type="default" r:id="rId166"/>
          <w:type w:val="oddPage"/>
          <w:pgSz w:w="12240" w:h="15840"/>
          <w:pgMar w:left="2880" w:right="1080" w:gutter="0" w:header="720" w:top="1440" w:footer="720" w:bottom="1440"/>
          <w:pgNumType w:fmt="decimal"/>
          <w:formProt w:val="false"/>
          <w:textDirection w:val="lrTb"/>
          <w:docGrid w:type="default" w:linePitch="360" w:charSpace="0"/>
        </w:sectPr>
        <w:pStyle w:val="Normal"/>
        <w:ind w:left="720" w:hanging="0"/>
        <w:rPr>
          <w:u w:val="single"/>
        </w:rPr>
      </w:pPr>
      <w:r>
        <w:rPr>
          <w:u w:val="single"/>
        </w:rPr>
        <w:t>Urgent:       Systolic &gt; 180 mmHg or Diastolic &gt; 110 mmHg</w:t>
      </w:r>
    </w:p>
    <w:p>
      <w:pPr>
        <w:pStyle w:val="Subsectionheading"/>
        <w:rPr/>
      </w:pPr>
      <w:bookmarkStart w:id="37" w:name="__RefHeading___Toc503858993"/>
      <w:bookmarkEnd w:id="37"/>
      <w:r>
        <w:rPr/>
        <w:t>3.9  MRI</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
          <w:b/>
          <w:sz w:val="20"/>
        </w:rPr>
      </w:pPr>
      <w:r>
        <w:rPr>
          <w:b/>
          <w:sz w:val="20"/>
        </w:rPr>
      </w:r>
    </w:p>
    <w:p>
      <w:pPr>
        <w:pStyle w:val="Romanbold"/>
        <w:rPr/>
      </w:pPr>
      <w:r>
        <w:rPr/>
        <w:tab/>
        <w:t>I.</w:t>
        <w:tab/>
        <w:t>Purpose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dy"/>
        <w:rPr/>
      </w:pPr>
      <w:r>
        <w:rPr/>
        <w:t>The use of MRI may provide the basis for determining how subclinical disease progresses to clinical disease.  This technology is also useful in demonstrating the relationship of MRI parameters to existing measures of CVD and the predictive value of these measures for progression to clinical events.  Additionally, it allows the refinement of risk stratification algorithms that reliably identify high-risk persons for targeted interventions in a cost effective manner.  Finally, it can provide the assessment of risk estimates in subgroups of participants according to ethnic background/race.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ld"/>
        <w:rPr/>
      </w:pPr>
      <w:r>
        <w:rPr/>
        <w:tab/>
        <w:t>II.</w:t>
        <w:tab/>
        <w:t>Materials/Equipment</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dy"/>
        <w:rPr/>
      </w:pPr>
      <w:r>
        <w:rPr/>
        <w:t xml:space="preserve">The MRI Centers have all equipment necessary. </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ld"/>
        <w:rPr/>
      </w:pPr>
      <w:r>
        <w:rPr/>
        <w:tab/>
        <w:t>III.</w:t>
        <w:tab/>
        <w:t>Definitions</w:t>
      </w:r>
    </w:p>
    <w:p>
      <w:pPr>
        <w:pStyle w:val="Romanbold"/>
        <w:rPr/>
      </w:pPr>
      <w:r>
        <w:rPr/>
      </w:r>
    </w:p>
    <w:p>
      <w:pPr>
        <w:pStyle w:val="Romanbold"/>
        <w:rPr/>
      </w:pPr>
      <w:r>
        <w:rPr/>
        <w:tab/>
        <w:t>IV.</w:t>
        <w:tab/>
        <w:t>Methods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Cs/>
          <w:sz w:val="22"/>
        </w:rPr>
      </w:pPr>
      <w:r>
        <w:rPr>
          <w:bCs/>
          <w:sz w:val="22"/>
        </w:rPr>
      </w:r>
    </w:p>
    <w:p>
      <w:pPr>
        <w:pStyle w:val="Number1"/>
        <w:rPr/>
      </w:pPr>
      <w:r>
        <w:rPr/>
        <w:tab/>
        <w:t>1.</w:t>
        <w:tab/>
      </w:r>
      <w:r>
        <w:rPr>
          <w:u w:val="single"/>
        </w:rPr>
        <w:t>Participant Preliminaries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Number11"/>
        <w:rPr/>
      </w:pPr>
      <w:r>
        <w:rPr/>
        <w:tab/>
        <w:t>1.1</w:t>
        <w:tab/>
        <w:t>Initial contact for the MRI study will be the first clinic exam. During the exam, the interviewer will ask a series of questions to determine whether the participant is eligible for an MRI. Responses that make a participant ineligible for the MRI are marked with an asterisk on the Exclusion Form, and if a participant gives one or more of these responses, he or she is not eligible for an MRI. The participant will be thanked and the interview ended.</w:t>
      </w:r>
    </w:p>
    <w:p>
      <w:pPr>
        <w:pStyle w:val="Number11"/>
        <w:rPr/>
      </w:pPr>
      <w:r>
        <w:rPr/>
      </w:r>
    </w:p>
    <w:p>
      <w:pPr>
        <w:pStyle w:val="Number11"/>
        <w:rPr/>
      </w:pPr>
      <w:r>
        <w:rPr/>
        <w:tab/>
        <w:t>1.2</w:t>
        <w:tab/>
        <w:t xml:space="preserve">If the participant is eligible for MRI, the interviewer will give a brief explanation of MRI and determine if the participant is able to hold his/her breath for the time required for the study (see following script and explanations). </w:t>
      </w:r>
    </w:p>
    <w:p>
      <w:pPr>
        <w:pStyle w:val="Number11"/>
        <w:rPr/>
      </w:pPr>
      <w:r>
        <w:rPr/>
      </w:r>
    </w:p>
    <w:p>
      <w:pPr>
        <w:pStyle w:val="Number111"/>
        <w:rPr/>
      </w:pPr>
      <w:r>
        <w:rPr/>
        <w:tab/>
        <w:t>1.21</w:t>
        <w:tab/>
      </w:r>
      <w:r>
        <w:rPr>
          <w:rFonts w:cs="Arial;Arial" w:ascii="Arial;Arial" w:hAnsi="Arial;Arial"/>
          <w:b/>
          <w:bCs/>
          <w:sz w:val="20"/>
        </w:rPr>
        <w:t>“</w:t>
      </w:r>
      <w:r>
        <w:rPr>
          <w:rFonts w:cs="Arial;Arial" w:ascii="Arial;Arial" w:hAnsi="Arial;Arial"/>
          <w:b/>
          <w:sz w:val="20"/>
        </w:rPr>
        <w:t xml:space="preserve">My name is ___________.  I am going to talk with you about your MRI examination.  MRI is short for Magnetic Resonance Imaging, a technique that allows us to see internal organs without X-ray, surgery, or pain. MRI is safe and not harmful to the body. MRI measures the size and function of the heart and takes a detailed picture of the heart that other diagnostic tools cannot take. The MRI examination will take about 40 minutes. During the MRI examination, your blood pressure will be also measured and an EKG tracing will be obtained.  </w:t>
      </w:r>
    </w:p>
    <w:p>
      <w:pPr>
        <w:pStyle w:val="Number111"/>
        <w:rPr>
          <w:rFonts w:ascii="Arial;Arial" w:hAnsi="Arial;Arial" w:eastAsia="Arial;Arial" w:cs="Arial;Arial"/>
          <w:b/>
          <w:b/>
          <w:sz w:val="20"/>
        </w:rPr>
      </w:pPr>
      <w:r>
        <w:rPr>
          <w:rFonts w:eastAsia="Arial;Arial" w:cs="Arial;Arial" w:ascii="Arial;Arial" w:hAnsi="Arial;Arial"/>
          <w:b/>
          <w:sz w:val="20"/>
        </w:rPr>
        <w:t xml:space="preserve">  </w:t>
      </w:r>
    </w:p>
    <w:p>
      <w:pPr>
        <w:pStyle w:val="Number111"/>
        <w:rPr>
          <w:i/>
          <w:i/>
          <w:iCs/>
          <w:sz w:val="22"/>
        </w:rPr>
      </w:pPr>
      <w:r>
        <w:rPr>
          <w:rFonts w:cs="Arial;Arial" w:ascii="Arial;Arial" w:hAnsi="Arial;Arial"/>
          <w:b/>
          <w:sz w:val="20"/>
        </w:rPr>
        <w:tab/>
        <w:tab/>
        <w:t>At the beginning of the examination, you will be asked to lie down on the scan table. Then the technologist will slowly slide you into the machine. It looks like a hollow tube. The space inside this tube is somewhat tight and some people get claustrophobic.”</w:t>
      </w:r>
    </w:p>
    <w:p>
      <w:pPr>
        <w:pStyle w:val="Number111"/>
        <w:rPr>
          <w:i/>
          <w:i/>
          <w:iCs/>
          <w:sz w:val="22"/>
        </w:rPr>
      </w:pPr>
      <w:r>
        <w:rPr>
          <w:i/>
          <w:iCs/>
          <w:sz w:val="22"/>
        </w:rPr>
      </w:r>
    </w:p>
    <w:p>
      <w:pPr>
        <w:pStyle w:val="Number111"/>
        <w:rPr/>
      </w:pPr>
      <w:r>
        <w:rPr/>
        <w:tab/>
        <w:t>1.22</w:t>
        <w:tab/>
        <w:t xml:space="preserve">At this point ask, </w:t>
      </w:r>
      <w:r>
        <w:rPr>
          <w:rFonts w:cs="Arial;Arial" w:ascii="Arial;Arial" w:hAnsi="Arial;Arial"/>
          <w:b/>
          <w:bCs/>
          <w:sz w:val="20"/>
        </w:rPr>
        <w:t>“Do you have any problems being in close or narrow spaces? That is, do you suffer from claustrophobia?</w:t>
      </w:r>
      <w:r>
        <w:rPr>
          <w:rFonts w:cs="Arial;Arial" w:ascii="Arial;Arial" w:hAnsi="Arial;Arial"/>
          <w:b/>
          <w:sz w:val="20"/>
        </w:rPr>
        <w:t xml:space="preserve">” </w:t>
      </w:r>
      <w:r>
        <w:rPr/>
        <w:t xml:space="preserve"> </w:t>
      </w:r>
    </w:p>
    <w:p>
      <w:pPr>
        <w:pStyle w:val="Number111"/>
        <w:rPr/>
      </w:pPr>
      <w:r>
        <w:rPr/>
        <w:tab/>
        <w:tab/>
      </w:r>
      <w:r>
        <w:rPr>
          <w:b/>
          <w:bCs/>
          <w:u w:val="single"/>
        </w:rPr>
        <w:t>If yes</w:t>
      </w:r>
      <w:r>
        <w:rPr>
          <w:u w:val="single"/>
        </w:rPr>
        <w:t xml:space="preserve">, try to assess whether the participant will be able to have MRI or not. If you think he/she will not be able to do the MRI, </w:t>
      </w:r>
      <w:r>
        <w:rPr>
          <w:b/>
          <w:bCs/>
          <w:u w:val="single"/>
        </w:rPr>
        <w:t>stop here</w:t>
      </w:r>
      <w:r>
        <w:rPr/>
        <w:t>. Inform the participant that it is better that he/she does not have this part of the exam.</w:t>
      </w:r>
    </w:p>
    <w:p>
      <w:pPr>
        <w:pStyle w:val="Number111"/>
        <w:rPr/>
      </w:pPr>
      <w:r>
        <w:rPr/>
        <w:tab/>
        <w:tab/>
      </w:r>
      <w:r>
        <w:rPr>
          <w:b/>
          <w:bCs/>
          <w:u w:val="single"/>
        </w:rPr>
        <w:t>If no</w:t>
      </w:r>
      <w:r>
        <w:rPr>
          <w:u w:val="single"/>
        </w:rPr>
        <w:t xml:space="preserve">, or if you believe that the participant will be able to have the MRI examination, </w:t>
      </w:r>
      <w:r>
        <w:rPr>
          <w:b/>
          <w:bCs/>
          <w:u w:val="single"/>
        </w:rPr>
        <w:t>proceed</w:t>
      </w:r>
      <w:r>
        <w:rPr>
          <w:u w:val="single"/>
        </w:rPr>
        <w:t xml:space="preserve"> with the following script</w:t>
      </w:r>
      <w:r>
        <w:rPr/>
        <w:t>.</w:t>
      </w:r>
    </w:p>
    <w:p>
      <w:pPr>
        <w:pStyle w:val="Number111"/>
        <w:rPr/>
      </w:pPr>
      <w:r>
        <w:rPr/>
      </w:r>
    </w:p>
    <w:p>
      <w:pPr>
        <w:pStyle w:val="Number111"/>
        <w:rPr/>
      </w:pPr>
      <w:r>
        <w:rPr/>
        <w:tab/>
        <w:t>1.23</w:t>
        <w:tab/>
      </w:r>
      <w:r>
        <w:rPr>
          <w:rFonts w:cs="Arial;Arial" w:ascii="Arial;Arial" w:hAnsi="Arial;Arial"/>
          <w:b/>
          <w:bCs/>
          <w:sz w:val="20"/>
        </w:rPr>
        <w:t>“</w:t>
      </w:r>
      <w:r>
        <w:rPr>
          <w:rFonts w:cs="Arial;Arial" w:ascii="Arial;Arial" w:hAnsi="Arial;Arial"/>
          <w:b/>
          <w:sz w:val="20"/>
          <w:szCs w:val="22"/>
        </w:rPr>
        <w:t xml:space="preserve">While in the MRI machine, there will be some loud knocking sounds when the pictures are being taken. You will be provided with earplugs to help block out the noise.  </w:t>
      </w:r>
    </w:p>
    <w:p>
      <w:pPr>
        <w:pStyle w:val="Number111"/>
        <w:rPr>
          <w:rFonts w:ascii="Arial;Arial" w:hAnsi="Arial;Arial" w:cs="Arial;Arial"/>
          <w:b/>
          <w:b/>
          <w:sz w:val="20"/>
          <w:szCs w:val="22"/>
        </w:rPr>
      </w:pPr>
      <w:r>
        <w:rPr>
          <w:rFonts w:cs="Arial;Arial" w:ascii="Arial;Arial" w:hAnsi="Arial;Arial"/>
          <w:b/>
          <w:sz w:val="20"/>
          <w:szCs w:val="22"/>
        </w:rPr>
      </w:r>
    </w:p>
    <w:p>
      <w:pPr>
        <w:pStyle w:val="Number111"/>
        <w:rPr>
          <w:rFonts w:ascii="Arial;Arial" w:hAnsi="Arial;Arial" w:cs="Arial;Arial"/>
          <w:b/>
          <w:b/>
          <w:sz w:val="20"/>
          <w:szCs w:val="22"/>
        </w:rPr>
      </w:pPr>
      <w:r>
        <w:rPr>
          <w:rFonts w:cs="Arial;Arial" w:ascii="Arial;Arial" w:hAnsi="Arial;Arial"/>
          <w:b/>
          <w:sz w:val="20"/>
          <w:szCs w:val="22"/>
        </w:rPr>
        <w:tab/>
        <w:tab/>
        <w:t xml:space="preserve">The technologist will ask you several times to hold your breath and stay still to be able to get good pictures.  You will be asked each time to hold your breath for twenty seconds. This part is very important because we cannot do the MRI examination, if you cannot hold your breath long enough. </w:t>
      </w:r>
    </w:p>
    <w:p>
      <w:pPr>
        <w:pStyle w:val="Number111"/>
        <w:rPr>
          <w:rFonts w:ascii="Arial;Arial" w:hAnsi="Arial;Arial" w:eastAsia="Arial;Arial" w:cs="Arial;Arial"/>
          <w:b/>
          <w:b/>
          <w:sz w:val="20"/>
          <w:szCs w:val="22"/>
        </w:rPr>
      </w:pPr>
      <w:r>
        <w:rPr>
          <w:rFonts w:eastAsia="Arial;Arial" w:cs="Arial;Arial" w:ascii="Arial;Arial" w:hAnsi="Arial;Arial"/>
          <w:b/>
          <w:sz w:val="20"/>
          <w:szCs w:val="22"/>
        </w:rPr>
        <w:t xml:space="preserve"> </w:t>
      </w:r>
    </w:p>
    <w:p>
      <w:pPr>
        <w:pStyle w:val="Number111"/>
        <w:rPr/>
      </w:pPr>
      <w:r>
        <w:rPr>
          <w:rFonts w:cs="Arial;Arial" w:ascii="Arial;Arial" w:hAnsi="Arial;Arial"/>
          <w:b/>
          <w:sz w:val="20"/>
          <w:szCs w:val="22"/>
        </w:rPr>
        <w:tab/>
        <w:tab/>
        <w:t>Now, we will practice holding your breath to make sure that you will be able to do this during the MRI examination.  I will ask you to hold your breath for several times. Each time, I will time you with my timer to make sure that you can hold your breath for twenty seconds. First, I will demonstrate the proper technique, and then we will practice together.</w:t>
      </w:r>
      <w:r>
        <w:rPr>
          <w:rFonts w:cs="Arial;Arial" w:ascii="Arial;Arial" w:hAnsi="Arial;Arial"/>
          <w:b/>
          <w:bCs/>
          <w:sz w:val="20"/>
        </w:rPr>
        <w:t>”</w:t>
      </w:r>
    </w:p>
    <w:p>
      <w:pPr>
        <w:pStyle w:val="Number111"/>
        <w:rPr>
          <w:rFonts w:ascii="Arial;Arial" w:hAnsi="Arial;Arial" w:cs="Arial;Arial"/>
          <w:b/>
          <w:b/>
          <w:bCs/>
          <w:sz w:val="20"/>
        </w:rPr>
      </w:pPr>
      <w:r>
        <w:rPr>
          <w:rFonts w:cs="Arial;Arial" w:ascii="Arial;Arial" w:hAnsi="Arial;Arial"/>
          <w:b/>
          <w:bCs/>
          <w:sz w:val="20"/>
        </w:rPr>
      </w:r>
    </w:p>
    <w:p>
      <w:pPr>
        <w:pStyle w:val="Number111bodybullet"/>
        <w:rPr/>
      </w:pPr>
      <w:r>
        <w:rPr/>
        <w:tab/>
      </w:r>
      <w:r>
        <w:rPr>
          <w:rFonts w:eastAsia="Symbol" w:cs="Symbol" w:ascii="Symbol" w:hAnsi="Symbol"/>
        </w:rPr>
        <w:t></w:t>
      </w:r>
      <w:r>
        <w:rPr/>
        <w:tab/>
      </w:r>
      <w:r>
        <w:rPr>
          <w:rFonts w:cs="Arial;Arial" w:ascii="Arial;Arial" w:hAnsi="Arial;Arial"/>
          <w:b/>
          <w:sz w:val="20"/>
        </w:rPr>
        <w:t xml:space="preserve">“Take a </w:t>
      </w:r>
      <w:r>
        <w:rPr>
          <w:rFonts w:cs="Arial;Arial" w:ascii="Arial;Arial" w:hAnsi="Arial;Arial"/>
          <w:b/>
          <w:sz w:val="20"/>
          <w:u w:val="single"/>
        </w:rPr>
        <w:t>very</w:t>
      </w:r>
      <w:r>
        <w:rPr>
          <w:rFonts w:cs="Arial;Arial" w:ascii="Arial;Arial" w:hAnsi="Arial;Arial"/>
          <w:b/>
          <w:sz w:val="20"/>
        </w:rPr>
        <w:t xml:space="preserve"> deep breath to fill your chest with air. Then release most of the air slowly until you feel comfortable and then stop breathing.” </w:t>
      </w:r>
      <w:r>
        <w:rPr>
          <w:bCs/>
        </w:rPr>
        <w:t>(Demonstrate the breathing technique.)</w:t>
      </w:r>
      <w:r>
        <w:rPr>
          <w:rFonts w:cs="Arial;Arial" w:ascii="Arial;Arial" w:hAnsi="Arial;Arial"/>
          <w:b/>
          <w:sz w:val="20"/>
        </w:rPr>
        <w:t xml:space="preserve"> “Remember, it is easier to hold your breath if you start with a very deep breath of air!”</w:t>
      </w:r>
    </w:p>
    <w:p>
      <w:pPr>
        <w:pStyle w:val="Number111bodybullet"/>
        <w:rPr/>
      </w:pPr>
      <w:r>
        <w:rPr/>
      </w:r>
    </w:p>
    <w:p>
      <w:pPr>
        <w:pStyle w:val="Number111bodybullet"/>
        <w:rPr>
          <w:rFonts w:ascii="Arial;Arial" w:hAnsi="Arial;Arial" w:cs="Arial;Arial"/>
          <w:b/>
          <w:b/>
          <w:sz w:val="20"/>
        </w:rPr>
      </w:pPr>
      <w:r>
        <w:rPr/>
        <w:tab/>
      </w:r>
      <w:r>
        <w:rPr>
          <w:rFonts w:eastAsia="Symbol" w:cs="Symbol" w:ascii="Symbol" w:hAnsi="Symbol"/>
        </w:rPr>
        <w:t></w:t>
      </w:r>
      <w:r>
        <w:rPr/>
        <w:tab/>
      </w:r>
      <w:r>
        <w:rPr>
          <w:rFonts w:cs="Arial;Arial" w:ascii="Arial;Arial" w:hAnsi="Arial;Arial"/>
          <w:b/>
          <w:sz w:val="20"/>
        </w:rPr>
        <w:t xml:space="preserve">“Now, let’s do the breath holding together.” </w:t>
      </w:r>
      <w:r>
        <w:rPr>
          <w:bCs/>
        </w:rPr>
        <w:t>(Practice the breath hold with the participant using the timer.)</w:t>
      </w:r>
    </w:p>
    <w:p>
      <w:pPr>
        <w:pStyle w:val="Number111bodybullet"/>
        <w:rPr>
          <w:rFonts w:ascii="Arial;Arial" w:hAnsi="Arial;Arial" w:cs="Arial;Arial"/>
          <w:b/>
          <w:b/>
          <w:sz w:val="20"/>
        </w:rPr>
      </w:pPr>
      <w:r>
        <w:rPr>
          <w:rFonts w:cs="Arial;Arial" w:ascii="Arial;Arial" w:hAnsi="Arial;Arial"/>
          <w:b/>
          <w:sz w:val="20"/>
        </w:rPr>
      </w:r>
    </w:p>
    <w:p>
      <w:pPr>
        <w:pStyle w:val="Number111bodybullet"/>
        <w:rPr/>
      </w:pPr>
      <w:r>
        <w:rPr/>
        <w:tab/>
      </w:r>
      <w:r>
        <w:rPr>
          <w:rFonts w:eastAsia="Symbol" w:cs="Symbol" w:ascii="Symbol" w:hAnsi="Symbol"/>
        </w:rPr>
        <w:t></w:t>
      </w:r>
      <w:r>
        <w:rPr/>
        <w:tab/>
        <w:t>Ask the participant to practice the breath hold two times, until you feel that he/she will be able to hold his/her breath for 20 seconds. You should always use the timer so that the participant is aware of the duration of the breath hold.</w:t>
      </w:r>
    </w:p>
    <w:p>
      <w:pPr>
        <w:pStyle w:val="Number111bodybullet"/>
        <w:rPr/>
      </w:pPr>
      <w:r>
        <w:rPr/>
      </w:r>
    </w:p>
    <w:p>
      <w:pPr>
        <w:pStyle w:val="Number111"/>
        <w:rPr/>
      </w:pPr>
      <w:r>
        <w:rPr/>
        <w:tab/>
        <w:t>1.24</w:t>
        <w:tab/>
        <w:t xml:space="preserve">If the participant cannot hold his/her breath for 20 seconds after practicing two times, </w:t>
      </w:r>
      <w:r>
        <w:rPr>
          <w:b/>
          <w:bCs/>
        </w:rPr>
        <w:t>do not schedule the MRI</w:t>
      </w:r>
      <w:r>
        <w:rPr/>
        <w:t>. Thank the participant and inform him/her that he/she will not have this part of the exam.</w:t>
      </w:r>
    </w:p>
    <w:p>
      <w:pPr>
        <w:pStyle w:val="Number111"/>
        <w:rPr/>
      </w:pPr>
      <w:r>
        <w:rPr/>
      </w:r>
    </w:p>
    <w:p>
      <w:pPr>
        <w:pStyle w:val="Number111"/>
        <w:rPr/>
      </w:pPr>
      <w:r>
        <w:rPr/>
        <w:tab/>
        <w:t>1.25</w:t>
        <w:tab/>
        <w:t>If the participant can hold his/her breath for 20 seconds, proceed with the following instructions:</w:t>
      </w:r>
    </w:p>
    <w:p>
      <w:pPr>
        <w:pStyle w:val="Number111"/>
        <w:rPr/>
      </w:pPr>
      <w:r>
        <w:rPr/>
      </w:r>
    </w:p>
    <w:p>
      <w:pPr>
        <w:pStyle w:val="Number111bodybullet"/>
        <w:rPr/>
      </w:pPr>
      <w:r>
        <w:rPr/>
        <w:tab/>
      </w:r>
      <w:r>
        <w:rPr>
          <w:rFonts w:eastAsia="Symbol" w:cs="Symbol" w:ascii="Symbol" w:hAnsi="Symbol"/>
        </w:rPr>
        <w:t></w:t>
      </w:r>
      <w:r>
        <w:rPr/>
        <w:tab/>
      </w:r>
      <w:r>
        <w:rPr>
          <w:rFonts w:cs="Arial;Arial" w:ascii="Arial;Arial" w:hAnsi="Arial;Arial"/>
          <w:b/>
          <w:bCs/>
          <w:sz w:val="20"/>
        </w:rPr>
        <w:t xml:space="preserve">“On the day of the exam,  you don’t have to fast, </w:t>
      </w:r>
      <w:r>
        <w:rPr>
          <w:rFonts w:cs="Arial;Arial" w:ascii="Arial;Arial" w:hAnsi="Arial;Arial"/>
          <w:b/>
          <w:bCs/>
          <w:i/>
          <w:iCs/>
          <w:sz w:val="20"/>
        </w:rPr>
        <w:t>unless you are having other procedures, such as a blood draw, that require fasting.</w:t>
      </w:r>
      <w:r>
        <w:rPr>
          <w:rFonts w:cs="Arial;Arial" w:ascii="Arial;Arial" w:hAnsi="Arial;Arial"/>
          <w:b/>
          <w:bCs/>
          <w:sz w:val="20"/>
        </w:rPr>
        <w:t xml:space="preserve"> If you are not having any other procedures that require fasting you may eat, drink, and take your medications. That is, do not change your routine.”</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Please wear light comfortable clothes and shoes. You may be asked to change into a gown.</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You will need to take off your jewelry and watch, because metal objects interfere with the MRI examination.</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You should leave your wallet in the provided locker, because the magnetic field of the machine can damage credit cards and other cards that have magnetic strips.”</w:t>
      </w:r>
    </w:p>
    <w:p>
      <w:pPr>
        <w:pStyle w:val="Number111bodybullet"/>
        <w:rPr>
          <w:rFonts w:ascii="Arial;Arial" w:hAnsi="Arial;Arial" w:cs="Arial;Arial"/>
          <w:b/>
          <w:b/>
          <w:bCs/>
          <w:sz w:val="20"/>
        </w:rPr>
      </w:pPr>
      <w:r>
        <w:rPr>
          <w:rFonts w:cs="Arial;Arial" w:ascii="Arial;Arial" w:hAnsi="Arial;Arial"/>
          <w:b/>
          <w:bCs/>
          <w:sz w:val="20"/>
        </w:rPr>
      </w:r>
    </w:p>
    <w:p>
      <w:pPr>
        <w:pStyle w:val="Number111"/>
        <w:rPr>
          <w:rFonts w:ascii="Arial;Arial" w:hAnsi="Arial;Arial" w:cs="Arial;Arial"/>
          <w:b/>
          <w:b/>
          <w:bCs/>
          <w:sz w:val="20"/>
        </w:rPr>
      </w:pPr>
      <w:r>
        <w:rPr/>
        <w:tab/>
        <w:t>1.26</w:t>
        <w:tab/>
        <w:t>Ask the participant if he/she has any questions and answer them. Schedule the MRI examination</w:t>
      </w:r>
    </w:p>
    <w:p>
      <w:pPr>
        <w:pStyle w:val="Normal"/>
        <w:tabs>
          <w:tab w:val="left" w:pos="720" w:leader="none"/>
          <w:tab w:val="left" w:pos="1440" w:leader="none"/>
          <w:tab w:val="left" w:pos="2160" w:leader="none"/>
          <w:tab w:val="left" w:pos="25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s>
        <w:ind w:left="720" w:right="360" w:hanging="0"/>
        <w:rPr>
          <w:rFonts w:ascii="Arial;Arial" w:hAnsi="Arial;Arial" w:cs="Arial;Arial"/>
          <w:b/>
          <w:b/>
          <w:bCs/>
          <w:i/>
          <w:i/>
          <w:iCs/>
          <w:sz w:val="22"/>
        </w:rPr>
      </w:pPr>
      <w:r>
        <w:rPr>
          <w:rFonts w:cs="Arial;Arial" w:ascii="Arial;Arial" w:hAnsi="Arial;Arial"/>
          <w:b/>
          <w:bCs/>
          <w:i/>
          <w:iCs/>
          <w:sz w:val="22"/>
        </w:rPr>
      </w:r>
    </w:p>
    <w:p>
      <w:pPr>
        <w:pStyle w:val="Number11"/>
        <w:rPr/>
      </w:pPr>
      <w:r>
        <w:rPr/>
        <w:tab/>
        <w:t>1.3</w:t>
        <w:tab/>
        <w:t>The participant may invite a family member or friend to be present during the exam. To further increase participation, interviewers may set appointments for the participant to view a demonstration of the equipment and scanning.</w:t>
      </w:r>
    </w:p>
    <w:p>
      <w:pPr>
        <w:pStyle w:val="Number11"/>
        <w:rPr/>
      </w:pPr>
      <w:r>
        <w:rPr/>
      </w:r>
    </w:p>
    <w:p>
      <w:pPr>
        <w:pStyle w:val="Number11"/>
        <w:rPr/>
      </w:pPr>
      <w:r>
        <w:rPr/>
        <w:tab/>
        <w:t>1.4</w:t>
        <w:tab/>
        <w:t xml:space="preserve">After the MRI Exclusion Form has been completed, the data manager will scan it into the computer. </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Number1"/>
        <w:rPr/>
      </w:pPr>
      <w:r>
        <w:rPr/>
        <w:tab/>
        <w:t>2.</w:t>
        <w:tab/>
      </w:r>
      <w:r>
        <w:rPr>
          <w:u w:val="single"/>
        </w:rPr>
        <w:t>Participant Preparation and Instructions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Cs/>
          <w:sz w:val="22"/>
        </w:rPr>
      </w:pPr>
      <w:r>
        <w:rPr>
          <w:bCs/>
          <w:sz w:val="22"/>
        </w:rPr>
      </w:r>
    </w:p>
    <w:p>
      <w:pPr>
        <w:pStyle w:val="Number11"/>
        <w:rPr/>
      </w:pPr>
      <w:r>
        <w:rPr/>
        <w:tab/>
        <w:t>2.1</w:t>
        <w:tab/>
        <w:t xml:space="preserve">The MRI technician should allot at least </w:t>
      </w:r>
      <w:r>
        <w:rPr>
          <w:i/>
          <w:iCs/>
        </w:rPr>
        <w:t>20 minutes</w:t>
      </w:r>
      <w:r>
        <w:rPr/>
        <w:t xml:space="preserve"> prior to the scheduled MRI exam for participant preparation. During this time, explain the study procedure and answer any questions. Instruct the participant to remove any metallic objects, including jewelry, dentures, hearing aids, hairpins, etc., and secure all items in the participant’s locker. </w:t>
      </w:r>
    </w:p>
    <w:p>
      <w:pPr>
        <w:pStyle w:val="Number11"/>
        <w:rPr/>
      </w:pPr>
      <w:r>
        <w:rPr/>
      </w:r>
    </w:p>
    <w:p>
      <w:pPr>
        <w:pStyle w:val="Number11"/>
        <w:rPr/>
      </w:pPr>
      <w:r>
        <w:rPr/>
        <w:tab/>
        <w:t>2.2</w:t>
        <w:tab/>
        <w:t xml:space="preserve">All field center will use a standard MRI screening form. The MRI technician should explain to the participant that the exam will take approximately 30 minutes. Explain that movement and/or speaking during the exam will render images suboptimal, and ask the participant to do his/her best to refrain from such activity during the scan. </w:t>
      </w:r>
    </w:p>
    <w:p>
      <w:pPr>
        <w:pStyle w:val="Number11"/>
        <w:rPr/>
      </w:pPr>
      <w:r>
        <w:rPr/>
      </w:r>
    </w:p>
    <w:p>
      <w:pPr>
        <w:pStyle w:val="Number11"/>
        <w:rPr/>
      </w:pPr>
      <w:r>
        <w:rPr/>
        <w:tab/>
        <w:t>2.3</w:t>
        <w:tab/>
        <w:t>The MRI technician should review the “breath-holds” procedure with the participant. The participant will practice breath holding at resting lung volume. Time the participant’s breath-hold capability at least</w:t>
      </w:r>
      <w:r>
        <w:rPr>
          <w:i/>
          <w:iCs/>
        </w:rPr>
        <w:t xml:space="preserve"> twice, </w:t>
      </w:r>
      <w:r>
        <w:rPr/>
        <w:t>using a stopwatch, to insure he/she can maintain the resting lung volume for 20 seconds. Proceed with the exam only when you are satisfied that the participant understands the importance of breath holding for the exam.</w:t>
      </w:r>
    </w:p>
    <w:p>
      <w:pPr>
        <w:pStyle w:val="Normal"/>
        <w:rPr/>
      </w:pPr>
      <w:r>
        <w:rPr/>
      </w:r>
    </w:p>
    <w:p>
      <w:pPr>
        <w:pStyle w:val="Number1"/>
        <w:rPr/>
      </w:pPr>
      <w:r>
        <w:rPr/>
        <w:tab/>
        <w:t>3.</w:t>
        <w:tab/>
      </w:r>
      <w:r>
        <w:rPr>
          <w:u w:val="single"/>
        </w:rPr>
        <w:t>MRI Procedure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ind w:left="720" w:hanging="0"/>
        <w:rPr>
          <w:sz w:val="22"/>
        </w:rPr>
      </w:pPr>
      <w:r>
        <w:rPr>
          <w:sz w:val="22"/>
        </w:rPr>
      </w:r>
    </w:p>
    <w:p>
      <w:pPr>
        <w:pStyle w:val="Number11"/>
        <w:tabs>
          <w:tab w:val="right" w:pos="1260" w:leader="none"/>
          <w:tab w:val="left" w:pos="7740" w:leader="none"/>
        </w:tabs>
        <w:rPr/>
      </w:pPr>
      <w:r>
        <w:rPr/>
        <w:tab/>
        <w:t>3.1</w:t>
        <w:tab/>
        <w:t xml:space="preserve">Perform all series except series #1 at resting lung volume (end expiration). Give the following instructions for breathing:  </w:t>
      </w:r>
      <w:r>
        <w:rPr>
          <w:rFonts w:cs="Arial;Arial" w:ascii="Arial;Arial" w:hAnsi="Arial;Arial"/>
          <w:b/>
          <w:bCs/>
          <w:sz w:val="20"/>
        </w:rPr>
        <w:t>“Take a deep breath in, then let it out, then stop breathing.”</w:t>
      </w:r>
      <w:r>
        <w:rPr/>
        <w:t xml:space="preserve">  Begin imaging when you are certain that the participant has stopped breathing.</w:t>
      </w:r>
    </w:p>
    <w:p>
      <w:pPr>
        <w:pStyle w:val="Number11"/>
        <w:rPr/>
      </w:pPr>
      <w:r>
        <w:rPr/>
      </w:r>
    </w:p>
    <w:p>
      <w:pPr>
        <w:pStyle w:val="Number11"/>
        <w:rPr/>
      </w:pPr>
      <w:r>
        <w:rPr/>
        <w:tab/>
        <w:t>3.2</w:t>
        <w:tab/>
        <w:t>Take a brachial artery blood pressure before and after completion of series 6. Record the results on the MRI Completion Form.</w:t>
      </w:r>
    </w:p>
    <w:p>
      <w:pPr>
        <w:pStyle w:val="Normal"/>
        <w:rPr>
          <w:sz w:val="22"/>
        </w:rPr>
      </w:pPr>
      <w:r>
        <w:rPr>
          <w:sz w:val="22"/>
        </w:rPr>
      </w:r>
    </w:p>
    <w:p>
      <w:pPr>
        <w:pStyle w:val="Number1"/>
        <w:rPr/>
      </w:pPr>
      <w:r>
        <w:rPr/>
        <w:tab/>
        <w:t>4.</w:t>
        <w:tab/>
      </w:r>
      <w:r>
        <w:rPr>
          <w:u w:val="single"/>
        </w:rPr>
        <w:t>MRI Completion Form</w:t>
      </w:r>
    </w:p>
    <w:p>
      <w:pPr>
        <w:pStyle w:val="Number1"/>
        <w:rPr/>
      </w:pPr>
      <w:r>
        <w:rPr/>
      </w:r>
    </w:p>
    <w:p>
      <w:pPr>
        <w:pStyle w:val="Number1"/>
        <w:rPr/>
      </w:pPr>
      <w:r>
        <w:rPr/>
        <w:tab/>
        <w:tab/>
        <w:t>Fill out an MRI Completion Form for each participant scheduled for an MRI. The MESA technician will complete the first question on the form, indicating whether the MRI was completed. The MRI technician will complete the bottom part of the form for each participant who begins an MRI scan (whether complete or incomplete).  It is the responsibility of the MESA technician to ensure that all parts of the form have been completed.</w:t>
      </w:r>
    </w:p>
    <w:p>
      <w:pPr>
        <w:pStyle w:val="Normal"/>
        <w:tabs>
          <w:tab w:val="left" w:pos="-360" w:leader="none"/>
          <w:tab w:val="left" w:pos="0" w:leader="none"/>
          <w:tab w:val="left" w:pos="360" w:leader="none"/>
          <w:tab w:val="left" w:pos="720" w:leader="none"/>
          <w:tab w:val="left" w:pos="1440" w:leader="none"/>
          <w:tab w:val="left" w:pos="1800" w:leader="none"/>
          <w:tab w:val="left" w:pos="2160" w:leader="none"/>
          <w:tab w:val="left" w:pos="2520" w:leader="none"/>
          <w:tab w:val="left" w:pos="288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 w:val="left" w:pos="10400" w:leader="none"/>
          <w:tab w:val="left" w:pos="10440" w:leader="none"/>
          <w:tab w:val="left" w:pos="10800" w:leader="none"/>
          <w:tab w:val="left" w:pos="1116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ind w:right="-180" w:hanging="0"/>
        <w:rPr>
          <w:bCs/>
          <w:sz w:val="22"/>
        </w:rPr>
      </w:pPr>
      <w:r>
        <w:rPr>
          <w:bCs/>
          <w:sz w:val="22"/>
        </w:rPr>
      </w:r>
    </w:p>
    <w:p>
      <w:pPr>
        <w:pStyle w:val="Number1"/>
        <w:rPr/>
      </w:pPr>
      <w:r>
        <w:rPr/>
        <w:tab/>
        <w:t>5.</w:t>
        <w:tab/>
      </w:r>
      <w:r>
        <w:rPr>
          <w:u w:val="single"/>
        </w:rPr>
        <w:t>Alerts</w:t>
      </w:r>
    </w:p>
    <w:p>
      <w:pPr>
        <w:pStyle w:val="Number11"/>
        <w:rPr/>
      </w:pPr>
      <w:r>
        <w:rPr/>
      </w:r>
    </w:p>
    <w:p>
      <w:pPr>
        <w:pStyle w:val="Number11"/>
        <w:rPr/>
      </w:pPr>
      <w:r>
        <w:rPr/>
        <w:tab/>
        <w:t>5.1</w:t>
        <w:tab/>
        <w:t>Subjects with certain MRI scan abnormalities may require further medical attention.  Perform immediate risk identification initially at the field center for evidence of alert criteria, such as abnormal cardiac indices, masses, adenopathy, and pericardial effusion. Record alerts on the MRI Completion Form.</w:t>
      </w:r>
    </w:p>
    <w:p>
      <w:pPr>
        <w:pStyle w:val="Number11"/>
        <w:rPr/>
      </w:pPr>
      <w:r>
        <w:rPr/>
      </w:r>
    </w:p>
    <w:p>
      <w:pPr>
        <w:pStyle w:val="Number11"/>
        <w:rPr/>
      </w:pPr>
      <w:r>
        <w:rPr/>
        <w:tab/>
        <w:t>5.2</w:t>
        <w:tab/>
        <w:t>The MRI technologist will immediately alert the local radiologist of any potentially clinically significant abnormality at the time the MESA participant is being imaged. If the local radiologist determines that the MRI abnormality constitutes an alert (immediate or urgent referral), the following steps will occur:</w:t>
      </w:r>
    </w:p>
    <w:p>
      <w:pPr>
        <w:pStyle w:val="Number11"/>
        <w:rPr/>
      </w:pPr>
      <w:r>
        <w:rPr/>
      </w:r>
    </w:p>
    <w:p>
      <w:pPr>
        <w:pStyle w:val="Number111"/>
        <w:rPr/>
      </w:pPr>
      <w:r>
        <w:rPr/>
        <w:tab/>
        <w:t>5.21</w:t>
        <w:tab/>
        <w:t>The technologist will make a film copy of the MR scan. Field center personnel will determine where to store these film copies.</w:t>
      </w:r>
    </w:p>
    <w:p>
      <w:pPr>
        <w:pStyle w:val="Number111"/>
        <w:rPr/>
      </w:pPr>
      <w:r>
        <w:rPr/>
        <w:tab/>
        <w:tab/>
        <w:tab/>
      </w:r>
    </w:p>
    <w:p>
      <w:pPr>
        <w:pStyle w:val="Number111"/>
        <w:rPr/>
      </w:pPr>
      <w:r>
        <w:rPr/>
        <w:tab/>
        <w:t>5.22</w:t>
        <w:tab/>
        <w:t>The local radiologist will phone the field center coordinator, who will contact the participant’s physician</w:t>
      </w:r>
    </w:p>
    <w:p>
      <w:pPr>
        <w:pStyle w:val="Number111"/>
        <w:rPr/>
      </w:pPr>
      <w:r>
        <w:rPr/>
      </w:r>
    </w:p>
    <w:p>
      <w:pPr>
        <w:pStyle w:val="Number111"/>
        <w:rPr/>
      </w:pPr>
      <w:r>
        <w:rPr/>
        <w:tab/>
        <w:t>5.23</w:t>
        <w:tab/>
        <w:t>Arrangements for further medical evaluation will be made through discussions involving the participant, referring physician, field center coordinator and the field center radiologist.</w:t>
      </w:r>
    </w:p>
    <w:p>
      <w:pPr>
        <w:pStyle w:val="Number111"/>
        <w:rPr/>
      </w:pPr>
      <w:r>
        <w:rPr/>
      </w:r>
    </w:p>
    <w:p>
      <w:pPr>
        <w:sectPr>
          <w:headerReference w:type="even" r:id="rId167"/>
          <w:headerReference w:type="default" r:id="rId168"/>
          <w:footerReference w:type="even" r:id="rId169"/>
          <w:footerReference w:type="default" r:id="rId170"/>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11"/>
        <w:rPr/>
      </w:pPr>
      <w:r>
        <w:rPr/>
        <w:tab/>
        <w:t>5.24</w:t>
        <w:tab/>
        <w:t>Record the alert on the MRI Scan Coding Form that is sent to the Reading Center.</w:t>
      </w:r>
    </w:p>
    <w:p>
      <w:pPr>
        <w:pStyle w:val="Subsectionheading"/>
        <w:jc w:val="left"/>
        <w:rPr>
          <w:sz w:val="24"/>
        </w:rPr>
      </w:pPr>
      <w:r>
        <w:rPr>
          <w:sz w:val="24"/>
        </w:rPr>
      </w:r>
    </w:p>
    <w:p>
      <w:pPr>
        <w:pStyle w:val="Subsectionheading"/>
        <w:rPr/>
      </w:pPr>
      <w:bookmarkStart w:id="38" w:name="__RefHeading___Toc503858994"/>
      <w:r>
        <w:rPr/>
        <w:t>3.10  Computed Tomography (CT)</w:t>
      </w:r>
      <w:bookmarkEnd w:id="38"/>
      <w:r>
        <w:rPr/>
        <w:t xml:space="preserve"> </w:t>
      </w:r>
    </w:p>
    <w:p>
      <w:pPr>
        <w:pStyle w:val="Subsectionheading"/>
        <w:rPr/>
      </w:pPr>
      <w:r>
        <w:rPr/>
        <w:t xml:space="preserve">       </w:t>
      </w:r>
      <w:bookmarkStart w:id="39" w:name="__RefHeading___Toc503858995"/>
      <w:r>
        <w:rPr/>
        <w:t>/Electron Beam Computed Tomography (EBCT)</w:t>
      </w:r>
      <w:bookmarkEnd w:id="39"/>
    </w:p>
    <w:p>
      <w:pPr>
        <w:pStyle w:val="Romanbold"/>
        <w:rPr>
          <w:b w:val="false"/>
          <w:b w:val="false"/>
          <w:bCs w:val="false"/>
          <w:caps w:val="false"/>
          <w:smallCaps w:val="false"/>
          <w:sz w:val="36"/>
        </w:rPr>
      </w:pPr>
      <w:r>
        <w:rPr>
          <w:b w:val="false"/>
          <w:bCs w:val="false"/>
          <w:caps w:val="false"/>
          <w:smallCaps w:val="false"/>
          <w:sz w:val="36"/>
        </w:rPr>
      </w:r>
    </w:p>
    <w:p>
      <w:pPr>
        <w:pStyle w:val="Romanbold"/>
        <w:rPr/>
      </w:pPr>
      <w:r>
        <w:rPr/>
        <w:t>I. Background and Goals</w:t>
      </w:r>
    </w:p>
    <w:p>
      <w:pPr>
        <w:pStyle w:val="Number1"/>
        <w:rPr>
          <w:b/>
          <w:b/>
          <w:sz w:val="32"/>
        </w:rPr>
      </w:pPr>
      <w:r>
        <w:rPr>
          <w:b/>
          <w:sz w:val="32"/>
        </w:rPr>
      </w:r>
    </w:p>
    <w:p>
      <w:pPr>
        <w:pStyle w:val="Number1"/>
        <w:rPr/>
      </w:pPr>
      <w:r>
        <w:rPr>
          <w:b/>
          <w:sz w:val="32"/>
        </w:rPr>
        <w:tab/>
      </w:r>
      <w:r>
        <w:rPr/>
        <w:t>1.</w:t>
        <w:tab/>
        <w:t>The Multiethnic Study of Atherosclerosis (MESA) is studying risk factors and measures of cardiovascular disease that relate to progression of subclinical to clinical disease.    An integral part of this study is the measurement of coronary artery calcium using either electron beam computed tomography (EBCT) or helical computed tomography (HCT).   Coronary calcium will be assessed in relation to the risk of future cardiac events, and from repeated scans in selected individuals, the progression of coronary calcium will be related to baseline risk factors and risk of future events.</w:t>
      </w:r>
    </w:p>
    <w:p>
      <w:pPr>
        <w:pStyle w:val="Number1"/>
        <w:rPr/>
      </w:pPr>
      <w:r>
        <w:rPr/>
        <w:t xml:space="preserve">              </w:t>
      </w:r>
    </w:p>
    <w:p>
      <w:pPr>
        <w:pStyle w:val="Number1"/>
        <w:rPr/>
      </w:pPr>
      <w:r>
        <w:rPr/>
        <w:tab/>
        <w:t>2.</w:t>
        <w:tab/>
        <w:t>Approximately 6,500 participants will be scanned among the 6 centers during the initial (2-year) examination occurring between July 2000 and June 2002.   A sample of about half of participants will receive repeated scans during three subsequent, follow-up examinations in future years.</w:t>
      </w:r>
    </w:p>
    <w:p>
      <w:pPr>
        <w:pStyle w:val="Number1"/>
        <w:rPr/>
      </w:pPr>
      <w:r>
        <w:rPr/>
        <w:t xml:space="preserve">  </w:t>
      </w:r>
    </w:p>
    <w:p>
      <w:pPr>
        <w:pStyle w:val="Number1"/>
        <w:rPr/>
      </w:pPr>
      <w:r>
        <w:rPr/>
        <w:tab/>
        <w:t>3.</w:t>
        <w:tab/>
      </w:r>
      <w:r>
        <w:rPr>
          <w:u w:val="single"/>
        </w:rPr>
        <w:t>Goals</w:t>
      </w:r>
    </w:p>
    <w:p>
      <w:pPr>
        <w:pStyle w:val="Number1"/>
        <w:rPr>
          <w:sz w:val="28"/>
        </w:rPr>
      </w:pPr>
      <w:r>
        <w:rPr>
          <w:sz w:val="28"/>
        </w:rPr>
      </w:r>
    </w:p>
    <w:p>
      <w:pPr>
        <w:pStyle w:val="Number11"/>
        <w:rPr/>
      </w:pPr>
      <w:r>
        <w:rPr/>
        <w:tab/>
        <w:t>3.1</w:t>
        <w:tab/>
        <w:t>To examine the relation of baseline measures of coronary calcium quantity (score and volume measures) to future risk of cardiac events</w:t>
      </w:r>
    </w:p>
    <w:p>
      <w:pPr>
        <w:pStyle w:val="Number11"/>
        <w:rPr>
          <w:sz w:val="28"/>
        </w:rPr>
      </w:pPr>
      <w:r>
        <w:rPr/>
        <w:tab/>
        <w:t>3.2</w:t>
        <w:tab/>
        <w:t>To examine the relation of baseline measures of coronary calcium to other risk factors and measures of subclinical disease (e.g., MRI and ultrasound measures).</w:t>
      </w:r>
    </w:p>
    <w:p>
      <w:pPr>
        <w:pStyle w:val="Number11"/>
        <w:rPr>
          <w:sz w:val="28"/>
        </w:rPr>
      </w:pPr>
      <w:r>
        <w:rPr/>
        <w:tab/>
        <w:t>3.3</w:t>
        <w:tab/>
        <w:t>To examine the relation of progression of coronary calcium to the risk of future cardiac events, as well as to risk factors at baseline and progression of risk factors.</w:t>
      </w:r>
    </w:p>
    <w:p>
      <w:pPr>
        <w:pStyle w:val="Number11"/>
        <w:rPr>
          <w:sz w:val="28"/>
        </w:rPr>
      </w:pPr>
      <w:r>
        <w:rPr/>
        <w:tab/>
        <w:t>3.4</w:t>
        <w:tab/>
        <w:t>To examine the above goals by ethnic and gender strata, when possible.</w:t>
      </w:r>
    </w:p>
    <w:p>
      <w:pPr>
        <w:pStyle w:val="Romanbold"/>
        <w:rPr>
          <w:b w:val="false"/>
          <w:b w:val="false"/>
          <w:bCs w:val="false"/>
          <w:caps w:val="false"/>
          <w:smallCaps w:val="false"/>
          <w:sz w:val="28"/>
        </w:rPr>
      </w:pPr>
      <w:r>
        <w:rPr>
          <w:b w:val="false"/>
          <w:bCs w:val="false"/>
          <w:caps w:val="false"/>
          <w:smallCaps w:val="false"/>
          <w:sz w:val="28"/>
        </w:rPr>
      </w:r>
    </w:p>
    <w:p>
      <w:pPr>
        <w:pStyle w:val="Romanbold"/>
        <w:rPr/>
      </w:pPr>
      <w:r>
        <w:rPr>
          <w:b w:val="false"/>
          <w:bCs w:val="false"/>
          <w:caps w:val="false"/>
          <w:smallCaps w:val="false"/>
          <w:sz w:val="28"/>
        </w:rPr>
        <w:tab/>
      </w:r>
      <w:r>
        <w:rPr/>
        <w:t>II.</w:t>
        <w:tab/>
        <w:t>Qualifications of Personnel</w:t>
      </w:r>
    </w:p>
    <w:p>
      <w:pPr>
        <w:pStyle w:val="Normal"/>
        <w:spacing w:lineRule="exact" w:line="260"/>
        <w:rPr>
          <w:b/>
          <w:b/>
          <w:sz w:val="28"/>
        </w:rPr>
      </w:pPr>
      <w:r>
        <w:rPr>
          <w:b/>
          <w:sz w:val="28"/>
        </w:rPr>
      </w:r>
    </w:p>
    <w:p>
      <w:pPr>
        <w:pStyle w:val="Number1"/>
        <w:rPr/>
      </w:pPr>
      <w:r>
        <w:rPr/>
        <w:tab/>
        <w:t>1.</w:t>
        <w:tab/>
        <w:t>Field Center personnel will be responsible only for escorting participants to and from the CT scanning site and for making sure that the CT Completion Form is completed by the scanning technologist.</w:t>
      </w:r>
    </w:p>
    <w:p>
      <w:pPr>
        <w:pStyle w:val="Number1"/>
        <w:rPr>
          <w:b/>
          <w:b/>
          <w:sz w:val="28"/>
        </w:rPr>
      </w:pPr>
      <w:r>
        <w:rPr>
          <w:b/>
          <w:sz w:val="28"/>
        </w:rPr>
      </w:r>
    </w:p>
    <w:p>
      <w:pPr>
        <w:pStyle w:val="Number1"/>
        <w:rPr/>
      </w:pPr>
      <w:r>
        <w:rPr/>
        <w:tab/>
        <w:t>2.</w:t>
        <w:tab/>
        <w:t>Each Field Center has a designated radiologist or cardiologist who is responsible for the performance of the CT examinations at his/her MESA Field Center.   This physician should monitor the study closely to ensure adherence to the CT protocol, including following the approved scanning procedures, data transmission, and maintenance of appropriate quality control procedures.    They should also supervise each technologist and provide necessary on-site training, supplementing that provided by the CT Reading Center personnel.</w:t>
      </w:r>
    </w:p>
    <w:p>
      <w:pPr>
        <w:pStyle w:val="Number1"/>
        <w:rPr/>
      </w:pPr>
      <w:r>
        <w:rPr/>
        <w:t xml:space="preserve">              </w:t>
      </w:r>
    </w:p>
    <w:p>
      <w:pPr>
        <w:pStyle w:val="Number1"/>
        <w:rPr/>
      </w:pPr>
      <w:r>
        <w:rPr/>
        <w:tab/>
        <w:t>3.</w:t>
        <w:tab/>
        <w:t>Field Center technologists should have appropriate knowledge of cross-sectional anatomy, physiology, and pathology related to the heart.   Technologists must be certified as RTs in their state. It is recommend that technologists also have at least two years of experience in chest computed tomography.  The technologist should also have a basic knowledge of cardiac CT, knowledge of computer software applications, data formatting, and experience with the workstations and data formatting / transmission procedures used.</w:t>
      </w:r>
    </w:p>
    <w:p>
      <w:pPr>
        <w:pStyle w:val="Number1"/>
        <w:rPr/>
      </w:pPr>
      <w:r>
        <w:rPr/>
        <w:tab/>
      </w:r>
    </w:p>
    <w:p>
      <w:pPr>
        <w:pStyle w:val="Number1"/>
        <w:rPr>
          <w:sz w:val="28"/>
        </w:rPr>
      </w:pPr>
      <w:r>
        <w:rPr/>
        <w:tab/>
        <w:t>4.</w:t>
        <w:tab/>
        <w:t>Each technologist involved in the study should also have a complete understanding of this protocol, be experienced at providing breath-holding instruction, ECG gating, operation of the EBCT or HCT equipment.    To ensure quality control, each Field Center should have designated CT technicians who will perform the MESA examinations, once appropriate training, including the March 2000 training course, has been provided.</w:t>
      </w:r>
    </w:p>
    <w:p>
      <w:pPr>
        <w:pStyle w:val="Romanbold"/>
        <w:rPr/>
      </w:pPr>
      <w:r>
        <w:rPr/>
        <w:tab/>
        <w:t xml:space="preserve">   </w:t>
      </w:r>
    </w:p>
    <w:p>
      <w:pPr>
        <w:pStyle w:val="Romanbold"/>
        <w:rPr/>
      </w:pPr>
      <w:r>
        <w:rPr/>
        <w:tab/>
        <w:t>III.</w:t>
        <w:tab/>
        <w:t>Participant Scheduling</w:t>
      </w:r>
    </w:p>
    <w:p>
      <w:pPr>
        <w:pStyle w:val="Number1"/>
        <w:rPr/>
      </w:pPr>
      <w:r>
        <w:rPr/>
      </w:r>
    </w:p>
    <w:p>
      <w:pPr>
        <w:pStyle w:val="Number1"/>
        <w:rPr/>
      </w:pPr>
      <w:r>
        <w:rPr/>
        <w:tab/>
        <w:t>1.</w:t>
        <w:tab/>
        <w:t>The MESA operations committee will arrange details of scheduling,  Each scanning site will provide their local Field Center with the days/times when MESA participants may be scheduled and the Field Center will contact participants to arranging their appointments for their CT scan.    Whether certain days/times will be held for MESA participants only, until 2 weeks or a certain amount of time prior to the day of the appointment, will be agreed upon between the scanning center and Field Center.</w:t>
      </w:r>
    </w:p>
    <w:p>
      <w:pPr>
        <w:pStyle w:val="Number1"/>
        <w:rPr/>
      </w:pPr>
      <w:r>
        <w:rPr/>
      </w:r>
    </w:p>
    <w:p>
      <w:pPr>
        <w:pStyle w:val="Number1"/>
        <w:rPr/>
      </w:pPr>
      <w:r>
        <w:rPr/>
        <w:tab/>
        <w:t>2.</w:t>
        <w:tab/>
        <w:t>A Field Center interviewer/scheduler will be responsible for explaining and obtaining consent for the CT examination.  Participants will be scheduled for a certain date and time, and transportation arrangements, if necessary, will be arranged by the Field Center interviewer/scheduler.  A confirmation appointment letter will be sent, providing the time, date, and directions to the scanning center, and describing the procedure</w:t>
      </w:r>
    </w:p>
    <w:p>
      <w:pPr>
        <w:pStyle w:val="Number1"/>
        <w:rPr>
          <w:b/>
          <w:b/>
        </w:rPr>
      </w:pPr>
      <w:r>
        <w:rPr>
          <w:b/>
        </w:rPr>
      </w:r>
    </w:p>
    <w:p>
      <w:pPr>
        <w:pStyle w:val="Number1"/>
        <w:rPr/>
      </w:pPr>
      <w:r>
        <w:rPr/>
        <w:tab/>
        <w:t>3.</w:t>
        <w:tab/>
        <w:t>The scanning procedure, consisting of two scans done in succession on each subject, will require approximately 20 minutes of the subject’s time. Minimal respiratory motion and maximum accuracy and reproducibility require this duration. In unusual cases, this may require as many as 30 minutes.  In many cases, the procedure will be completed in 15 minutes or less.</w:t>
      </w:r>
    </w:p>
    <w:p>
      <w:pPr>
        <w:pStyle w:val="Number1"/>
        <w:rPr/>
      </w:pPr>
      <w:r>
        <w:rPr/>
      </w:r>
    </w:p>
    <w:p>
      <w:pPr>
        <w:pStyle w:val="Number1"/>
        <w:rPr/>
      </w:pPr>
      <w:r>
        <w:rPr/>
        <w:tab/>
        <w:t>4.</w:t>
        <w:tab/>
        <w:t>Please refer to site-specific instructions for escorting participants to and from the scanning site.</w:t>
      </w:r>
    </w:p>
    <w:p>
      <w:pPr>
        <w:pStyle w:val="Romanbold"/>
        <w:rPr>
          <w:b w:val="false"/>
          <w:b w:val="false"/>
        </w:rPr>
      </w:pPr>
      <w:r>
        <w:rPr/>
        <w:tab/>
        <w:t>IV.</w:t>
        <w:tab/>
        <w:t>Completing the CT Completion Form</w:t>
      </w:r>
    </w:p>
    <w:p>
      <w:pPr>
        <w:pStyle w:val="Number1"/>
        <w:rPr/>
      </w:pPr>
      <w:r>
        <w:rPr/>
        <w:tab/>
        <w:t>1.</w:t>
        <w:tab/>
        <w:t>The CT Completion form must be filled out by either the CT technologist or the attending Field Center staff member.  If the Field Center staff member completes the form, he/she will need to get information from the CT technologist before leaving the scan area.  The form will be taken back to the clinic and scanned into the computer along with the other forms.</w:t>
      </w:r>
    </w:p>
    <w:p>
      <w:pPr>
        <w:pStyle w:val="Number11"/>
        <w:rPr/>
      </w:pPr>
      <w:r>
        <w:rPr/>
        <w:tab/>
        <w:t>1.1</w:t>
        <w:tab/>
      </w:r>
      <w:r>
        <w:rPr>
          <w:u w:val="single"/>
        </w:rPr>
        <w:t>Question 1</w:t>
      </w:r>
      <w:r>
        <w:rPr/>
        <w:t>:  Results of CT scan.</w:t>
      </w:r>
    </w:p>
    <w:p>
      <w:pPr>
        <w:pStyle w:val="Number11bodybullet"/>
        <w:rPr/>
      </w:pPr>
      <w:r>
        <w:rPr/>
        <w:tab/>
      </w:r>
      <w:r>
        <w:rPr>
          <w:rFonts w:eastAsia="Symbol" w:cs="Symbol" w:ascii="Symbol" w:hAnsi="Symbol"/>
        </w:rPr>
        <w:t></w:t>
      </w:r>
      <w:r>
        <w:rPr/>
        <w:tab/>
      </w:r>
      <w:r>
        <w:rPr>
          <w:u w:val="single"/>
        </w:rPr>
        <w:t>Complete</w:t>
      </w:r>
      <w:r>
        <w:rPr/>
        <w:t>:  Select this response if the scan was complete or partially complete and a file containing the scan data will be sent to the CT Reading Center.</w:t>
      </w:r>
    </w:p>
    <w:p>
      <w:pPr>
        <w:pStyle w:val="Number11bodybullet"/>
        <w:rPr/>
      </w:pPr>
      <w:r>
        <w:rPr/>
        <w:tab/>
      </w:r>
      <w:r>
        <w:rPr>
          <w:rFonts w:eastAsia="Symbol" w:cs="Symbol" w:ascii="Symbol" w:hAnsi="Symbol"/>
        </w:rPr>
        <w:t></w:t>
      </w:r>
      <w:r>
        <w:rPr/>
        <w:tab/>
      </w:r>
      <w:r>
        <w:rPr>
          <w:u w:val="single"/>
        </w:rPr>
        <w:t>Incomplete</w:t>
      </w:r>
      <w:r>
        <w:rPr/>
        <w:t xml:space="preserve">:  Select this response if the scan was only partially completed due to a technical or participant problem.  </w:t>
      </w:r>
    </w:p>
    <w:p>
      <w:pPr>
        <w:pStyle w:val="Number11bodybullet"/>
        <w:rPr/>
      </w:pPr>
      <w:r>
        <w:rPr/>
        <w:tab/>
      </w:r>
      <w:r>
        <w:rPr>
          <w:rFonts w:eastAsia="Symbol" w:cs="Symbol" w:ascii="Symbol" w:hAnsi="Symbol"/>
        </w:rPr>
        <w:t></w:t>
      </w:r>
      <w:r>
        <w:rPr/>
        <w:tab/>
        <w:t xml:space="preserve">If </w:t>
      </w:r>
      <w:r>
        <w:rPr>
          <w:u w:val="single"/>
        </w:rPr>
        <w:t>Incomplete</w:t>
      </w:r>
      <w:r>
        <w:rPr/>
        <w:t xml:space="preserve"> is selected, indicate whether a file containing this exam information will be sent to the Reading Center. If the scan was Complete or Not Done, leave this question blank.</w:t>
      </w:r>
    </w:p>
    <w:p>
      <w:pPr>
        <w:pStyle w:val="Number11bodybullet"/>
        <w:rPr/>
      </w:pPr>
      <w:r>
        <w:rPr/>
        <w:tab/>
      </w:r>
      <w:r>
        <w:rPr>
          <w:rFonts w:eastAsia="Symbol" w:cs="Symbol" w:ascii="Symbol" w:hAnsi="Symbol"/>
        </w:rPr>
        <w:t></w:t>
      </w:r>
      <w:r>
        <w:rPr/>
        <w:tab/>
      </w:r>
      <w:r>
        <w:rPr>
          <w:u w:val="single"/>
        </w:rPr>
        <w:t>Not Done</w:t>
      </w:r>
      <w:r>
        <w:rPr/>
        <w:t xml:space="preserve">:  Select this response if the scan was not even started, due to a technical or participant problem.  </w:t>
      </w:r>
    </w:p>
    <w:p>
      <w:pPr>
        <w:pStyle w:val="Number11bodybullet"/>
        <w:rPr/>
      </w:pPr>
      <w:r>
        <w:rPr/>
        <w:tab/>
      </w:r>
      <w:r>
        <w:rPr>
          <w:rFonts w:eastAsia="Symbol" w:cs="Symbol" w:ascii="Symbol" w:hAnsi="Symbol"/>
        </w:rPr>
        <w:t></w:t>
      </w:r>
      <w:r>
        <w:rPr/>
        <w:tab/>
        <w:t xml:space="preserve">If </w:t>
      </w:r>
      <w:r>
        <w:rPr>
          <w:u w:val="single"/>
        </w:rPr>
        <w:t>Incomplete</w:t>
      </w:r>
      <w:r>
        <w:rPr/>
        <w:t xml:space="preserve"> or </w:t>
      </w:r>
      <w:r>
        <w:rPr>
          <w:u w:val="single"/>
        </w:rPr>
        <w:t>Not Done</w:t>
      </w:r>
      <w:r>
        <w:rPr/>
        <w:t xml:space="preserve"> is selected, indicate the reason the scan was not completed.  If the scan was complete, leave this question blank.</w:t>
      </w:r>
    </w:p>
    <w:p>
      <w:pPr>
        <w:pStyle w:val="Number11"/>
        <w:rPr/>
      </w:pPr>
      <w:r>
        <w:rPr/>
        <w:tab/>
        <w:t>1.2</w:t>
        <w:tab/>
      </w:r>
      <w:r>
        <w:rPr>
          <w:u w:val="single"/>
        </w:rPr>
        <w:t>Question 2</w:t>
      </w:r>
      <w:r>
        <w:rPr/>
        <w:t xml:space="preserve"> is a comments section.</w:t>
        <w:tab/>
        <w:tab/>
      </w:r>
    </w:p>
    <w:p>
      <w:pPr>
        <w:pStyle w:val="Romanbold"/>
        <w:rPr/>
      </w:pPr>
      <w:r>
        <w:rPr/>
        <w:tab/>
        <w:t>V.</w:t>
        <w:tab/>
        <w:t xml:space="preserve">Reading Center Alerts </w:t>
      </w:r>
    </w:p>
    <w:p>
      <w:pPr>
        <w:pStyle w:val="Romanbody"/>
        <w:rPr/>
      </w:pPr>
      <w:r>
        <w:rPr/>
        <w:t>The Reading Center will review all scans within two weeks and will indicate any alerts.  A cardiologist or radiologist investigator will review all scans and will identify eventual alerts.  The investigator will telephone the CT investigator at the field site and the coordinating center and will write a letter (see CT Manual of Operations) with copies to both. Pathological findings constituting alerts will include pulmonary infiltrates, pericardial or pleural effusions, tumors, dilatation of the aorta greater than 4 cm and pathological rib fractures.</w:t>
      </w:r>
    </w:p>
    <w:p>
      <w:pPr>
        <w:pStyle w:val="Number1"/>
        <w:ind w:left="0" w:hanging="0"/>
        <w:rPr>
          <w:b/>
          <w:b/>
        </w:rPr>
      </w:pPr>
      <w:r>
        <w:rPr>
          <w:b/>
        </w:rPr>
        <w:tab/>
      </w:r>
    </w:p>
    <w:p>
      <w:pPr>
        <w:sectPr>
          <w:headerReference w:type="even" r:id="rId171"/>
          <w:headerReference w:type="default" r:id="rId172"/>
          <w:footerReference w:type="even" r:id="rId173"/>
          <w:footerReference w:type="default" r:id="rId174"/>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
        <w:ind w:left="0" w:hanging="0"/>
        <w:rPr>
          <w:b/>
          <w:b/>
        </w:rPr>
      </w:pPr>
      <w:r>
        <w:rPr>
          <w:b/>
        </w:rPr>
      </w:r>
    </w:p>
    <w:p>
      <w:pPr>
        <w:pStyle w:val="Sectionheading"/>
        <w:rPr/>
      </w:pPr>
      <w:bookmarkStart w:id="40" w:name="__RefHeading___Toc503858996"/>
      <w:bookmarkEnd w:id="40"/>
      <w:r>
        <w:rPr/>
        <w:t>Section 4  Alerts</w:t>
      </w:r>
    </w:p>
    <w:p>
      <w:pPr>
        <w:pStyle w:val="Normal"/>
        <w:rPr/>
      </w:pPr>
      <w:r>
        <w:rPr/>
      </w:r>
    </w:p>
    <w:p>
      <w:pPr>
        <w:pStyle w:val="Romanbold"/>
        <w:rPr/>
      </w:pPr>
      <w:r>
        <w:rPr/>
        <w:tab/>
        <w:t>I.</w:t>
        <w:tab/>
        <w:t xml:space="preserve">Purpose  </w:t>
      </w:r>
    </w:p>
    <w:p>
      <w:pPr>
        <w:pStyle w:val="Romanbody"/>
        <w:rPr/>
      </w:pPr>
      <w:r>
        <w:rPr/>
      </w:r>
    </w:p>
    <w:p>
      <w:pPr>
        <w:pStyle w:val="Romanbody"/>
        <w:rPr/>
      </w:pPr>
      <w:r>
        <w:rPr/>
        <w:t>The purpose of defining medical alerts is to make sure that the participant and his/her physician are aware of any significant medical findings that arise as a result of the MESA clinic exam.</w:t>
      </w:r>
    </w:p>
    <w:p>
      <w:pPr>
        <w:pStyle w:val="Romanbody"/>
        <w:rPr>
          <w:b/>
          <w:b/>
        </w:rPr>
      </w:pPr>
      <w:r>
        <w:rPr>
          <w:b/>
        </w:rPr>
      </w:r>
    </w:p>
    <w:p>
      <w:pPr>
        <w:pStyle w:val="Romanbold"/>
        <w:rPr/>
      </w:pPr>
      <w:r>
        <w:rPr/>
        <w:tab/>
        <w:t>II.</w:t>
        <w:tab/>
        <w:t xml:space="preserve">Materials/Equipment </w:t>
      </w:r>
    </w:p>
    <w:p>
      <w:pPr>
        <w:pStyle w:val="Normal"/>
        <w:rPr>
          <w:b/>
          <w:b/>
        </w:rPr>
      </w:pPr>
      <w:r>
        <w:rPr>
          <w:b/>
        </w:rPr>
      </w:r>
    </w:p>
    <w:p>
      <w:pPr>
        <w:pStyle w:val="Romanbody"/>
        <w:rPr/>
      </w:pPr>
      <w:r>
        <w:rPr/>
        <w:t>None</w:t>
      </w:r>
    </w:p>
    <w:p>
      <w:pPr>
        <w:pStyle w:val="Normal"/>
        <w:rPr/>
      </w:pPr>
      <w:r>
        <w:rPr/>
      </w:r>
    </w:p>
    <w:p>
      <w:pPr>
        <w:pStyle w:val="Romanbold"/>
        <w:rPr/>
      </w:pPr>
      <w:r>
        <w:rPr/>
        <w:tab/>
        <w:t>III.</w:t>
        <w:tab/>
        <w:t>Definitions</w:t>
      </w:r>
    </w:p>
    <w:p>
      <w:pPr>
        <w:pStyle w:val="Normal"/>
        <w:rPr/>
      </w:pPr>
      <w:r>
        <w:rPr/>
      </w:r>
    </w:p>
    <w:p>
      <w:pPr>
        <w:pStyle w:val="Number1"/>
        <w:rPr/>
      </w:pPr>
      <w:r>
        <w:rPr/>
        <w:tab/>
        <w:t>1.</w:t>
        <w:tab/>
      </w:r>
      <w:r>
        <w:rPr>
          <w:u w:val="single"/>
        </w:rPr>
        <w:t>Alert</w:t>
      </w:r>
      <w:r>
        <w:rPr/>
        <w:t>:  Any of the medical findings, listed in Table 1, that may have adverse health consequences to the participant if untreated.</w:t>
      </w:r>
    </w:p>
    <w:p>
      <w:pPr>
        <w:pStyle w:val="Number1"/>
        <w:rPr/>
      </w:pPr>
      <w:r>
        <w:rPr/>
      </w:r>
    </w:p>
    <w:p>
      <w:pPr>
        <w:pStyle w:val="Number1"/>
        <w:rPr/>
      </w:pPr>
      <w:r>
        <w:rPr/>
        <w:tab/>
        <w:t>2.</w:t>
        <w:tab/>
      </w:r>
      <w:r>
        <w:rPr>
          <w:u w:val="single"/>
        </w:rPr>
        <w:t>Immediate Referrals</w:t>
      </w:r>
      <w:r>
        <w:rPr/>
        <w:t>:  Medical emergencies which require immediate notification of both the participant and his/her primary physician.  Participants receiving immediate referrals should be considered as those who would go directly from the Field Center clinic to their physician or hospital.  Immediate notification of the participant should occur during the clinic visit.  Immediate notification of the participant’s physician should be accomplished by telephone, to be completed before the participant leaves the clinic.  A follow-up letter documenting information discussed by phone should also be sent to the participant’s physician for findings included in the initial report, or immediately upon receipt from the central agency for findings on the later reports.</w:t>
      </w:r>
    </w:p>
    <w:p>
      <w:pPr>
        <w:pStyle w:val="Number1"/>
        <w:rPr/>
      </w:pPr>
      <w:r>
        <w:rPr/>
      </w:r>
    </w:p>
    <w:p>
      <w:pPr>
        <w:pStyle w:val="Number1"/>
        <w:rPr/>
      </w:pPr>
      <w:r>
        <w:rPr/>
        <w:tab/>
        <w:t>3.</w:t>
        <w:tab/>
      </w:r>
      <w:r>
        <w:rPr>
          <w:u w:val="single"/>
        </w:rPr>
        <w:t>Urgent Referrals</w:t>
      </w:r>
      <w:r>
        <w:rPr/>
        <w:t>:  Urgent referrals are made for abnormalities detected which require medical attention but not on an emergency basis.  Urgent notification of the participant should occur before the participant leaves the clinic (for findings included in the initial participant report), or immediately upon receipt from the central laboratory (for findings on later reports).  Urgent notification of the participant’s physician should be sent within the week.</w:t>
      </w:r>
    </w:p>
    <w:p>
      <w:pPr>
        <w:pStyle w:val="Number1"/>
        <w:rPr/>
      </w:pPr>
      <w:r>
        <w:rPr/>
      </w:r>
      <w:r>
        <w:br w:type="page"/>
      </w:r>
    </w:p>
    <w:p>
      <w:pPr>
        <w:pStyle w:val="Normal"/>
        <w:rPr>
          <w:b/>
          <w:b/>
          <w:bCs/>
        </w:rPr>
      </w:pPr>
      <w:r>
        <w:rPr>
          <w:b/>
          <w:bCs/>
        </w:rPr>
        <w:t>Table 1. MESA Alerts and Alert Levels</w:t>
      </w:r>
    </w:p>
    <w:p>
      <w:pPr>
        <w:pStyle w:val="Normal"/>
        <w:rPr/>
      </w:pPr>
      <w:r>
        <w:rPr/>
      </w:r>
    </w:p>
    <w:tbl>
      <w:tblPr>
        <w:tblW w:w="7740" w:type="dxa"/>
        <w:jc w:val="left"/>
        <w:tblInd w:w="-5" w:type="dxa"/>
        <w:tblLayout w:type="fixed"/>
        <w:tblCellMar>
          <w:top w:w="0" w:type="dxa"/>
          <w:left w:w="108" w:type="dxa"/>
          <w:bottom w:w="0" w:type="dxa"/>
          <w:right w:w="108" w:type="dxa"/>
        </w:tblCellMar>
      </w:tblPr>
      <w:tblGrid>
        <w:gridCol w:w="5850"/>
        <w:gridCol w:w="1890"/>
      </w:tblGrid>
      <w:tr>
        <w:trPr/>
        <w:tc>
          <w:tcPr>
            <w:tcW w:w="5850" w:type="dxa"/>
            <w:tcBorders>
              <w:top w:val="single" w:sz="4" w:space="0" w:color="000000"/>
              <w:left w:val="single" w:sz="4" w:space="0" w:color="000000"/>
              <w:bottom w:val="double" w:sz="4" w:space="0" w:color="000000"/>
              <w:right w:val="single" w:sz="4" w:space="0" w:color="000000"/>
            </w:tcBorders>
          </w:tcPr>
          <w:p>
            <w:pPr>
              <w:pStyle w:val="Heading1"/>
              <w:tabs>
                <w:tab w:val="clear" w:pos="576"/>
              </w:tabs>
              <w:autoSpaceDE w:val="false"/>
              <w:rPr>
                <w:rFonts w:ascii="Arial;Arial" w:hAnsi="Arial;Arial" w:cs="Arial;Arial"/>
                <w:bCs/>
                <w:sz w:val="20"/>
                <w:szCs w:val="24"/>
              </w:rPr>
            </w:pPr>
            <w:r>
              <w:rPr>
                <w:rFonts w:cs="Arial;Arial" w:ascii="Arial;Arial" w:hAnsi="Arial;Arial"/>
                <w:bCs/>
                <w:sz w:val="20"/>
                <w:szCs w:val="24"/>
              </w:rPr>
              <w:t>Finding</w:t>
            </w:r>
          </w:p>
        </w:tc>
        <w:tc>
          <w:tcPr>
            <w:tcW w:w="1890" w:type="dxa"/>
            <w:tcBorders>
              <w:top w:val="single" w:sz="4" w:space="0" w:color="000000"/>
              <w:left w:val="single" w:sz="4" w:space="0" w:color="000000"/>
              <w:bottom w:val="double" w:sz="4" w:space="0" w:color="000000"/>
              <w:right w:val="single" w:sz="4" w:space="0" w:color="000000"/>
            </w:tcBorders>
          </w:tcPr>
          <w:p>
            <w:pPr>
              <w:pStyle w:val="Heading1"/>
              <w:tabs>
                <w:tab w:val="clear" w:pos="576"/>
              </w:tabs>
              <w:autoSpaceDE w:val="false"/>
              <w:rPr>
                <w:rFonts w:ascii="Arial;Arial" w:hAnsi="Arial;Arial" w:cs="Arial;Arial"/>
                <w:bCs/>
                <w:sz w:val="20"/>
                <w:szCs w:val="24"/>
              </w:rPr>
            </w:pPr>
            <w:r>
              <w:rPr>
                <w:rFonts w:cs="Arial;Arial" w:ascii="Arial;Arial" w:hAnsi="Arial;Arial"/>
                <w:bCs/>
                <w:sz w:val="20"/>
                <w:szCs w:val="24"/>
              </w:rPr>
              <w:t>Alert Level</w:t>
            </w:r>
          </w:p>
        </w:tc>
      </w:tr>
      <w:tr>
        <w:trPr/>
        <w:tc>
          <w:tcPr>
            <w:tcW w:w="5850" w:type="dxa"/>
            <w:tcBorders>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Systolic BP &gt; 210</w:t>
            </w:r>
          </w:p>
        </w:tc>
        <w:tc>
          <w:tcPr>
            <w:tcW w:w="1890" w:type="dxa"/>
            <w:tcBorders>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Immediate </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Diastolic BP &gt; 120</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180 &lt; Systolic BP &lt; 211</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110 &lt; Diastolic BP &lt; 121</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heart rate &gt; 130</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atrial fibrillation</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pacemaker</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atrial flutter</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ECG: confirmed wolf-parkinson white or ventricular </w:t>
            </w:r>
          </w:p>
          <w:p>
            <w:pPr>
              <w:pStyle w:val="Normal"/>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pre-excitation</w:t>
            </w:r>
          </w:p>
        </w:tc>
        <w:tc>
          <w:tcPr>
            <w:tcW w:w="189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20"/>
              </w:rPr>
            </w:pPr>
            <w:r>
              <w:rPr>
                <w:rFonts w:cs="Arial;Arial" w:ascii="Arial;Arial" w:hAnsi="Arial;Arial"/>
                <w:sz w:val="20"/>
              </w:rPr>
            </w:r>
          </w:p>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idioventricular rhythm</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ventricular tachycardia</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complete heart block</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left bundle branch block</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acute pericarditis</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injury or ischemia, characterized as acute</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other confirmed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Ultrasound Doppler &gt; 250 cm/sec</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Total cholesterol &gt; 360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Triglyceride &gt; 1000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HDL cholesterol &lt; 20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Calculated LDL cholesterol &gt; 260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Fasting glucose &lt; 50 mg/dL or &gt; 400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Creatinine &gt; 2.0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CT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MRI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ultrasound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Reading Center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CT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MRI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Ultrasound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bl>
    <w:p>
      <w:pPr>
        <w:pStyle w:val="Normal"/>
        <w:rPr/>
      </w:pPr>
      <w:r>
        <w:rPr/>
      </w:r>
    </w:p>
    <w:p>
      <w:pPr>
        <w:pStyle w:val="Romanbold"/>
        <w:rPr/>
      </w:pPr>
      <w:r>
        <w:rPr/>
        <w:tab/>
        <w:t>IV.</w:t>
        <w:tab/>
        <w:t>Methods</w:t>
      </w:r>
    </w:p>
    <w:p>
      <w:pPr>
        <w:pStyle w:val="Normal"/>
        <w:rPr>
          <w:b/>
          <w:b/>
        </w:rPr>
      </w:pPr>
      <w:r>
        <w:rPr>
          <w:b/>
        </w:rPr>
      </w:r>
    </w:p>
    <w:p>
      <w:pPr>
        <w:pStyle w:val="Number1"/>
        <w:rPr/>
      </w:pPr>
      <w:r>
        <w:rPr>
          <w:b/>
        </w:rPr>
        <w:tab/>
      </w:r>
      <w:r>
        <w:rPr>
          <w:bCs/>
        </w:rPr>
        <w:t>1.</w:t>
        <w:tab/>
      </w:r>
      <w:r>
        <w:rPr>
          <w:bCs/>
          <w:u w:val="single"/>
        </w:rPr>
        <w:t>General Instructions</w:t>
      </w:r>
      <w:r>
        <w:rPr>
          <w:bCs/>
        </w:rPr>
        <w:t xml:space="preserve">  </w:t>
      </w:r>
    </w:p>
    <w:p>
      <w:pPr>
        <w:pStyle w:val="Number1"/>
        <w:rPr>
          <w:bCs/>
        </w:rPr>
      </w:pPr>
      <w:r>
        <w:rPr>
          <w:bCs/>
        </w:rPr>
      </w:r>
    </w:p>
    <w:p>
      <w:pPr>
        <w:pStyle w:val="TextBodyIndent"/>
        <w:rPr>
          <w:bCs/>
        </w:rPr>
      </w:pPr>
      <w:r>
        <w:rPr>
          <w:bCs/>
        </w:rPr>
        <w:tab/>
      </w:r>
      <w:r>
        <w:rPr/>
        <w:t xml:space="preserve">Whenever one of the alerts listed above is identified for a participant, the actions defined under Immediate or Urgent Referrals, above, must be completed.  </w:t>
      </w:r>
      <w:r>
        <w:rPr>
          <w:b/>
          <w:bCs/>
        </w:rPr>
        <w:t>Actions taken must be documented on the Alerts Form in the MESA clinic software</w:t>
      </w:r>
      <w:r>
        <w:rPr/>
        <w:t>.</w:t>
      </w:r>
    </w:p>
    <w:p>
      <w:pPr>
        <w:pStyle w:val="Number1"/>
        <w:rPr>
          <w:bCs/>
        </w:rPr>
      </w:pPr>
      <w:r>
        <w:rPr>
          <w:bCs/>
        </w:rPr>
      </w:r>
    </w:p>
    <w:p>
      <w:pPr>
        <w:pStyle w:val="Number1"/>
        <w:rPr/>
      </w:pPr>
      <w:r>
        <w:rPr>
          <w:bCs/>
        </w:rPr>
        <w:tab/>
        <w:t>2.</w:t>
        <w:tab/>
      </w:r>
      <w:r>
        <w:rPr>
          <w:bCs/>
          <w:u w:val="single"/>
        </w:rPr>
        <w:t>Specific instructions</w:t>
      </w:r>
      <w:r>
        <w:rPr>
          <w:bCs/>
        </w:rPr>
        <w:t xml:space="preserve"> </w:t>
      </w:r>
    </w:p>
    <w:p>
      <w:pPr>
        <w:pStyle w:val="Number1"/>
        <w:rPr>
          <w:bCs/>
        </w:rPr>
      </w:pPr>
      <w:r>
        <w:rPr>
          <w:bCs/>
        </w:rPr>
      </w:r>
    </w:p>
    <w:p>
      <w:pPr>
        <w:pStyle w:val="Number11"/>
        <w:rPr/>
      </w:pPr>
      <w:r>
        <w:rPr/>
        <w:tab/>
        <w:t>2.1</w:t>
        <w:tab/>
        <w:t>Alerts information is entered into the MESA Data Management software on the Status/Summary page.  At the bottom of the page, click on the Alerts button.</w:t>
      </w:r>
      <w:r>
        <w:rPr>
          <w:i/>
        </w:rPr>
        <w:t xml:space="preserve">  </w:t>
      </w:r>
    </w:p>
    <w:p>
      <w:pPr>
        <w:pStyle w:val="Number11"/>
        <w:rPr/>
      </w:pPr>
      <w:r>
        <w:rPr/>
      </w:r>
    </w:p>
    <w:p>
      <w:pPr>
        <w:pStyle w:val="Number11"/>
        <w:rPr/>
      </w:pPr>
      <w:r>
        <w:rPr/>
        <w:tab/>
        <w:t>2.2</w:t>
        <w:tab/>
        <w:t xml:space="preserve">For each alert that the participant had, indicate that the alert was present by clicking the appropriate box. </w:t>
      </w:r>
    </w:p>
    <w:p>
      <w:pPr>
        <w:pStyle w:val="Number11"/>
        <w:rPr/>
      </w:pPr>
      <w:r>
        <w:rPr/>
      </w:r>
    </w:p>
    <w:p>
      <w:pPr>
        <w:pStyle w:val="Number11"/>
        <w:rPr/>
      </w:pPr>
      <w:r>
        <w:rPr/>
        <w:tab/>
        <w:t>2.3</w:t>
        <w:tab/>
        <w:t xml:space="preserve">Indicate what action(s) were taken to notify the participant by clicking the correct response:   </w:t>
      </w:r>
    </w:p>
    <w:p>
      <w:pPr>
        <w:pStyle w:val="Number11bodybullet"/>
        <w:rPr/>
      </w:pPr>
      <w:r>
        <w:rPr/>
      </w:r>
    </w:p>
    <w:p>
      <w:pPr>
        <w:pStyle w:val="Number11bodybullet"/>
        <w:rPr/>
      </w:pPr>
      <w:r>
        <w:rPr/>
        <w:tab/>
      </w:r>
      <w:r>
        <w:rPr>
          <w:rFonts w:eastAsia="Symbol" w:cs="Symbol" w:ascii="Symbol" w:hAnsi="Symbol"/>
        </w:rPr>
        <w:t></w:t>
      </w:r>
      <w:r>
        <w:rPr/>
        <w:tab/>
      </w:r>
      <w:r>
        <w:rPr>
          <w:b/>
        </w:rPr>
        <w:t>In Clinic</w:t>
      </w:r>
      <w:r>
        <w:rPr/>
        <w:t xml:space="preserve"> indicates that the participant was notified before leaving the clinic.</w:t>
      </w:r>
    </w:p>
    <w:p>
      <w:pPr>
        <w:pStyle w:val="Number11bodybullet"/>
        <w:rPr/>
      </w:pPr>
      <w:r>
        <w:rPr>
          <w:b/>
        </w:rPr>
        <w:tab/>
      </w:r>
      <w:r>
        <w:rPr>
          <w:rFonts w:eastAsia="Symbol" w:cs="Symbol" w:ascii="Symbol" w:hAnsi="Symbol"/>
          <w:bCs/>
        </w:rPr>
        <w:t></w:t>
      </w:r>
      <w:r>
        <w:rPr>
          <w:b/>
        </w:rPr>
        <w:tab/>
        <w:t>By Phone</w:t>
      </w:r>
      <w:r>
        <w:rPr/>
        <w:t xml:space="preserve"> indicates that the participant was notified by phone.</w:t>
      </w:r>
    </w:p>
    <w:p>
      <w:pPr>
        <w:pStyle w:val="Number11bodybullet"/>
        <w:rPr/>
      </w:pPr>
      <w:r>
        <w:rPr>
          <w:b/>
        </w:rPr>
        <w:tab/>
      </w:r>
      <w:r>
        <w:rPr>
          <w:rFonts w:eastAsia="Symbol" w:cs="Symbol" w:ascii="Symbol" w:hAnsi="Symbol"/>
          <w:bCs/>
        </w:rPr>
        <w:t></w:t>
      </w:r>
      <w:r>
        <w:rPr>
          <w:b/>
        </w:rPr>
        <w:tab/>
        <w:t>By Mail</w:t>
      </w:r>
      <w:r>
        <w:rPr/>
        <w:t xml:space="preserve"> indicates that the participant was notified by mail.</w:t>
      </w:r>
    </w:p>
    <w:p>
      <w:pPr>
        <w:pStyle w:val="Number11bodybullet"/>
        <w:rPr/>
      </w:pPr>
      <w:r>
        <w:rPr/>
      </w:r>
    </w:p>
    <w:p>
      <w:pPr>
        <w:pStyle w:val="Number11body"/>
        <w:rPr/>
      </w:pPr>
      <w:r>
        <w:rPr/>
        <w:t>Regardless of the method used, indicate the date the notification was made in the appropriate box.  (For mail notification, indicate the date the letter was mailed.)</w:t>
      </w:r>
    </w:p>
    <w:p>
      <w:pPr>
        <w:pStyle w:val="Number11body"/>
        <w:rPr/>
      </w:pPr>
      <w:r>
        <w:rPr/>
      </w:r>
    </w:p>
    <w:p>
      <w:pPr>
        <w:pStyle w:val="Number11"/>
        <w:rPr/>
      </w:pPr>
      <w:r>
        <w:rPr/>
        <w:tab/>
        <w:t>2.4</w:t>
        <w:tab/>
        <w:t>If the participant’s physician was notified, indicate how this was done by clicking the appropriate response:</w:t>
      </w:r>
    </w:p>
    <w:p>
      <w:pPr>
        <w:pStyle w:val="Number11"/>
        <w:rPr/>
      </w:pPr>
      <w:r>
        <w:rPr/>
      </w:r>
    </w:p>
    <w:p>
      <w:pPr>
        <w:pStyle w:val="Number11bodybullet"/>
        <w:rPr/>
      </w:pPr>
      <w:r>
        <w:rPr/>
        <w:tab/>
      </w:r>
      <w:r>
        <w:rPr>
          <w:rFonts w:eastAsia="Symbol" w:cs="Symbol" w:ascii="Symbol" w:hAnsi="Symbol"/>
          <w:bCs/>
        </w:rPr>
        <w:t></w:t>
      </w:r>
      <w:r>
        <w:rPr>
          <w:b/>
        </w:rPr>
        <w:tab/>
        <w:t>By Phone</w:t>
      </w:r>
      <w:r>
        <w:rPr/>
        <w:t xml:space="preserve"> indicates that the physician was notified by phone.</w:t>
      </w:r>
    </w:p>
    <w:p>
      <w:pPr>
        <w:pStyle w:val="Number11bodybullet"/>
        <w:rPr/>
      </w:pPr>
      <w:r>
        <w:rPr>
          <w:b/>
        </w:rPr>
        <w:tab/>
      </w:r>
      <w:r>
        <w:rPr>
          <w:rFonts w:eastAsia="Symbol" w:cs="Symbol" w:ascii="Symbol" w:hAnsi="Symbol"/>
          <w:bCs/>
        </w:rPr>
        <w:t></w:t>
      </w:r>
      <w:r>
        <w:rPr>
          <w:b/>
        </w:rPr>
        <w:tab/>
        <w:t>By Mail</w:t>
      </w:r>
      <w:r>
        <w:rPr/>
        <w:t xml:space="preserve"> indicates that the physician was notified by mail.</w:t>
      </w:r>
    </w:p>
    <w:p>
      <w:pPr>
        <w:pStyle w:val="Number11bodybullet"/>
        <w:rPr/>
      </w:pPr>
      <w:r>
        <w:rPr/>
      </w:r>
    </w:p>
    <w:p>
      <w:pPr>
        <w:pStyle w:val="Number11"/>
        <w:rPr/>
      </w:pPr>
      <w:r>
        <w:rPr/>
        <w:tab/>
        <w:tab/>
        <w:t>Regardless of the method used, indicate the date the notification was made in the appropriate boxes. (For mail notification, indicate the date the letter was mailed.)</w:t>
      </w:r>
    </w:p>
    <w:p>
      <w:pPr>
        <w:pStyle w:val="Number11"/>
        <w:rPr/>
      </w:pPr>
      <w:r>
        <w:rPr/>
      </w:r>
    </w:p>
    <w:p>
      <w:pPr>
        <w:pStyle w:val="Number11"/>
        <w:rPr/>
      </w:pPr>
      <w:r>
        <w:rPr/>
        <w:tab/>
        <w:t>2.5</w:t>
        <w:tab/>
        <w:t>If any other actions were taken or unusual circumstances were involved, please document this in the comments section below the alert.</w:t>
      </w:r>
    </w:p>
    <w:p>
      <w:pPr>
        <w:pStyle w:val="Number11"/>
        <w:rPr/>
      </w:pPr>
      <w:r>
        <w:rPr/>
      </w:r>
    </w:p>
    <w:p>
      <w:pPr>
        <w:pStyle w:val="Number11"/>
        <w:rPr/>
      </w:pPr>
      <w:r>
        <w:rPr/>
        <w:tab/>
        <w:t>2.6</w:t>
        <w:tab/>
        <w:t>“Other” alerts: If any unusual incidents occur in the clinic, please indicate that an “other” alert occurred and specify the circumstances in the Comments section.  These should include anything that would be important to have documented later, including a participant fall in the clinic, participant feeling dizzy or fainting when getting up from the ultrasound exam or blood draw, etc.  If in doubt, document!</w:t>
      </w:r>
    </w:p>
    <w:p>
      <w:pPr>
        <w:pStyle w:val="Number11"/>
        <w:rPr/>
      </w:pPr>
      <w:r>
        <w:rPr/>
      </w:r>
    </w:p>
    <w:p>
      <w:pPr>
        <w:pStyle w:val="Number11"/>
        <w:rPr/>
      </w:pPr>
      <w:r>
        <w:rPr/>
        <w:tab/>
        <w:t xml:space="preserve">2.7 </w:t>
        <w:tab/>
        <w:t>ECG alerts:  The computer statements on the clinic ECGs are often overstated – that is, incorrect.  Alert actions should only be taken for those ECG alert statements confirmed by a local physician. Similarly, only confirmed ECG alerts should be entered into the Alerts database.</w:t>
      </w:r>
    </w:p>
    <w:p>
      <w:pPr>
        <w:pStyle w:val="Number11"/>
        <w:rPr/>
      </w:pPr>
      <w:r>
        <w:rPr/>
      </w:r>
    </w:p>
    <w:p>
      <w:pPr>
        <w:pStyle w:val="Normal"/>
        <w:rPr/>
      </w:pPr>
      <w:r>
        <w:rPr/>
      </w:r>
    </w:p>
    <w:p>
      <w:pPr>
        <w:pStyle w:val="Normal"/>
        <w:tabs>
          <w:tab w:val="clear" w:pos="720"/>
          <w:tab w:val="left" w:pos="1800" w:leader="none"/>
        </w:tabs>
        <w:ind w:left="720" w:hanging="0"/>
        <w:rPr/>
      </w:pPr>
      <w:r>
        <w:rPr/>
      </w:r>
    </w:p>
    <w:p>
      <w:pPr>
        <w:sectPr>
          <w:headerReference w:type="even" r:id="rId175"/>
          <w:headerReference w:type="default" r:id="rId176"/>
          <w:footerReference w:type="even" r:id="rId177"/>
          <w:footerReference w:type="default" r:id="rId178"/>
          <w:type w:val="oddPage"/>
          <w:pgSz w:w="12240" w:h="15840"/>
          <w:pgMar w:left="2880" w:right="1080" w:gutter="0" w:header="720" w:top="1440" w:footer="720" w:bottom="1440"/>
          <w:pgNumType w:fmt="decimal"/>
          <w:formProt w:val="false"/>
          <w:vAlign w:val="both"/>
          <w:textDirection w:val="lrTb"/>
          <w:docGrid w:type="default" w:linePitch="360" w:charSpace="0"/>
        </w:sectPr>
        <w:pStyle w:val="Normal"/>
        <w:rPr/>
      </w:pPr>
      <w:r>
        <w:rPr/>
      </w:r>
    </w:p>
    <w:p>
      <w:pPr>
        <w:sectPr>
          <w:headerReference w:type="even" r:id="rId179"/>
          <w:headerReference w:type="default" r:id="rId180"/>
          <w:footerReference w:type="even" r:id="rId181"/>
          <w:footerReference w:type="default" r:id="rId182"/>
          <w:type w:val="oddPage"/>
          <w:pgSz w:w="12240" w:h="15840"/>
          <w:pgMar w:left="2880" w:right="1080" w:gutter="0" w:header="720" w:top="1440" w:footer="720" w:bottom="1440"/>
          <w:pgNumType w:fmt="decimal"/>
          <w:formProt w:val="false"/>
          <w:vAlign w:val="both"/>
          <w:textDirection w:val="lrTb"/>
          <w:docGrid w:type="default" w:linePitch="360" w:charSpace="0"/>
        </w:sectPr>
        <w:pStyle w:val="Sectionheading"/>
        <w:rPr/>
      </w:pPr>
      <w:bookmarkStart w:id="41" w:name="__RefHeading___Toc503858997"/>
      <w:bookmarkEnd w:id="41"/>
      <w:r>
        <w:rPr/>
        <w:t>Section 5  Reporting Participants’ Results</w:t>
      </w:r>
    </w:p>
    <w:p>
      <w:pPr>
        <w:pStyle w:val="Sectionheading"/>
        <w:rPr/>
      </w:pPr>
      <w:bookmarkStart w:id="42" w:name="__RefHeading___Toc503858998"/>
      <w:bookmarkEnd w:id="42"/>
      <w:r>
        <w:rPr/>
        <w:t>Section 6  Data Management</w:t>
      </w:r>
    </w:p>
    <w:p>
      <w:pPr>
        <w:pStyle w:val="Normal"/>
        <w:rPr>
          <w:rFonts w:ascii="CG Times;Times New Roman" w:hAnsi="CG Times;Times New Roman" w:cs="CG Times;Times New Roman"/>
          <w:b/>
          <w:b/>
          <w:sz w:val="32"/>
        </w:rPr>
      </w:pPr>
      <w:r>
        <w:rPr>
          <w:rFonts w:cs="CG Times;Times New Roman" w:ascii="CG Times;Times New Roman" w:hAnsi="CG Times;Times New Roman"/>
          <w:b/>
          <w:sz w:val="32"/>
        </w:rPr>
      </w:r>
    </w:p>
    <w:p>
      <w:pPr>
        <w:pStyle w:val="Normal"/>
        <w:rPr/>
      </w:pPr>
      <w:r>
        <w:rPr/>
        <w:t>6.1 Overview</w:t>
      </w:r>
    </w:p>
    <w:p>
      <w:pPr>
        <w:pStyle w:val="Normal"/>
        <w:rPr/>
      </w:pPr>
      <w:r>
        <w:rPr/>
      </w:r>
    </w:p>
    <w:p>
      <w:pPr>
        <w:pStyle w:val="Normal"/>
        <w:rPr/>
      </w:pPr>
      <w:r>
        <w:rPr/>
        <w:t>The MESA data entry and management system has several components.  This section will provide an overview of each component.  The next section provides general instructions for completing paper forms that will be scanned, the third section gives specific instructions for entering and verifying scanned forms, and the fourth section explains how to use the Sampling database, and the last section explains how to do various data management and tracking functions.</w:t>
      </w:r>
    </w:p>
    <w:p>
      <w:pPr>
        <w:pStyle w:val="Normal"/>
        <w:rPr/>
      </w:pPr>
      <w:r>
        <w:rPr/>
      </w:r>
    </w:p>
    <w:p>
      <w:pPr>
        <w:pStyle w:val="Normal"/>
        <w:rPr/>
      </w:pPr>
      <w:r>
        <w:rPr/>
        <w:t xml:space="preserve">There are four main icons on your desktop that will be used for accessing the MESA data system:  </w:t>
      </w:r>
    </w:p>
    <w:p>
      <w:pPr>
        <w:pStyle w:val="Normal"/>
        <w:rPr/>
      </w:pPr>
      <w:r>
        <w:rPr/>
        <w:tab/>
        <w:t xml:space="preserve">TELEform Reader </w:t>
      </w:r>
    </w:p>
    <w:p>
      <w:pPr>
        <w:pStyle w:val="Normal"/>
        <w:rPr/>
      </w:pPr>
      <w:r>
        <w:rPr/>
        <w:tab/>
        <w:t xml:space="preserve">TELEform Verifier </w:t>
      </w:r>
    </w:p>
    <w:p>
      <w:pPr>
        <w:pStyle w:val="Normal"/>
        <w:rPr/>
      </w:pPr>
      <w:r>
        <w:rPr/>
        <w:tab/>
        <w:t>Sample Database</w:t>
      </w:r>
    </w:p>
    <w:p>
      <w:pPr>
        <w:pStyle w:val="Normal"/>
        <w:rPr/>
      </w:pPr>
      <w:r>
        <w:rPr/>
        <w:tab/>
        <w:t>MESA Data Management</w:t>
      </w:r>
    </w:p>
    <w:p>
      <w:pPr>
        <w:pStyle w:val="Normal"/>
        <w:rPr/>
      </w:pPr>
      <w:r>
        <w:rPr/>
      </w:r>
    </w:p>
    <w:p>
      <w:pPr>
        <w:pStyle w:val="Normal"/>
        <w:rPr/>
      </w:pPr>
      <w:r>
        <w:rPr/>
        <w:t>You will click on the TELEform Reader icon when you want to scan forms into the database.  (See Section 6.3.1) You will click on the TELEform Verifier icon when you want to verify previously scanned forms.  (See Section 6.3.2.)</w:t>
      </w:r>
    </w:p>
    <w:p>
      <w:pPr>
        <w:pStyle w:val="Normal"/>
        <w:rPr/>
      </w:pPr>
      <w:r>
        <w:rPr/>
      </w:r>
    </w:p>
    <w:p>
      <w:pPr>
        <w:pStyle w:val="Normal"/>
        <w:rPr/>
      </w:pPr>
      <w:r>
        <w:rPr/>
        <w:t>You will click on the Sampling database when you want to create new samples, prepare address files for address labels and for mail merges for participant letters.  (See Section 6.4)  This database will also be used to enter the contact status for each sampled household, and to produce reports showing contact status for selected households.  This database is set up so that each record represents a household.  No information on individuals within households in available in this database.</w:t>
      </w:r>
    </w:p>
    <w:p>
      <w:pPr>
        <w:pStyle w:val="Normal"/>
        <w:rPr/>
      </w:pPr>
      <w:r>
        <w:rPr/>
      </w:r>
    </w:p>
    <w:p>
      <w:pPr>
        <w:pStyle w:val="Normal"/>
        <w:rPr/>
      </w:pPr>
      <w:r>
        <w:rPr/>
        <w:t>The “MESA – Data Management” icon contains all components of the MESA data tracking system.  In this database, each record represents an individual person.  Contained in this system are procedures for printing forms, entering recruitment status, checking information about individuals, and creating reports.  This system also contains procedures for transmitting data to the Coordinating Center and for performing data backups.  (See Section 6.5.)</w:t>
      </w:r>
    </w:p>
    <w:p>
      <w:pPr>
        <w:pStyle w:val="Normal"/>
        <w:rPr/>
      </w:pPr>
      <w:r>
        <w:rPr/>
      </w:r>
    </w:p>
    <w:p>
      <w:pPr>
        <w:pStyle w:val="Normal"/>
        <w:rPr/>
      </w:pPr>
      <w:r>
        <w:rPr/>
        <w:t>6.2 General Instructions for Completing Paper Forms that will be Scanned</w:t>
      </w:r>
    </w:p>
    <w:p>
      <w:pPr>
        <w:pStyle w:val="Normal"/>
        <w:rPr/>
      </w:pPr>
      <w:r>
        <w:rPr/>
      </w:r>
    </w:p>
    <w:p>
      <w:pPr>
        <w:pStyle w:val="Romanbold"/>
        <w:ind w:left="0" w:hanging="0"/>
        <w:rPr/>
      </w:pPr>
      <w:r>
        <w:rPr/>
        <w:tab/>
      </w:r>
      <w:r>
        <w:rPr>
          <w:b w:val="false"/>
          <w:caps w:val="false"/>
          <w:smallCaps w:val="false"/>
        </w:rPr>
        <w:t>Scanned forms are a fast and efficient way to enter data into a computer system, but it is important to complete the forms in a careful manner, with an understanding of how the scanning system operates.  This will ensure that the forms are correctly interpreted by the TELEform system.</w:t>
      </w:r>
    </w:p>
    <w:p>
      <w:pPr>
        <w:pStyle w:val="Romanbold"/>
        <w:rPr>
          <w:b w:val="false"/>
          <w:b w:val="false"/>
          <w:caps w:val="false"/>
          <w:smallCaps w:val="false"/>
        </w:rPr>
      </w:pPr>
      <w:r>
        <w:rPr>
          <w:b w:val="false"/>
          <w:caps w:val="false"/>
          <w:smallCaps w:val="false"/>
        </w:rPr>
      </w:r>
    </w:p>
    <w:p>
      <w:pPr>
        <w:pStyle w:val="Header"/>
        <w:tabs>
          <w:tab w:val="clear" w:pos="4320"/>
          <w:tab w:val="clear" w:pos="8640"/>
        </w:tabs>
        <w:rPr/>
      </w:pPr>
      <w:r>
        <w:rPr/>
        <w:t xml:space="preserve">Using a dark pen is recommended.  TELEform’s “User Guide” recommends a fine felt tip pen because “a fine felt tip works best because it leaves solid line segments.  Some ball-point pens create broken line segments that introduce greater possibility or recognition error”.  A mechanical pencil using 2B or softer lead will also work, though it is very important make sure enough pressure is applied using one so that the marks are solid and dark. </w:t>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3">
                <wp:simplePos x="0" y="0"/>
                <wp:positionH relativeFrom="column">
                  <wp:posOffset>3017520</wp:posOffset>
                </wp:positionH>
                <wp:positionV relativeFrom="paragraph">
                  <wp:posOffset>80645</wp:posOffset>
                </wp:positionV>
                <wp:extent cx="1143000" cy="457200"/>
                <wp:effectExtent l="0" t="0" r="0" b="0"/>
                <wp:wrapNone/>
                <wp:docPr id="34" name="Frame10"/>
                <a:graphic xmlns:a="http://schemas.openxmlformats.org/drawingml/2006/main">
                  <a:graphicData uri="http://schemas.microsoft.com/office/word/2010/wordprocessingShape">
                    <wps:wsp>
                      <wps:cNvSpPr txBox="1"/>
                      <wps:spPr>
                        <a:xfrm>
                          <a:off x="0" y="0"/>
                          <a:ext cx="1143000" cy="457200"/>
                        </a:xfrm>
                        <a:prstGeom prst="rect"/>
                        <a:solidFill>
                          <a:srgbClr val="FFFFFF"/>
                        </a:solidFill>
                      </wps:spPr>
                      <wps:txbx>
                        <w:txbxContent>
                          <w:p>
                            <w:pPr>
                              <w:pStyle w:val="Normal"/>
                              <w:rPr>
                                <w:i/>
                                <w:i/>
                              </w:rPr>
                            </w:pPr>
                            <w:r>
                              <w:rPr>
                                <w:i/>
                              </w:rPr>
                              <w:t>Preferred</w:t>
                            </w:r>
                          </w:p>
                          <w:p>
                            <w:pPr>
                              <w:pStyle w:val="Normal"/>
                              <w:rPr>
                                <w:i/>
                                <w:i/>
                              </w:rPr>
                            </w:pPr>
                            <w:r>
                              <w:rPr>
                                <w:i/>
                              </w:rPr>
                              <w:t>Acceptable but not Recommended</w:t>
                            </w:r>
                          </w:p>
                        </w:txbxContent>
                      </wps:txbx>
                      <wps:bodyPr anchor="t" lIns="92075" tIns="46355" rIns="92075" bIns="46355">
                        <a:noAutofit/>
                      </wps:bodyPr>
                    </wps:wsp>
                  </a:graphicData>
                </a:graphic>
              </wp:anchor>
            </w:drawing>
          </mc:Choice>
          <mc:Fallback>
            <w:pict>
              <v:rect fillcolor="#FFFFFF" style="position:absolute;rotation:-0;width:90pt;height:36pt;mso-wrap-distance-left:9.05pt;mso-wrap-distance-right:9.05pt;mso-wrap-distance-top:0pt;mso-wrap-distance-bottom:0pt;margin-top:6.35pt;mso-position-vertical-relative:text;margin-left:237.6pt;mso-position-horizontal-relative:text">
                <v:textbox inset="0.100694444444444in,0.0506944444444444in,0.100694444444444in,0.0506944444444444in">
                  <w:txbxContent>
                    <w:p>
                      <w:pPr>
                        <w:pStyle w:val="Normal"/>
                        <w:rPr>
                          <w:i/>
                          <w:i/>
                        </w:rPr>
                      </w:pPr>
                      <w:r>
                        <w:rPr>
                          <w:i/>
                        </w:rPr>
                        <w:t>Preferred</w:t>
                      </w:r>
                    </w:p>
                    <w:p>
                      <w:pPr>
                        <w:pStyle w:val="Normal"/>
                        <w:rPr>
                          <w:i/>
                          <w:i/>
                        </w:rPr>
                      </w:pPr>
                      <w:r>
                        <w:rPr>
                          <w:i/>
                        </w:rPr>
                        <w:t>Acceptable but not Recommended</w:t>
                      </w:r>
                    </w:p>
                  </w:txbxContent>
                </v:textbox>
                <w10:wrap type="none"/>
              </v:rect>
            </w:pict>
          </mc:Fallback>
        </mc:AlternateContent>
      </w:r>
      <w:r>
        <mc:AlternateContent>
          <mc:Choice Requires="wps">
            <w:drawing>
              <wp:anchor behindDoc="0" distT="0" distB="0" distL="114935" distR="114935" simplePos="0" locked="0" layoutInCell="0" allowOverlap="1" relativeHeight="27">
                <wp:simplePos x="0" y="0"/>
                <wp:positionH relativeFrom="column">
                  <wp:posOffset>2108835</wp:posOffset>
                </wp:positionH>
                <wp:positionV relativeFrom="paragraph">
                  <wp:posOffset>40640</wp:posOffset>
                </wp:positionV>
                <wp:extent cx="800100" cy="228600"/>
                <wp:effectExtent l="0" t="0" r="0" b="0"/>
                <wp:wrapNone/>
                <wp:docPr id="35" name="Frame9"/>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i/>
                                <w:i/>
                              </w:rPr>
                            </w:pPr>
                            <w:r>
                              <w:rPr>
                                <w:i/>
                              </w:rPr>
                              <w:t>Preferred</w:t>
                            </w:r>
                          </w:p>
                          <w:p>
                            <w:pPr>
                              <w:pStyle w:val="Normal"/>
                              <w:rPr>
                                <w:i/>
                                <w:i/>
                              </w:rPr>
                            </w:pPr>
                            <w:r>
                              <w:rPr>
                                <w:i/>
                              </w:rPr>
                              <w:t>Acceptable but not Recommended</w:t>
                            </w:r>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3.2pt;mso-position-vertical-relative:text;margin-left:166.05pt;mso-position-horizontal-relative:text">
                <v:textbox inset="0.100694444444444in,0.0506944444444444in,0.100694444444444in,0.0506944444444444in">
                  <w:txbxContent>
                    <w:p>
                      <w:pPr>
                        <w:pStyle w:val="Normal"/>
                        <w:rPr>
                          <w:i/>
                          <w:i/>
                        </w:rPr>
                      </w:pPr>
                      <w:r>
                        <w:rPr>
                          <w:i/>
                        </w:rPr>
                        <w:t>Preferred</w:t>
                      </w:r>
                    </w:p>
                    <w:p>
                      <w:pPr>
                        <w:pStyle w:val="Normal"/>
                        <w:rPr>
                          <w:i/>
                          <w:i/>
                        </w:rPr>
                      </w:pPr>
                      <w:r>
                        <w:rPr>
                          <w:i/>
                        </w:rPr>
                        <w:t>Acceptable but not Recommended</w:t>
                      </w:r>
                    </w:p>
                  </w:txbxContent>
                </v:textbox>
                <w10:wrap type="none"/>
              </v:rect>
            </w:pict>
          </mc:Fallback>
        </mc:AlternateContent>
      </w:r>
    </w:p>
    <w:p>
      <w:pPr>
        <w:pStyle w:val="Header"/>
        <w:tabs>
          <w:tab w:val="clear" w:pos="4320"/>
          <w:tab w:val="clear" w:pos="8640"/>
        </w:tabs>
        <w:rPr/>
      </w:pPr>
      <w:r>
        <w:rPr/>
        <w:drawing>
          <wp:anchor behindDoc="0" distT="0" distB="0" distL="114935" distR="114935" simplePos="0" locked="0" layoutInCell="0" allowOverlap="1" relativeHeight="24">
            <wp:simplePos x="0" y="0"/>
            <wp:positionH relativeFrom="column">
              <wp:posOffset>2316480</wp:posOffset>
            </wp:positionH>
            <wp:positionV relativeFrom="paragraph">
              <wp:posOffset>353060</wp:posOffset>
            </wp:positionV>
            <wp:extent cx="1537335" cy="294640"/>
            <wp:effectExtent l="0" t="0" r="0" b="0"/>
            <wp:wrapTopAndBottom/>
            <wp:docPr id="3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 descr=""/>
                    <pic:cNvPicPr>
                      <a:picLocks noChangeAspect="1" noChangeArrowheads="1"/>
                    </pic:cNvPicPr>
                  </pic:nvPicPr>
                  <pic:blipFill>
                    <a:blip r:embed="rId183"/>
                    <a:srcRect l="-10" t="-53" r="-10" b="-53"/>
                    <a:stretch>
                      <a:fillRect/>
                    </a:stretch>
                  </pic:blipFill>
                  <pic:spPr bwMode="auto">
                    <a:xfrm>
                      <a:off x="0" y="0"/>
                      <a:ext cx="1537335" cy="294640"/>
                    </a:xfrm>
                    <a:prstGeom prst="rect">
                      <a:avLst/>
                    </a:prstGeom>
                  </pic:spPr>
                </pic:pic>
              </a:graphicData>
            </a:graphic>
          </wp:anchor>
        </w:drawing>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5">
                <wp:simplePos x="0" y="0"/>
                <wp:positionH relativeFrom="column">
                  <wp:posOffset>2680335</wp:posOffset>
                </wp:positionH>
                <wp:positionV relativeFrom="paragraph">
                  <wp:posOffset>604520</wp:posOffset>
                </wp:positionV>
                <wp:extent cx="800100" cy="228600"/>
                <wp:effectExtent l="0" t="0" r="0" b="0"/>
                <wp:wrapNone/>
                <wp:docPr id="37" name="Frame11"/>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47.6pt;mso-position-vertical-relative:text;margin-left:211.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 xml:space="preserve">A majority of the questions on the paper forms have option bubbles as valid responses (i.e. 0-No, 1-Yes, 9-Unknown).  Even though TELEform will usually recognize a partially filled in bubble (see Figure 2.1), completely filling it in is strongly recommended because doing so greatly reduces the chance that TELEform will not correctly sense an option was selected. </w:t>
      </w:r>
    </w:p>
    <w:p>
      <w:pPr>
        <w:pStyle w:val="Header"/>
        <w:tabs>
          <w:tab w:val="clear" w:pos="4320"/>
          <w:tab w:val="clear" w:pos="8640"/>
        </w:tabs>
        <w:rPr/>
      </w:pPr>
      <w:r>
        <w:rPr/>
        <w:drawing>
          <wp:anchor behindDoc="0" distT="0" distB="0" distL="114935" distR="114935" simplePos="0" locked="0" layoutInCell="0" allowOverlap="1" relativeHeight="28">
            <wp:simplePos x="0" y="0"/>
            <wp:positionH relativeFrom="column">
              <wp:posOffset>1080135</wp:posOffset>
            </wp:positionH>
            <wp:positionV relativeFrom="paragraph">
              <wp:posOffset>275590</wp:posOffset>
            </wp:positionV>
            <wp:extent cx="4280535" cy="632460"/>
            <wp:effectExtent l="0" t="0" r="0" b="0"/>
            <wp:wrapTopAndBottom/>
            <wp:docPr id="3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 descr=""/>
                    <pic:cNvPicPr>
                      <a:picLocks noChangeAspect="1" noChangeArrowheads="1"/>
                    </pic:cNvPicPr>
                  </pic:nvPicPr>
                  <pic:blipFill>
                    <a:blip r:embed="rId184"/>
                    <a:srcRect l="-6" t="-42" r="-6" b="-42"/>
                    <a:stretch>
                      <a:fillRect/>
                    </a:stretch>
                  </pic:blipFill>
                  <pic:spPr bwMode="auto">
                    <a:xfrm>
                      <a:off x="0" y="0"/>
                      <a:ext cx="4280535" cy="632460"/>
                    </a:xfrm>
                    <a:prstGeom prst="rect">
                      <a:avLst/>
                    </a:prstGeom>
                  </pic:spPr>
                </pic:pic>
              </a:graphicData>
            </a:graphic>
          </wp:anchor>
        </w:drawing>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9">
                <wp:simplePos x="0" y="0"/>
                <wp:positionH relativeFrom="column">
                  <wp:posOffset>2680335</wp:posOffset>
                </wp:positionH>
                <wp:positionV relativeFrom="paragraph">
                  <wp:posOffset>740410</wp:posOffset>
                </wp:positionV>
                <wp:extent cx="800100" cy="228600"/>
                <wp:effectExtent l="0" t="0" r="0" b="0"/>
                <wp:wrapNone/>
                <wp:docPr id="39" name="Frame12"/>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58.3pt;mso-position-vertical-relative:text;margin-left:211.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In any response area that accepts numeric or text entry, each number or letter should be entered neatly and should avoid touching the edges of the response boxes or comb-style fields (see Figure 2.2).  If a character is touching an edge, TELEform should still be able to recognize it, but in some cases, TELEform will not correctly recognize the character and will require that the operator verify the response.  All alphabetic characters should be entered in UPPERCASE LETTERS.</w:t>
      </w:r>
    </w:p>
    <w:p>
      <w:pPr>
        <w:pStyle w:val="Header"/>
        <w:tabs>
          <w:tab w:val="clear" w:pos="4320"/>
          <w:tab w:val="clear" w:pos="8640"/>
        </w:tabs>
        <w:rPr/>
      </w:pPr>
      <w:r>
        <w:rPr/>
      </w:r>
    </w:p>
    <w:p>
      <w:pPr>
        <w:pStyle w:val="Header"/>
        <w:tabs>
          <w:tab w:val="clear" w:pos="4320"/>
          <w:tab w:val="clear" w:pos="8640"/>
        </w:tabs>
        <w:rPr/>
      </w:pPr>
      <w:r>
        <w:rPr/>
        <w:t xml:space="preserve">All dates should be entered in the format </w:t>
      </w:r>
      <w:r>
        <w:rPr>
          <w:b/>
        </w:rPr>
        <w:t>MM/DD/YYYY</w:t>
      </w:r>
      <w:r>
        <w:rPr/>
        <w:t xml:space="preserve"> (note the four digit year) with no missing month, day, or year portion (“12/  /1999” would not be acceptable), and all times should be entered in the format </w:t>
      </w:r>
      <w:r>
        <w:rPr>
          <w:b/>
        </w:rPr>
        <w:t xml:space="preserve">HH:MM A/P </w:t>
      </w:r>
      <w:r>
        <w:rPr/>
        <w:t>with no missing hour, minute, or time of day portion.  Refer to Figure 2.2 for examples of valid date and time responses.</w:t>
      </w:r>
    </w:p>
    <w:p>
      <w:pPr>
        <w:pStyle w:val="Header"/>
        <w:tabs>
          <w:tab w:val="clear" w:pos="4320"/>
          <w:tab w:val="clear" w:pos="8640"/>
        </w:tabs>
        <w:rPr/>
      </w:pPr>
      <w:r>
        <w:rPr/>
      </w:r>
    </w:p>
    <w:p>
      <w:pPr>
        <w:pStyle w:val="Header"/>
        <w:tabs>
          <w:tab w:val="clear" w:pos="4320"/>
          <w:tab w:val="clear" w:pos="8640"/>
        </w:tabs>
        <w:rPr/>
      </w:pPr>
      <w:r>
        <w:rPr/>
        <w:t xml:space="preserve">Responses entered using a mechanical pencil (with 2B or softer lead), can be changed by thoroughly erasing the prior response and then entering in the correct response.  If you make a mistake when writing in a response with a pen, cross out the incorrect response and enter the correct one, though this will force the TELEform operator to correct the response during verification.  </w:t>
      </w:r>
      <w:r>
        <w:rPr>
          <w:b/>
        </w:rPr>
        <w:t>Don’t use correction fluids like “Liquid Paper” because using such products may potentially dirty the roller on the document feeder or contact glass on the scanner</w:t>
      </w:r>
      <w:r>
        <w:rPr/>
        <w:t xml:space="preserve">.  </w:t>
      </w:r>
    </w:p>
    <w:p>
      <w:pPr>
        <w:pStyle w:val="Header"/>
        <w:tabs>
          <w:tab w:val="clear" w:pos="4320"/>
          <w:tab w:val="clear" w:pos="8640"/>
        </w:tabs>
        <w:rPr/>
      </w:pPr>
      <w:r>
        <w:rPr/>
      </w:r>
    </w:p>
    <w:p>
      <w:pPr>
        <w:pStyle w:val="Header"/>
        <w:tabs>
          <w:tab w:val="clear" w:pos="4320"/>
          <w:tab w:val="clear" w:pos="8640"/>
        </w:tabs>
        <w:rPr/>
      </w:pPr>
      <w:r>
        <w:rPr/>
        <w:t>6.3 Entering and Verifying Data</w:t>
      </w:r>
    </w:p>
    <w:p>
      <w:pPr>
        <w:pStyle w:val="Header"/>
        <w:tabs>
          <w:tab w:val="clear" w:pos="4320"/>
          <w:tab w:val="clear" w:pos="8640"/>
        </w:tabs>
        <w:rPr/>
      </w:pPr>
      <w:r>
        <w:rPr/>
      </w:r>
    </w:p>
    <w:p>
      <w:pPr>
        <w:pStyle w:val="Romanbold"/>
        <w:rPr>
          <w:b w:val="false"/>
          <w:b w:val="false"/>
        </w:rPr>
      </w:pPr>
      <w:r>
        <w:rPr>
          <w:b w:val="false"/>
        </w:rPr>
        <w:t xml:space="preserve">6.3.1  </w:t>
      </w:r>
      <w:r>
        <w:rPr>
          <w:b w:val="false"/>
          <w:caps w:val="false"/>
          <w:smallCaps w:val="false"/>
        </w:rPr>
        <w:t>Using The Scanner And TELEform Reader To Enter Data</w:t>
      </w:r>
    </w:p>
    <w:p>
      <w:pPr>
        <w:pStyle w:val="Romanbody"/>
        <w:rPr>
          <w:b/>
          <w:b/>
        </w:rPr>
      </w:pPr>
      <w:r>
        <w:rPr>
          <w:b/>
        </w:rPr>
      </w:r>
    </w:p>
    <w:p>
      <w:pPr>
        <w:pStyle w:val="Header"/>
        <w:tabs>
          <w:tab w:val="clear" w:pos="4320"/>
          <w:tab w:val="clear" w:pos="8640"/>
        </w:tabs>
        <w:rPr/>
      </w:pPr>
      <w:r>
        <w:rPr/>
        <w:t>Make sure the scanner is on before turning the computer on.  This is necessary because the scanner is a SCSI (Small Computer System Interface) device and SCSI devices are not recognized if they are disconnected or off during the initial boot-up phase.  Once the computer is on, you can turn off the scanner and turn it back on later, but if the computer is ever turned off and back on (or re-booted), make sure the scanner is on first.</w:t>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1">
            <wp:simplePos x="0" y="0"/>
            <wp:positionH relativeFrom="column">
              <wp:posOffset>965835</wp:posOffset>
            </wp:positionH>
            <wp:positionV relativeFrom="paragraph">
              <wp:posOffset>193040</wp:posOffset>
            </wp:positionV>
            <wp:extent cx="4000500" cy="1972945"/>
            <wp:effectExtent l="0" t="0" r="0" b="0"/>
            <wp:wrapTopAndBottom/>
            <wp:docPr id="4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 descr=""/>
                    <pic:cNvPicPr>
                      <a:picLocks noChangeAspect="1" noChangeArrowheads="1"/>
                    </pic:cNvPicPr>
                  </pic:nvPicPr>
                  <pic:blipFill>
                    <a:blip r:embed="rId185"/>
                    <a:srcRect l="-4" t="-8" r="-4" b="-8"/>
                    <a:stretch>
                      <a:fillRect/>
                    </a:stretch>
                  </pic:blipFill>
                  <pic:spPr bwMode="auto">
                    <a:xfrm>
                      <a:off x="0" y="0"/>
                      <a:ext cx="4000500" cy="1972945"/>
                    </a:xfrm>
                    <a:prstGeom prst="rect">
                      <a:avLst/>
                    </a:prstGeom>
                  </pic:spPr>
                </pic:pic>
              </a:graphicData>
            </a:graphic>
          </wp:anchor>
        </w:drawing>
      </w:r>
      <w:r>
        <mc:AlternateContent>
          <mc:Choice Requires="wps">
            <w:drawing>
              <wp:anchor behindDoc="0" distT="0" distB="0" distL="114935" distR="114935" simplePos="0" locked="0" layoutInCell="0" allowOverlap="1" relativeHeight="32">
                <wp:simplePos x="0" y="0"/>
                <wp:positionH relativeFrom="column">
                  <wp:posOffset>4394835</wp:posOffset>
                </wp:positionH>
                <wp:positionV relativeFrom="paragraph">
                  <wp:posOffset>1907540</wp:posOffset>
                </wp:positionV>
                <wp:extent cx="800100" cy="228600"/>
                <wp:effectExtent l="0" t="0" r="0" b="0"/>
                <wp:wrapNone/>
                <wp:docPr id="41" name="Frame13"/>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50.2pt;mso-position-vertical-relative:text;margin-left:346.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To use the scanner for Events data entry, TELEform-Reader must be started by clicking on the icon on your desktop.  Once it is running, do the following:</w:t>
      </w:r>
    </w:p>
    <w:p>
      <w:pPr>
        <w:pStyle w:val="Header"/>
        <w:tabs>
          <w:tab w:val="clear" w:pos="4320"/>
          <w:tab w:val="clear" w:pos="8640"/>
        </w:tabs>
        <w:rPr/>
      </w:pPr>
      <w:r>
        <w:rPr/>
      </w:r>
    </w:p>
    <w:p>
      <w:pPr>
        <w:pStyle w:val="Header"/>
        <w:numPr>
          <w:ilvl w:val="0"/>
          <w:numId w:val="36"/>
        </w:numPr>
        <w:tabs>
          <w:tab w:val="clear" w:pos="4320"/>
          <w:tab w:val="clear" w:pos="8640"/>
        </w:tabs>
        <w:ind w:left="720" w:right="1872" w:hanging="360"/>
        <w:rPr/>
      </w:pPr>
      <w:r>
        <w:rPr/>
        <w:t>Look for pages that are physically damaged or have corners turned up, double check the forms for missing pages, and make sure all the pages are facing up</w:t>
      </w:r>
    </w:p>
    <w:p>
      <w:pPr>
        <w:pStyle w:val="Header"/>
        <w:numPr>
          <w:ilvl w:val="0"/>
          <w:numId w:val="15"/>
        </w:numPr>
        <w:tabs>
          <w:tab w:val="clear" w:pos="4320"/>
          <w:tab w:val="clear" w:pos="8640"/>
        </w:tabs>
        <w:ind w:left="720" w:right="1872" w:hanging="360"/>
        <w:rPr/>
      </w:pPr>
      <w:r>
        <w:rPr/>
        <w:t xml:space="preserve">Place the forms face up on the </w:t>
      </w:r>
      <w:r>
        <w:rPr>
          <w:i/>
        </w:rPr>
        <w:t>document table</w:t>
      </w:r>
      <w:r>
        <w:rPr/>
        <w:t xml:space="preserve"> and push the stack gently towards the rear of the table so that the all the pages are under the two white plastic flaps</w:t>
      </w:r>
    </w:p>
    <w:p>
      <w:pPr>
        <w:pStyle w:val="Header"/>
        <w:numPr>
          <w:ilvl w:val="0"/>
          <w:numId w:val="15"/>
        </w:numPr>
        <w:tabs>
          <w:tab w:val="clear" w:pos="4320"/>
          <w:tab w:val="clear" w:pos="8640"/>
        </w:tabs>
        <w:ind w:left="720" w:right="1872" w:hanging="360"/>
        <w:rPr/>
      </w:pPr>
      <w:r>
        <w:rPr/>
        <w:t xml:space="preserve">TELEform-Reader periodically checks the </w:t>
      </w:r>
      <w:r>
        <w:rPr>
          <w:i/>
        </w:rPr>
        <w:t>document table</w:t>
      </w:r>
      <w:r>
        <w:rPr/>
        <w:t xml:space="preserve"> on the scanner and so within a few seconds, the scanner will start scanning the pages automatically</w:t>
      </w:r>
    </w:p>
    <w:p>
      <w:pPr>
        <w:pStyle w:val="Header"/>
        <w:numPr>
          <w:ilvl w:val="0"/>
          <w:numId w:val="15"/>
        </w:numPr>
        <w:tabs>
          <w:tab w:val="clear" w:pos="4320"/>
          <w:tab w:val="clear" w:pos="8640"/>
        </w:tabs>
        <w:ind w:left="720" w:right="1872" w:hanging="360"/>
        <w:rPr/>
      </w:pPr>
      <w:r>
        <w:rPr/>
        <w:t xml:space="preserve">When all the pages have been scanned and returned to the </w:t>
      </w:r>
      <w:r>
        <w:rPr>
          <w:i/>
        </w:rPr>
        <w:t>exit table,</w:t>
      </w:r>
      <w:r>
        <w:rPr/>
        <w:t xml:space="preserve"> remove the pages from the scanner</w:t>
      </w:r>
    </w:p>
    <w:p>
      <w:pPr>
        <w:pStyle w:val="Header"/>
        <w:numPr>
          <w:ilvl w:val="0"/>
          <w:numId w:val="15"/>
        </w:numPr>
        <w:tabs>
          <w:tab w:val="clear" w:pos="4320"/>
          <w:tab w:val="clear" w:pos="8640"/>
        </w:tabs>
        <w:ind w:left="720" w:right="1872" w:hanging="360"/>
        <w:rPr/>
      </w:pPr>
      <w:r>
        <w:rPr/>
        <w:t>Repeat the above steps until all the forms have been scanned</w:t>
      </w:r>
    </w:p>
    <w:p>
      <w:pPr>
        <w:pStyle w:val="Header"/>
        <w:tabs>
          <w:tab w:val="clear" w:pos="4320"/>
          <w:tab w:val="clear" w:pos="8640"/>
        </w:tabs>
        <w:rPr/>
      </w:pPr>
      <w:r>
        <w:rPr/>
        <w:t xml:space="preserve">The </w:t>
      </w:r>
      <w:r>
        <w:rPr>
          <w:i/>
        </w:rPr>
        <w:t>document table</w:t>
      </w:r>
      <w:r>
        <w:rPr/>
        <w:t xml:space="preserve"> only holds about a half inch stack of pages and so if you have more forms than will fit at one time, split up the stack (making sure that you don’t split up a form) and scan in smaller batches.  </w:t>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4">
            <wp:simplePos x="0" y="0"/>
            <wp:positionH relativeFrom="column">
              <wp:posOffset>2194560</wp:posOffset>
            </wp:positionH>
            <wp:positionV relativeFrom="paragraph">
              <wp:posOffset>113030</wp:posOffset>
            </wp:positionV>
            <wp:extent cx="1152525" cy="266700"/>
            <wp:effectExtent l="0" t="0" r="0" b="0"/>
            <wp:wrapNone/>
            <wp:docPr id="4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 descr=""/>
                    <pic:cNvPicPr>
                      <a:picLocks noChangeAspect="1" noChangeArrowheads="1"/>
                    </pic:cNvPicPr>
                  </pic:nvPicPr>
                  <pic:blipFill>
                    <a:blip r:embed="rId186"/>
                    <a:srcRect l="-31" t="-135" r="-31" b="-135"/>
                    <a:stretch>
                      <a:fillRect/>
                    </a:stretch>
                  </pic:blipFill>
                  <pic:spPr bwMode="auto">
                    <a:xfrm>
                      <a:off x="0" y="0"/>
                      <a:ext cx="1152525" cy="266700"/>
                    </a:xfrm>
                    <a:prstGeom prst="rect">
                      <a:avLst/>
                    </a:prstGeom>
                  </pic:spPr>
                </pic:pic>
              </a:graphicData>
            </a:graphic>
          </wp:anchor>
        </w:drawing>
      </w:r>
      <w:r>
        <mc:AlternateContent>
          <mc:Choice Requires="wps">
            <w:drawing>
              <wp:anchor behindDoc="0" distT="0" distB="0" distL="114935" distR="114935" simplePos="0" locked="0" layoutInCell="0" allowOverlap="1" relativeHeight="35">
                <wp:simplePos x="0" y="0"/>
                <wp:positionH relativeFrom="column">
                  <wp:posOffset>1188720</wp:posOffset>
                </wp:positionH>
                <wp:positionV relativeFrom="paragraph">
                  <wp:posOffset>113030</wp:posOffset>
                </wp:positionV>
                <wp:extent cx="914400" cy="228600"/>
                <wp:effectExtent l="0" t="0" r="0" b="0"/>
                <wp:wrapNone/>
                <wp:docPr id="43" name="Frame14"/>
                <a:graphic xmlns:a="http://schemas.openxmlformats.org/drawingml/2006/main">
                  <a:graphicData uri="http://schemas.microsoft.com/office/word/2010/wordprocessingShape">
                    <wps:wsp>
                      <wps:cNvSpPr txBox="1"/>
                      <wps:spPr>
                        <a:xfrm>
                          <a:off x="0" y="0"/>
                          <a:ext cx="9144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72pt;height:18pt;mso-wrap-distance-left:9.05pt;mso-wrap-distance-right:9.05pt;mso-wrap-distance-top:0pt;mso-wrap-distance-bottom:0pt;margin-top:8.9pt;mso-position-vertical-relative:text;margin-left:93.6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b/>
          <w:b/>
        </w:rPr>
      </w:pPr>
      <w:r>
        <w:rPr>
          <w:b/>
        </w:rPr>
        <w:t>Important:</w:t>
      </w:r>
    </w:p>
    <w:p>
      <w:pPr>
        <w:pStyle w:val="Header"/>
        <w:tabs>
          <w:tab w:val="clear" w:pos="4320"/>
          <w:tab w:val="clear" w:pos="8640"/>
        </w:tabs>
        <w:rPr>
          <w:b/>
          <w:b/>
        </w:rPr>
      </w:pPr>
      <w:r>
        <w:rPr>
          <w:b/>
        </w:rPr>
      </w:r>
    </w:p>
    <w:p>
      <w:pPr>
        <w:pStyle w:val="Header"/>
        <w:tabs>
          <w:tab w:val="clear" w:pos="4320"/>
          <w:tab w:val="clear" w:pos="8640"/>
        </w:tabs>
        <w:rPr/>
      </w:pPr>
      <w:r>
        <w:rPr/>
        <w:t xml:space="preserve">Each page has corner marks that must be unobstructed for TELEform to properly interpret the page; TELEform uses these marks to determine the relative locations of the data-entry areas.  An identification number that appears at the lower left hand corner of the form also needs to be visible.  Check all the pages to make sure there are no folded corners or extraneous marks or smudges that hide any of the corner marks or the identification number.  </w:t>
      </w:r>
    </w:p>
    <w:p>
      <w:pPr>
        <w:pStyle w:val="Header"/>
        <w:tabs>
          <w:tab w:val="clear" w:pos="4320"/>
          <w:tab w:val="clear" w:pos="8640"/>
        </w:tabs>
        <w:rPr/>
      </w:pPr>
      <w:r>
        <w:rPr/>
        <w:t xml:space="preserve"> </w:t>
      </w:r>
    </w:p>
    <w:p>
      <w:pPr>
        <w:pStyle w:val="Header"/>
        <w:tabs>
          <w:tab w:val="clear" w:pos="4320"/>
          <w:tab w:val="clear" w:pos="8640"/>
        </w:tabs>
        <w:rPr/>
      </w:pPr>
      <w:r>
        <w:rPr/>
        <w:t>If a page is too badly damaged or is illegible, it may be better to just reprint the entire form and transfer the information on the damaged page to the new page; this new page can then replace the bad one.</w:t>
      </w:r>
    </w:p>
    <w:p>
      <w:pPr>
        <w:pStyle w:val="Normal"/>
        <w:rPr/>
      </w:pPr>
      <w:r>
        <w:rPr/>
      </w:r>
    </w:p>
    <w:p>
      <w:pPr>
        <w:pStyle w:val="Header"/>
        <w:tabs>
          <w:tab w:val="clear" w:pos="4320"/>
          <w:tab w:val="clear" w:pos="8640"/>
        </w:tabs>
        <w:rPr/>
      </w:pPr>
      <w:r>
        <w:rPr/>
        <w:t>6.3.2 Evaluating (or “Verifying”) Forms</w:t>
      </w:r>
    </w:p>
    <w:p>
      <w:pPr>
        <w:pStyle w:val="Header"/>
        <w:tabs>
          <w:tab w:val="clear" w:pos="4320"/>
          <w:tab w:val="clear" w:pos="8640"/>
        </w:tabs>
        <w:rPr/>
      </w:pPr>
      <w:r>
        <w:rPr/>
      </w:r>
    </w:p>
    <w:p>
      <w:pPr>
        <w:pStyle w:val="Header"/>
        <w:tabs>
          <w:tab w:val="clear" w:pos="4320"/>
          <w:tab w:val="clear" w:pos="8640"/>
        </w:tabs>
        <w:rPr/>
      </w:pPr>
      <w:r>
        <w:rPr/>
        <w:t>TELEform-Reader, shown in Figure 2.4, processes the scanned images unattended; after all the forms have been fed through the scanner, you simply wait until TELEform-Reader finishes the evaluations.  If the scanned image(s) is recognized as a form defined in TELEform, TELEform-Reader interprets the contents in each response area and flags for review those values that are illegible.  A value that is set as invalid because of a validation script, range violation, or any other reason is flagged for review.  TELEform-Reader also checks if the correct number of pages were scanned for a particular form.</w:t>
      </w:r>
    </w:p>
    <w:p>
      <w:pPr>
        <w:pStyle w:val="Header"/>
        <w:tabs>
          <w:tab w:val="clear" w:pos="4320"/>
          <w:tab w:val="clear" w:pos="8640"/>
        </w:tabs>
        <w:rPr/>
      </w:pPr>
      <w:r>
        <w:rPr/>
      </w:r>
    </w:p>
    <w:p>
      <w:pPr>
        <w:pStyle w:val="Header"/>
        <w:tabs>
          <w:tab w:val="clear" w:pos="4320"/>
          <w:tab w:val="clear" w:pos="8640"/>
        </w:tabs>
        <w:rPr/>
      </w:pPr>
      <w:r>
        <w:rPr/>
        <w:t>You can check TELEform-Reader’s progress by looking at the lower left corner of the program’s window for a message in the form of “Evaluating page x of n”, where x is the current page being evaluated and n is the total number of pages that were scanned and need to be evaluated.  When the last scanned images have been evaluated (the message “Idle” will be displayed in the lower left corner), you can proceed to the verifying phase of data entry.</w:t>
      </w:r>
    </w:p>
    <w:p>
      <w:pPr>
        <w:pStyle w:val="Header"/>
        <w:tabs>
          <w:tab w:val="clear" w:pos="4320"/>
          <w:tab w:val="clear" w:pos="8640"/>
        </w:tabs>
        <w:rPr/>
      </w:pPr>
      <w:r>
        <w:rPr/>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7">
            <wp:simplePos x="0" y="0"/>
            <wp:positionH relativeFrom="column">
              <wp:posOffset>965835</wp:posOffset>
            </wp:positionH>
            <wp:positionV relativeFrom="paragraph">
              <wp:posOffset>224155</wp:posOffset>
            </wp:positionV>
            <wp:extent cx="4197350" cy="2771140"/>
            <wp:effectExtent l="0" t="0" r="0" b="0"/>
            <wp:wrapTopAndBottom/>
            <wp:docPr id="4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 descr=""/>
                    <pic:cNvPicPr>
                      <a:picLocks noChangeAspect="1" noChangeArrowheads="1"/>
                    </pic:cNvPicPr>
                  </pic:nvPicPr>
                  <pic:blipFill>
                    <a:blip r:embed="rId187"/>
                    <a:srcRect l="-7" t="-11" r="-7" b="-11"/>
                    <a:stretch>
                      <a:fillRect/>
                    </a:stretch>
                  </pic:blipFill>
                  <pic:spPr bwMode="auto">
                    <a:xfrm>
                      <a:off x="0" y="0"/>
                      <a:ext cx="4197350" cy="2771140"/>
                    </a:xfrm>
                    <a:prstGeom prst="rect">
                      <a:avLst/>
                    </a:prstGeom>
                  </pic:spPr>
                </pic:pic>
              </a:graphicData>
            </a:graphic>
          </wp:anchor>
        </w:drawing>
      </w:r>
      <w:r>
        <mc:AlternateContent>
          <mc:Choice Requires="wps">
            <w:drawing>
              <wp:anchor behindDoc="0" distT="0" distB="0" distL="114935" distR="114935" simplePos="0" locked="0" layoutInCell="0" allowOverlap="1" relativeHeight="38">
                <wp:simplePos x="0" y="0"/>
                <wp:positionH relativeFrom="column">
                  <wp:posOffset>51435</wp:posOffset>
                </wp:positionH>
                <wp:positionV relativeFrom="paragraph">
                  <wp:posOffset>224155</wp:posOffset>
                </wp:positionV>
                <wp:extent cx="800100" cy="228600"/>
                <wp:effectExtent l="0" t="0" r="0" b="0"/>
                <wp:wrapNone/>
                <wp:docPr id="45" name="Frame15"/>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7.65pt;mso-position-vertical-relative:text;margin-left:4.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b/>
          <w:b/>
          <w:i/>
          <w:i/>
        </w:rPr>
      </w:pPr>
      <w:r>
        <w:rPr>
          <w:b/>
          <w:i/>
        </w:rPr>
        <w:t>6.3.2.1 List of scanned images and status of each image</w:t>
      </w:r>
    </w:p>
    <w:p>
      <w:pPr>
        <w:pStyle w:val="Header"/>
        <w:tabs>
          <w:tab w:val="clear" w:pos="4320"/>
          <w:tab w:val="clear" w:pos="8640"/>
        </w:tabs>
        <w:rPr>
          <w:b/>
          <w:b/>
          <w:i/>
          <w:i/>
        </w:rPr>
      </w:pPr>
      <w:r>
        <w:rPr>
          <w:b/>
          <w:i/>
        </w:rPr>
      </w:r>
    </w:p>
    <w:p>
      <w:pPr>
        <w:pStyle w:val="Header"/>
        <w:tabs>
          <w:tab w:val="clear" w:pos="4320"/>
          <w:tab w:val="clear" w:pos="8640"/>
        </w:tabs>
        <w:rPr/>
      </w:pPr>
      <w:r>
        <w:rPr/>
        <w:t>After TELEform-Reader has finished evaluating all the forms, start TELEform-Verifier is it is not already running.   Look at the “Image Management Dialog” window within TELEform-Verifier () shown in Figure 2.5 and confirm that all the forms have been evaluated by checking if all the forms are listed here.  Although the information in the dialog window is updated regularly, you may need to press the button “Reload” to get the most recent information displayed.</w:t>
      </w:r>
    </w:p>
    <w:p>
      <w:pPr>
        <w:pStyle w:val="Header"/>
        <w:tabs>
          <w:tab w:val="clear" w:pos="4320"/>
          <w:tab w:val="clear" w:pos="8640"/>
        </w:tabs>
        <w:rPr/>
      </w:pPr>
      <w:r>
        <w:rPr/>
      </w:r>
    </w:p>
    <w:p>
      <w:pPr>
        <w:pStyle w:val="Header"/>
        <w:tabs>
          <w:tab w:val="clear" w:pos="4320"/>
          <w:tab w:val="clear" w:pos="8640"/>
        </w:tabs>
        <w:rPr/>
      </w:pPr>
      <w:r>
        <w:rPr/>
        <w:t xml:space="preserve">In the lower left corner of the dialog window, is a section labeled “Forms”; this section lists the names of all forms for which the images of the scanned pages have been evaluated and are currently stored.  If a form name is listed, then there are one or </w:t>
      </w:r>
      <w:r>
        <w:rPr>
          <w:i/>
        </w:rPr>
        <w:t>more</w:t>
      </w:r>
      <w:r>
        <w:rPr/>
        <w:t xml:space="preserve"> forms of that type that need to be verified.   When you click a form name, the “Stored Images” box will have a list of all the forms of that type and will display for each form the date that it was scanned and its current status.</w:t>
      </w:r>
    </w:p>
    <w:p>
      <w:pPr>
        <w:pStyle w:val="Header"/>
        <w:tabs>
          <w:tab w:val="clear" w:pos="4320"/>
          <w:tab w:val="clear" w:pos="8640"/>
        </w:tabs>
        <w:rPr/>
      </w:pPr>
      <w:r>
        <w:rPr/>
      </w:r>
    </w:p>
    <w:p>
      <w:pPr>
        <w:pStyle w:val="Header"/>
        <w:tabs>
          <w:tab w:val="clear" w:pos="4320"/>
          <w:tab w:val="clear" w:pos="8640"/>
        </w:tabs>
        <w:rPr/>
      </w:pPr>
      <w:r>
        <w:rPr/>
        <w:t xml:space="preserve">A status of “Needs Review” means that the form needs to be verified because of invalid or illegible responses.  Note that some forms have been set up so that there is one or more fields that will always need to be reviewed, and so a form could have a status of “Needs Review” after the evaluation process even if there are no invalid or illegible responses on that form.  In any case, click a form listed in the “Stored Images” box to verify it. </w:t>
      </w:r>
    </w:p>
    <w:p>
      <w:pPr>
        <w:pStyle w:val="Header"/>
        <w:tabs>
          <w:tab w:val="clear" w:pos="4320"/>
          <w:tab w:val="clear" w:pos="8640"/>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er"/>
        <w:tabs>
          <w:tab w:val="clear" w:pos="4320"/>
          <w:tab w:val="clear" w:pos="8640"/>
        </w:tabs>
        <w:rPr/>
      </w:pPr>
      <w:r>
        <w:rPr/>
      </w:r>
    </w:p>
    <w:p>
      <w:pPr>
        <w:pStyle w:val="Header"/>
        <w:tabs>
          <w:tab w:val="clear" w:pos="4320"/>
          <w:tab w:val="clear" w:pos="8640"/>
        </w:tabs>
        <w:rPr/>
      </w:pPr>
      <w:r>
        <w:rPr/>
        <w:t>If a form is missing one or more pages, the status “Missing pages” will be shown.  This happens if a form was scanned without one or more pages, or if the pages of a form were separated by other forms in a stack of forms and were scanned.</w:t>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40">
                <wp:simplePos x="0" y="0"/>
                <wp:positionH relativeFrom="column">
                  <wp:posOffset>737235</wp:posOffset>
                </wp:positionH>
                <wp:positionV relativeFrom="page">
                  <wp:posOffset>5717540</wp:posOffset>
                </wp:positionV>
                <wp:extent cx="800100" cy="228600"/>
                <wp:effectExtent l="0" t="0" r="0" b="0"/>
                <wp:wrapNone/>
                <wp:docPr id="46" name="Frame16"/>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450.2pt;mso-position-vertical-relative:page;margin-left:58.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t xml:space="preserve">If TELEform Reader was unable to determine to which form a particular page belongs, such pages will be listed in the “Forms” section as a “NONFORM”.  This could occur for several different reasons: </w:t>
      </w:r>
    </w:p>
    <w:p>
      <w:pPr>
        <w:pStyle w:val="Header"/>
        <w:tabs>
          <w:tab w:val="clear" w:pos="4320"/>
          <w:tab w:val="clear" w:pos="8640"/>
        </w:tabs>
        <w:rPr/>
      </w:pPr>
      <w:r>
        <w:rPr/>
      </w:r>
    </w:p>
    <w:p>
      <w:pPr>
        <w:pStyle w:val="Header"/>
        <w:numPr>
          <w:ilvl w:val="0"/>
          <w:numId w:val="11"/>
        </w:numPr>
        <w:tabs>
          <w:tab w:val="clear" w:pos="4320"/>
          <w:tab w:val="clear" w:pos="8640"/>
        </w:tabs>
        <w:rPr/>
      </w:pPr>
      <w:r>
        <w:rPr/>
        <w:t>A page was placed on the scanner tray face down and the backside of the page was scanned.</w:t>
      </w:r>
    </w:p>
    <w:p>
      <w:pPr>
        <w:pStyle w:val="Header"/>
        <w:numPr>
          <w:ilvl w:val="0"/>
          <w:numId w:val="11"/>
        </w:numPr>
        <w:tabs>
          <w:tab w:val="clear" w:pos="4320"/>
          <w:tab w:val="clear" w:pos="8640"/>
        </w:tabs>
        <w:rPr/>
      </w:pPr>
      <w:r>
        <w:rPr/>
        <w:t>One or more of the four reference marks or the form’s identification number on a form page was obscured in some way.</w:t>
      </w:r>
    </w:p>
    <w:p>
      <w:pPr>
        <w:pStyle w:val="Header"/>
        <w:numPr>
          <w:ilvl w:val="0"/>
          <w:numId w:val="11"/>
        </w:numPr>
        <w:tabs>
          <w:tab w:val="clear" w:pos="4320"/>
          <w:tab w:val="clear" w:pos="8640"/>
        </w:tabs>
        <w:rPr/>
      </w:pPr>
      <w:r>
        <w:rPr/>
        <w:t>A form that was not a TELEform form was scanned.</w: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If there are any “NONFORMS” listed, you can view one of these unrecognized forms by opening it (double clicking on the form).  After you have determined which page (or pages) were not recognized you can remove the image of the unrecognized form from memory by choosing “File” and then “Delete”.</w:t>
      </w:r>
    </w:p>
    <w:p>
      <w:pPr>
        <w:pStyle w:val="Header"/>
        <w:tabs>
          <w:tab w:val="clear" w:pos="4320"/>
          <w:tab w:val="clear" w:pos="8640"/>
        </w:tabs>
        <w:rPr/>
      </w:pPr>
      <w:r>
        <w:rPr/>
      </w:r>
    </w:p>
    <w:p>
      <w:pPr>
        <w:pStyle w:val="Header"/>
        <w:tabs>
          <w:tab w:val="clear" w:pos="4320"/>
          <w:tab w:val="clear" w:pos="8640"/>
        </w:tabs>
        <w:rPr/>
      </w:pPr>
      <w:r>
        <w:rPr/>
        <w:t>Sometimes when a “NONFORM” is listed, a recognized form may have a status “Missing Pages”.  When this occurs, determine if the unrecognized pages belong to the form with missing pages, and if so, remove that recognized form’s image (File:Delete menu option) and rescan the entire form if the problem with the unrecognized pages can be fixed in some way;  for example, a folded page that was not initially recognized can be straightened out and rescanned with the other pages of the form.</w:t>
      </w:r>
    </w:p>
    <w:p>
      <w:pPr>
        <w:pStyle w:val="Header"/>
        <w:tabs>
          <w:tab w:val="clear" w:pos="4320"/>
          <w:tab w:val="clear" w:pos="8640"/>
        </w:tabs>
        <w:rPr/>
      </w:pPr>
      <w:r>
        <w:rPr/>
      </w:r>
    </w:p>
    <w:p>
      <w:pPr>
        <w:pStyle w:val="Header"/>
        <w:tabs>
          <w:tab w:val="clear" w:pos="4320"/>
          <w:tab w:val="clear" w:pos="8640"/>
        </w:tabs>
        <w:rPr>
          <w:b/>
          <w:b/>
          <w:i/>
          <w:i/>
        </w:rPr>
      </w:pPr>
      <w:r>
        <w:rPr>
          <w:b/>
          <w:i/>
        </w:rPr>
        <w:t>6.3.2.2 Making corrections</w:t>
      </w:r>
    </w:p>
    <w:p>
      <w:pPr>
        <w:pStyle w:val="Header"/>
        <w:tabs>
          <w:tab w:val="clear" w:pos="4320"/>
          <w:tab w:val="clear" w:pos="8640"/>
        </w:tabs>
        <w:rPr>
          <w:b/>
          <w:b/>
          <w:i/>
          <w:i/>
        </w:rPr>
      </w:pPr>
      <w:r>
        <w:rPr>
          <w:b/>
          <w:i/>
        </w:rPr>
      </w:r>
    </w:p>
    <w:p>
      <w:pPr>
        <w:pStyle w:val="Header"/>
        <w:tabs>
          <w:tab w:val="clear" w:pos="4320"/>
          <w:tab w:val="clear" w:pos="8640"/>
        </w:tabs>
        <w:rPr/>
      </w:pPr>
      <w:r>
        <w:rPr/>
        <w:t>To make corrections or review a scanned form, select a form that is listed in the section “Stored Images” and click the “Correct” button - double clicking on the form will accomplish the same thing.  A window will open allowing you to view and verify a form.</w:t>
      </w:r>
    </w:p>
    <w:p>
      <w:pPr>
        <w:pStyle w:val="Header"/>
        <w:tabs>
          <w:tab w:val="clear" w:pos="4320"/>
          <w:tab w:val="clear" w:pos="8640"/>
        </w:tabs>
        <w:rPr/>
      </w:pPr>
      <w:r>
        <w:rPr/>
      </w:r>
    </w:p>
    <w:p>
      <w:pPr>
        <w:pStyle w:val="Normal"/>
        <w:rPr/>
      </w:pPr>
      <w:r>
        <w:rPr/>
        <w:object w:dxaOrig="9586" w:dyaOrig="7681">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81.3pt;height:225.4pt" filled="f" o:ole="">
            <v:imagedata r:id="rId189" o:title=""/>
          </v:shape>
          <o:OLEObject Type="Embed" ProgID="" ShapeID="ole_rId188" DrawAspect="Content" ObjectID="_1557046498" r:id="rId188"/>
        </w:object>
      </w:r>
    </w:p>
    <w:p>
      <w:pPr>
        <w:pStyle w:val="Header"/>
        <w:tabs>
          <w:tab w:val="clear" w:pos="4320"/>
          <w:tab w:val="clear" w:pos="8640"/>
        </w:tabs>
        <w:rPr/>
      </w:pPr>
      <w:r>
        <w:rPr/>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43">
                <wp:simplePos x="0" y="0"/>
                <wp:positionH relativeFrom="column">
                  <wp:posOffset>280035</wp:posOffset>
                </wp:positionH>
                <wp:positionV relativeFrom="paragraph">
                  <wp:posOffset>274955</wp:posOffset>
                </wp:positionV>
                <wp:extent cx="800100" cy="228600"/>
                <wp:effectExtent l="0" t="0" r="0" b="0"/>
                <wp:wrapNone/>
                <wp:docPr id="47" name="Frame17"/>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21.65pt;mso-position-vertical-relative:text;margin-left:22.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Figure 2.6 shows a scanned form in verify mode.  The upper pane displays the image of the form with the current field highlighted (in this example the current field is “Visit Date”), and the lower pane shows the field as it appears on the form’s image and has space right below the scanned value where corrections can be made.  At the very bottom is an area that displays any messages about the currently highlighted field; note that the message for “Visit Date” is “Always Review” and a field defined as such will require that it be verified it even if TELEform Reader evaluated the field as being ok</w:t>
      </w:r>
    </w:p>
    <w:p>
      <w:pPr>
        <w:pStyle w:val="Header"/>
        <w:tabs>
          <w:tab w:val="clear" w:pos="4320"/>
          <w:tab w:val="clear" w:pos="8640"/>
        </w:tabs>
        <w:rPr/>
      </w:pPr>
      <w:r>
        <w:rPr/>
      </w:r>
    </w:p>
    <w:p>
      <w:pPr>
        <w:pStyle w:val="Header"/>
        <w:tabs>
          <w:tab w:val="clear" w:pos="4320"/>
          <w:tab w:val="clear" w:pos="8640"/>
        </w:tabs>
        <w:rPr/>
      </w:pPr>
      <w:r>
        <w:rPr/>
        <w:t>Use the TAB key to move to the next field that needs verifying, or press SHIFT+TAB (press the TAB key while holding down the SHIFT key) to move to the previous field that needs verifying.  Press the keys CONTROL+TAB to move to the next field that needs or doesn’t need verifying.  You can also use the mouse to move to any field on the form that you want to review and/or edit by moving the pointer on the field and then “double-clicking”.</w:t>
      </w:r>
    </w:p>
    <w:p>
      <w:pPr>
        <w:pStyle w:val="Header"/>
        <w:tabs>
          <w:tab w:val="clear" w:pos="4320"/>
          <w:tab w:val="clear" w:pos="8640"/>
        </w:tabs>
        <w:rPr/>
      </w:pPr>
      <w:r>
        <w:rPr/>
      </w:r>
    </w:p>
    <w:p>
      <w:pPr>
        <w:pStyle w:val="Header"/>
        <w:tabs>
          <w:tab w:val="clear" w:pos="4320"/>
          <w:tab w:val="clear" w:pos="8640"/>
        </w:tabs>
        <w:rPr/>
      </w:pPr>
      <w:r>
        <w:rPr/>
        <w:t>Any character that TELEform-Reader is not sure about is highlighted in red, and any unrecognized character is noted as a tilde, “~”.  For such characters, you would type in the correct value or accept TELEform’s best guess by typing the “=” key.  You can use the left or right arrow keys (or the mouse) to move the cursor to the character you want to correct.  For option fields (i.e. 0-No 1-Yes 9-Unknown), you can set or clear a choice by moving the cursor to the choice and pressing the spacebar or you can use the mouse to select/unselect a choice.</w:t>
      </w:r>
    </w:p>
    <w:p>
      <w:pPr>
        <w:pStyle w:val="Header"/>
        <w:tabs>
          <w:tab w:val="clear" w:pos="4320"/>
          <w:tab w:val="clear" w:pos="8640"/>
        </w:tabs>
        <w:rPr/>
      </w:pPr>
      <w:r>
        <w:rPr/>
      </w:r>
    </w:p>
    <w:p>
      <w:pPr>
        <w:pStyle w:val="Header"/>
        <w:tabs>
          <w:tab w:val="clear" w:pos="4320"/>
          <w:tab w:val="clear" w:pos="8640"/>
        </w:tabs>
        <w:rPr/>
      </w:pPr>
      <w:r>
        <w:rPr/>
        <w:t>During the process of verifying a scanned image, if there is a field that needs review and you cannot correct the interpreted value without consulting with a person who is unavailable, you can cancel the verify process by closing and not saving the current form (choose “File” and then “Close”).  The image file for the form will remain on the hard drive and will continue to be listed in the “Stored Images” section along with the other unverified forms.  After you have obtained the needed information, you can verify the form as you would any other form.</w:t>
      </w:r>
    </w:p>
    <w:p>
      <w:pPr>
        <w:pStyle w:val="Header"/>
        <w:tabs>
          <w:tab w:val="clear" w:pos="4320"/>
          <w:tab w:val="clear" w:pos="8640"/>
        </w:tabs>
        <w:rPr/>
      </w:pPr>
      <w:r>
        <w:rPr/>
        <w:t xml:space="preserve"> </w:t>
      </w:r>
    </w:p>
    <w:p>
      <w:pPr>
        <w:pStyle w:val="Header"/>
        <w:tabs>
          <w:tab w:val="clear" w:pos="4320"/>
          <w:tab w:val="clear" w:pos="8640"/>
        </w:tabs>
        <w:rPr/>
      </w:pPr>
      <w:r>
        <w:rPr/>
      </w:r>
    </w:p>
    <w:p>
      <w:pPr>
        <w:pStyle w:val="Header"/>
        <w:tabs>
          <w:tab w:val="clear" w:pos="4320"/>
          <w:tab w:val="clear" w:pos="8640"/>
        </w:tabs>
        <w:rPr/>
      </w:pPr>
      <w:r>
        <w:drawing>
          <wp:anchor behindDoc="0" distT="0" distB="0" distL="114935" distR="114935" simplePos="0" locked="0" layoutInCell="0" allowOverlap="1" relativeHeight="42">
            <wp:simplePos x="0" y="0"/>
            <wp:positionH relativeFrom="column">
              <wp:posOffset>3366135</wp:posOffset>
            </wp:positionH>
            <wp:positionV relativeFrom="paragraph">
              <wp:posOffset>33020</wp:posOffset>
            </wp:positionV>
            <wp:extent cx="1801495" cy="1028700"/>
            <wp:effectExtent l="0" t="0" r="0" b="0"/>
            <wp:wrapSquare wrapText="bothSides"/>
            <wp:docPr id="4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 descr=""/>
                    <pic:cNvPicPr>
                      <a:picLocks noChangeAspect="1" noChangeArrowheads="1"/>
                    </pic:cNvPicPr>
                  </pic:nvPicPr>
                  <pic:blipFill>
                    <a:blip r:embed="rId190"/>
                    <a:srcRect l="-17" t="-32" r="-17" b="-32"/>
                    <a:stretch>
                      <a:fillRect/>
                    </a:stretch>
                  </pic:blipFill>
                  <pic:spPr bwMode="auto">
                    <a:xfrm>
                      <a:off x="0" y="0"/>
                      <a:ext cx="1801495" cy="1028700"/>
                    </a:xfrm>
                    <a:prstGeom prst="rect">
                      <a:avLst/>
                    </a:prstGeom>
                  </pic:spPr>
                </pic:pic>
              </a:graphicData>
            </a:graphic>
          </wp:anchor>
        </w:drawing>
        <w:drawing>
          <wp:anchor behindDoc="0" distT="0" distB="0" distL="114935" distR="114935" simplePos="0" locked="0" layoutInCell="0" allowOverlap="1" relativeHeight="45">
            <wp:simplePos x="0" y="0"/>
            <wp:positionH relativeFrom="column">
              <wp:posOffset>508635</wp:posOffset>
            </wp:positionH>
            <wp:positionV relativeFrom="page">
              <wp:posOffset>3660140</wp:posOffset>
            </wp:positionV>
            <wp:extent cx="3950335" cy="776605"/>
            <wp:effectExtent l="0" t="0" r="0" b="0"/>
            <wp:wrapTopAndBottom/>
            <wp:docPr id="4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 descr=""/>
                    <pic:cNvPicPr>
                      <a:picLocks noChangeAspect="1" noChangeArrowheads="1"/>
                    </pic:cNvPicPr>
                  </pic:nvPicPr>
                  <pic:blipFill>
                    <a:blip r:embed="rId191"/>
                    <a:srcRect l="-6" t="-30" r="-6" b="-30"/>
                    <a:stretch>
                      <a:fillRect/>
                    </a:stretch>
                  </pic:blipFill>
                  <pic:spPr bwMode="auto">
                    <a:xfrm>
                      <a:off x="0" y="0"/>
                      <a:ext cx="3950335" cy="776605"/>
                    </a:xfrm>
                    <a:prstGeom prst="rect">
                      <a:avLst/>
                    </a:prstGeom>
                  </pic:spPr>
                </pic:pic>
              </a:graphicData>
            </a:graphic>
          </wp:anchor>
        </w:drawing>
      </w:r>
      <w:r>
        <w:rPr/>
        <w:t>After you have corrected or confirmed all the fields that were flagged needing review, a prompt will appear (shown at right).  Press the “OK” button to save the corrections.  Doing so will cause the data to be automatically be stored in an external database.  If the data for a form already exists in the database, an ominous error message is displayed (shown below), and the data will not be saved to the database.</w:t>
      </w:r>
    </w:p>
    <w:p>
      <w:pPr>
        <w:pStyle w:val="Header"/>
        <w:tabs>
          <w:tab w:val="clear" w:pos="4320"/>
          <w:tab w:val="clear" w:pos="8640"/>
        </w:tabs>
        <w:rPr/>
      </w:pPr>
      <w:r>
        <w:rPr/>
      </w:r>
    </w:p>
    <w:p>
      <w:pPr>
        <w:pStyle w:val="Header"/>
        <w:tabs>
          <w:tab w:val="clear" w:pos="4320"/>
          <w:tab w:val="clear" w:pos="8640"/>
        </w:tabs>
        <w:rPr/>
      </w:pPr>
      <w:r>
        <w:rPr/>
        <w:t>If you get this message, you should confirm that the form has already been scanned.  If the form that generated the error message was previously scanned but contains new corrections, make the corrections using the Access program instead.  (See Section 6.5)</w:t>
      </w:r>
    </w:p>
    <w:p>
      <w:pPr>
        <w:pStyle w:val="Header"/>
        <w:tabs>
          <w:tab w:val="clear" w:pos="4320"/>
          <w:tab w:val="clear" w:pos="8640"/>
        </w:tabs>
        <w:rPr/>
      </w:pPr>
      <w:r>
        <w:rPr/>
      </w:r>
    </w:p>
    <w:p>
      <w:pPr>
        <w:pStyle w:val="Normal"/>
        <w:rPr/>
      </w:pPr>
      <w:r>
        <w:rPr/>
        <w:t>6.4 Using the Sample Database to initiate contacts with potential participants</w:t>
      </w:r>
    </w:p>
    <w:p>
      <w:pPr>
        <w:pStyle w:val="Normal"/>
        <w:rPr/>
      </w:pPr>
      <w:r>
        <w:rPr/>
      </w:r>
    </w:p>
    <w:p>
      <w:pPr>
        <w:pStyle w:val="Normal"/>
        <w:rPr/>
      </w:pPr>
      <w:r>
        <w:rPr/>
        <w:t xml:space="preserve">6.4 Entering Recruitment Status </w:t>
      </w:r>
    </w:p>
    <w:p>
      <w:pPr>
        <w:pStyle w:val="Normal"/>
        <w:rPr/>
      </w:pPr>
      <w:r>
        <w:rPr/>
      </w:r>
    </w:p>
    <w:p>
      <w:pPr>
        <w:pStyle w:val="Normal"/>
        <w:rPr/>
      </w:pPr>
      <w:r>
        <w:rPr/>
        <w:t>6.4.1 Overview</w:t>
      </w:r>
    </w:p>
    <w:p>
      <w:pPr>
        <w:pStyle w:val="Normal"/>
        <w:rPr/>
      </w:pPr>
      <w:r>
        <w:rPr/>
      </w:r>
    </w:p>
    <w:p>
      <w:pPr>
        <w:pStyle w:val="Normal"/>
        <w:rPr/>
      </w:pPr>
      <w:r>
        <w:rPr/>
        <w:t>Recruitment status needs to be tracked through several steps.  The easiest way to track this is to have the data in the computer so that lists can be easily compiled.  The steps in the recruitment process are outlined in general below, and then specific instructions for each step in the following sections.  (Note:  The first steps are different at UCLA.)</w:t>
      </w:r>
    </w:p>
    <w:p>
      <w:pPr>
        <w:pStyle w:val="Normal"/>
        <w:rPr/>
      </w:pPr>
      <w:r>
        <w:rPr/>
      </w:r>
    </w:p>
    <w:p>
      <w:pPr>
        <w:pStyle w:val="Normal"/>
        <w:rPr/>
      </w:pPr>
      <w:r>
        <w:rPr/>
        <w:t>1. Initial contact with households</w:t>
      </w:r>
    </w:p>
    <w:p>
      <w:pPr>
        <w:pStyle w:val="Normal"/>
        <w:rPr/>
      </w:pPr>
      <w:r>
        <w:rPr/>
      </w:r>
    </w:p>
    <w:p>
      <w:pPr>
        <w:pStyle w:val="Normal"/>
        <w:rPr/>
      </w:pPr>
      <w:r>
        <w:rPr/>
        <w:t>Select a sample from the Sample Database</w:t>
      </w:r>
    </w:p>
    <w:p>
      <w:pPr>
        <w:pStyle w:val="Normal"/>
        <w:rPr/>
      </w:pPr>
      <w:r>
        <w:rPr/>
        <w:t>Create letters and mail them to people in the sample</w:t>
      </w:r>
    </w:p>
    <w:p>
      <w:pPr>
        <w:pStyle w:val="Normal"/>
        <w:rPr/>
      </w:pPr>
      <w:r>
        <w:rPr/>
        <w:t>Attempt to contact each household via telephone or home visit\</w:t>
      </w:r>
    </w:p>
    <w:p>
      <w:pPr>
        <w:pStyle w:val="Normal"/>
        <w:rPr/>
      </w:pPr>
      <w:r>
        <w:rPr/>
        <w:t>Enter result of attempt to contact household</w:t>
      </w:r>
    </w:p>
    <w:p>
      <w:pPr>
        <w:pStyle w:val="Normal"/>
        <w:rPr/>
      </w:pPr>
      <w:r>
        <w:rPr/>
      </w:r>
    </w:p>
    <w:p>
      <w:pPr>
        <w:pStyle w:val="Normal"/>
        <w:rPr/>
      </w:pPr>
      <w:r>
        <w:rPr/>
        <w:t>Information on households is stored in the Sample Database.  Each record contains data for one household, which may consist of more than one individual person.  Contact results are entered into the Sample Database by household, not individual.</w:t>
      </w:r>
    </w:p>
    <w:p>
      <w:pPr>
        <w:pStyle w:val="Normal"/>
        <w:rPr/>
      </w:pPr>
      <w:r>
        <w:rPr/>
      </w:r>
    </w:p>
    <w:p>
      <w:pPr>
        <w:pStyle w:val="Normal"/>
        <w:rPr/>
      </w:pPr>
      <w:r>
        <w:rPr/>
        <w:t>2. Screening Questionnaire and Household Enumeration</w:t>
      </w:r>
    </w:p>
    <w:p>
      <w:pPr>
        <w:pStyle w:val="Normal"/>
        <w:rPr/>
      </w:pPr>
      <w:r>
        <w:rPr/>
      </w:r>
    </w:p>
    <w:p>
      <w:pPr>
        <w:pStyle w:val="Normal"/>
        <w:rPr/>
      </w:pPr>
      <w:r>
        <w:rPr/>
        <w:t>When a household is contacted, if an age- and language-eligible person resides there, the household will be enumerated onto a Household Enumeration form.  The household will be identified by a Household ID (see section 2.x), and each age- and language-eligible individual enumerated within the household will be assigned a Recruitment ID.  The Recruitment ID will consist of the Household ID followed by A, B, C, etc., to distinguish individuals within the household.</w:t>
      </w:r>
    </w:p>
    <w:p>
      <w:pPr>
        <w:pStyle w:val="Normal"/>
        <w:rPr/>
      </w:pPr>
      <w:r>
        <w:rPr/>
      </w:r>
    </w:p>
    <w:p>
      <w:pPr>
        <w:pStyle w:val="Normal"/>
        <w:rPr/>
      </w:pPr>
      <w:r>
        <w:rPr/>
        <w:t>Individuals who are eligible and willing to participate in MESA will set up a clinic visit appointment.</w:t>
      </w:r>
    </w:p>
    <w:p>
      <w:pPr>
        <w:pStyle w:val="Normal"/>
        <w:rPr/>
      </w:pPr>
      <w:r>
        <w:rPr/>
      </w:r>
    </w:p>
    <w:p>
      <w:pPr>
        <w:pStyle w:val="Normal"/>
        <w:rPr/>
      </w:pPr>
      <w:r>
        <w:rPr/>
        <w:t>3. Clinic Visit</w:t>
      </w:r>
    </w:p>
    <w:p>
      <w:pPr>
        <w:pStyle w:val="Normal"/>
        <w:rPr/>
      </w:pPr>
      <w:r>
        <w:rPr/>
      </w:r>
    </w:p>
    <w:p>
      <w:pPr>
        <w:pStyle w:val="Normal"/>
        <w:rPr/>
      </w:pPr>
      <w:r>
        <w:rPr/>
        <w:t xml:space="preserve">People who are eligible and willing to participate in MESA will complete clinic visits.  Additional appointments for CT scans and MRI scans will be set up during the clinic visit at most sites. (Some sites plan to do this differently, please refer to your site-specific instructions.)  Once the person has completed the clinic visit and the CT, he/she is officially a MESA participant. </w:t>
      </w:r>
    </w:p>
    <w:p>
      <w:pPr>
        <w:pStyle w:val="Normal"/>
        <w:rPr/>
      </w:pPr>
      <w:r>
        <w:rPr/>
      </w:r>
    </w:p>
    <w:p>
      <w:pPr>
        <w:pStyle w:val="Normal"/>
        <w:rPr/>
      </w:pPr>
      <w:r>
        <w:rPr/>
        <w:t xml:space="preserve">6.4.2 Specific Instructions </w:t>
      </w:r>
    </w:p>
    <w:p>
      <w:pPr>
        <w:pStyle w:val="Normal"/>
        <w:rPr/>
      </w:pPr>
      <w:r>
        <w:rPr/>
      </w:r>
    </w:p>
    <w:p>
      <w:pPr>
        <w:pStyle w:val="Normal"/>
        <w:rPr/>
      </w:pPr>
      <w:r>
        <w:rPr/>
        <w:t>When you click on the Sample Database icon, a menu will appear (see Figure below).</w:t>
      </w:r>
    </w:p>
    <w:p>
      <w:pPr>
        <w:pStyle w:val="Normal"/>
        <w:rPr/>
      </w:pPr>
      <w:r>
        <w:rPr/>
      </w:r>
    </w:p>
    <w:p>
      <w:pPr>
        <w:pStyle w:val="Normal"/>
        <w:rPr/>
      </w:pPr>
      <w:r>
        <w:rPr/>
        <w:object w:dxaOrig="8114" w:dyaOrig="596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357pt;height:262.6pt" filled="f" o:ole="">
            <v:imagedata r:id="rId193" o:title=""/>
          </v:shape>
          <o:OLEObject Type="Embed" ProgID="" ShapeID="ole_rId192" DrawAspect="Content" ObjectID="_1395225803" r:id="rId192"/>
        </w:object>
      </w:r>
    </w:p>
    <w:p>
      <w:pPr>
        <w:pStyle w:val="Normal"/>
        <w:rPr/>
      </w:pPr>
      <w:r>
        <w:rPr/>
      </w:r>
    </w:p>
    <w:p>
      <w:pPr>
        <w:pStyle w:val="Normal"/>
        <w:rPr/>
      </w:pPr>
      <w:r>
        <w:rPr/>
      </w:r>
    </w:p>
    <w:p>
      <w:pPr>
        <w:pStyle w:val="Normal"/>
        <w:rPr/>
      </w:pPr>
      <w:r>
        <w:rPr/>
        <w:t>To pull a new sample of potential participants out of the database, click on the button labeled “Pulling Samples.” (See Figure below.)</w:t>
      </w:r>
    </w:p>
    <w:p>
      <w:pPr>
        <w:pStyle w:val="Normal"/>
        <w:rPr/>
      </w:pPr>
      <w:r>
        <w:rPr/>
      </w:r>
    </w:p>
    <w:p>
      <w:pPr>
        <w:pStyle w:val="Normal"/>
        <w:rPr/>
      </w:pPr>
      <w:r>
        <w:rPr/>
        <w:object w:dxaOrig="8294" w:dyaOrig="647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341.25pt;height:266.6pt" filled="f" o:ole="">
            <v:imagedata r:id="rId195" o:title=""/>
          </v:shape>
          <o:OLEObject Type="Embed" ProgID="" ShapeID="ole_rId194" DrawAspect="Content" ObjectID="_1295331708" r:id="rId194"/>
        </w:object>
      </w:r>
    </w:p>
    <w:p>
      <w:pPr>
        <w:pStyle w:val="Normal"/>
        <w:rPr/>
      </w:pPr>
      <w:r>
        <w:rPr/>
        <w:t>(</w:t>
      </w:r>
    </w:p>
    <w:p>
      <w:pPr>
        <w:pStyle w:val="Normal"/>
        <w:rPr/>
      </w:pPr>
      <w:r>
        <w:rPr/>
      </w:r>
    </w:p>
    <w:p>
      <w:pPr>
        <w:pStyle w:val="Normal"/>
        <w:rPr/>
      </w:pPr>
      <w:r>
        <w:rPr/>
        <w:t>Each sample that is pulled is referred to as a “cycle.”  So, for example, if you go into the database for the first time and pull out a sample of 100 households, this will be referred to as “Cycle 1.”  If you go into the database again 2 weeks later and pull another 100 households, this will be referred to as “Cycle 2.”</w:t>
      </w:r>
    </w:p>
    <w:p>
      <w:pPr>
        <w:pStyle w:val="Normal"/>
        <w:rPr/>
      </w:pPr>
      <w:r>
        <w:rPr/>
      </w:r>
    </w:p>
    <w:p>
      <w:pPr>
        <w:pStyle w:val="Normal"/>
        <w:rPr/>
      </w:pPr>
      <w:r>
        <w:rPr/>
        <w:t>The “Pulling Samples” screen will tell you the total number of households stored in your sampling database, the number that have sampled in previous cycles, and the number not yet sampled.  In the field labeled “Number to Sample”, enter a number of households to pull for this cycle.  This can be any number between 1 and 999.  If you would like to pull samples based on a given zip code, you can enter the zip code in the field labeled “Zip Code.”  If you do not want to pull samples based on a given zip code, leave this field blank.  After you are finished with the zip code field, click on the button labeled “Enter.”  Then you will be asked if you want to specify the percentages for gender and/or age groups in this sample.  If you click “Yes,”  the “Specify” screen will open.  First you need to tell the program if you are setting age or gender, in the “Specify Options” field.  Once you specify which groups you are setting, those fields turn white, and you can move the cursor there to enter a number for the percentage of the sample that you would like to have in each category.  When you are finished, click the “Set” button.  You will be given 2 options:  “Pull Now,” which pulls the sample, or “Close,” which will take you back to the Main Menu without pulling a sample.  Note that at this point you can also click on the Basic tab and go back and change information entered there.</w:t>
      </w:r>
    </w:p>
    <w:p>
      <w:pPr>
        <w:pStyle w:val="Normal"/>
        <w:rPr/>
      </w:pPr>
      <w:r>
        <w:rPr/>
      </w:r>
    </w:p>
    <w:p>
      <w:pPr>
        <w:pStyle w:val="Normal"/>
        <w:rPr/>
      </w:pPr>
      <w:r>
        <w:rPr/>
        <w:t>If you click on “Pull Now,” the computer will pull out a random sample based on the information you entered.  A “Contact List” will appear on your screen.  This should be printed and used as your primary log to keep track of contact information and attempts to contact each household.  The Contact List gives a place to record the contact status and type of contact for each household (see section 2.x)  If the household is eventually enumerated, the household ID should be copied from the Enumeration form onto this list.  If a person wants to be called back at a later date, this date will be recorded in the “Call back date” field.  In the upper right hand corner of the Contact List you will find the Cycle number and the zip code for this sample, if one was specified.</w:t>
      </w:r>
    </w:p>
    <w:p>
      <w:pPr>
        <w:pStyle w:val="Normal"/>
        <w:rPr/>
      </w:pPr>
      <w:r>
        <w:rPr/>
      </w:r>
    </w:p>
    <w:p>
      <w:pPr>
        <w:pStyle w:val="Heading2"/>
        <w:rPr/>
      </w:pPr>
      <w:r>
        <w:rPr/>
        <w:t>Enter Status</w:t>
      </w:r>
    </w:p>
    <w:p>
      <w:pPr>
        <w:pStyle w:val="Normal"/>
        <w:rPr/>
      </w:pPr>
      <w:r>
        <w:rPr/>
      </w:r>
    </w:p>
    <w:p>
      <w:pPr>
        <w:pStyle w:val="Normal"/>
        <w:rPr/>
      </w:pPr>
      <w:r>
        <w:rPr/>
        <w:t xml:space="preserve">The next button on the Main Menu is labeled “Enter Status.”  You will use this function when you want to enter the contact status as it was recorded on the Contact List, as described above.  Note that the only status entered into this database is the status for the </w:t>
      </w:r>
      <w:r>
        <w:rPr>
          <w:i/>
        </w:rPr>
        <w:t>initial</w:t>
      </w:r>
      <w:r>
        <w:rPr/>
        <w:t xml:space="preserve"> contact for the </w:t>
      </w:r>
      <w:r>
        <w:rPr>
          <w:i/>
        </w:rPr>
        <w:t>household</w:t>
      </w:r>
      <w:r>
        <w:rPr/>
        <w:t>.   The status of later attempted contacts of individuals within the household is entered into a different database, as described elsewhere in this document.</w:t>
      </w:r>
    </w:p>
    <w:p>
      <w:pPr>
        <w:pStyle w:val="Normal"/>
        <w:rPr/>
      </w:pPr>
      <w:r>
        <w:rPr/>
      </w:r>
    </w:p>
    <w:p>
      <w:pPr>
        <w:pStyle w:val="Normal"/>
        <w:rPr/>
      </w:pPr>
      <w:r>
        <w:rPr/>
        <w:t>When you click on Enter Status, you will be prompted to enter a Cycle number.  Type in the Cycle number for which you want to enter Status, or click on the pull down arrow to see a list of all cycles pulled.  This will bring up the information from the Contact List for that cycle.  To enter data, just enter the appropriate codes in the “status,” “Type,” “Household” (Hld) and “Call back date” (CBDate) fields.  You should eventually be able to enter a code for status and type for everyone sampled.  However, only some people will have data for Household and Call back date.  Move between fields either by using the mouse, the arrow keys, or the Tab key.</w:t>
      </w:r>
    </w:p>
    <w:p>
      <w:pPr>
        <w:pStyle w:val="Normal"/>
        <w:rPr/>
      </w:pPr>
      <w:r>
        <w:rPr/>
        <w:object w:dxaOrig="8939" w:dyaOrig="6914">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339.2pt;height:262pt" filled="f" o:ole="">
            <v:imagedata r:id="rId197" o:title=""/>
          </v:shape>
          <o:OLEObject Type="Embed" ProgID="" ShapeID="ole_rId196" DrawAspect="Content" ObjectID="_1877321891" r:id="rId196"/>
        </w:object>
      </w:r>
    </w:p>
    <w:p>
      <w:pPr>
        <w:pStyle w:val="Normal"/>
        <w:rPr/>
      </w:pPr>
      <w:r>
        <w:rPr/>
        <w:t>When you are finished entering status, click on the “Close” button to save the information you have entered.  If you do not want to save the information you have entered, click “Cancel.”  However, all status data entered in that session will be lost.</w:t>
      </w:r>
    </w:p>
    <w:p>
      <w:pPr>
        <w:pStyle w:val="Normal"/>
        <w:rPr/>
      </w:pPr>
      <w:r>
        <w:rPr/>
      </w:r>
    </w:p>
    <w:p>
      <w:pPr>
        <w:pStyle w:val="Heading2"/>
        <w:rPr/>
      </w:pPr>
      <w:r>
        <w:rPr/>
        <w:t>Update Contact Status</w:t>
      </w:r>
    </w:p>
    <w:p>
      <w:pPr>
        <w:pStyle w:val="Normal"/>
        <w:rPr/>
      </w:pPr>
      <w:r>
        <w:rPr/>
      </w:r>
    </w:p>
    <w:p>
      <w:pPr>
        <w:pStyle w:val="Normal"/>
        <w:rPr/>
      </w:pPr>
      <w:r>
        <w:rPr/>
        <w:t>If the initial contact status of a household needs to be updated, either because the status has changed (e.g., from “call back later” to “household enumerated”) or because of a data entry error, click on the Update Contact Status button on the main menu.  This will take you to a screen for entering updated status.  First enter the cycle number of the person (people) for whom you need to update status.  On the left side of the screen, the names, phone numbers, and current status will be shown for everyone in that cycle.  To update someone, you can either click on the name in this list, or you can click on the pull down menu arrow on the right side of the screen next to the “Name” field.  You can update the phone number here, and you can update the status fields.  The existing values are shown next to blank fields into which you will enter the new information.  For the status codes, you can either enter the number or click on the pull down arrow to see all codes and then click on the appropriate code.</w:t>
      </w:r>
    </w:p>
    <w:p>
      <w:pPr>
        <w:pStyle w:val="Normal"/>
        <w:rPr/>
      </w:pPr>
      <w:r>
        <w:rPr/>
      </w:r>
    </w:p>
    <w:p>
      <w:pPr>
        <w:pStyle w:val="Normal"/>
        <w:rPr/>
      </w:pPr>
      <w:r>
        <w:rPr/>
        <w:t>When you are finished, you can click “Print” to get a new Contact List showing the updated codes.  After printing this list, close the Contact List window to return to the Update Contact Status window.  To save the new information, you must click on the “Update” button.  Then click “Close” to return to the Main Menu.  If you do not want to keep the changes you have made, click on “Cancel”.</w:t>
      </w:r>
    </w:p>
    <w:p>
      <w:pPr>
        <w:pStyle w:val="Normal"/>
        <w:rPr/>
      </w:pPr>
      <w:r>
        <w:rPr/>
      </w:r>
    </w:p>
    <w:p>
      <w:pPr>
        <w:pStyle w:val="Normal"/>
        <w:rPr/>
      </w:pPr>
      <w:r>
        <w:rPr/>
        <w:t>Note:  If you just want to print a new Contact List showing the status codes that have been previously entered, from the Main Menu click on Update Contact Status, choose a cycle, then click Print without updating any information.</w:t>
      </w:r>
    </w:p>
    <w:p>
      <w:pPr>
        <w:pStyle w:val="Normal"/>
        <w:rPr/>
      </w:pPr>
      <w:r>
        <w:rPr/>
      </w:r>
    </w:p>
    <w:p>
      <w:pPr>
        <w:pStyle w:val="Heading2"/>
        <w:rPr/>
      </w:pPr>
      <w:r>
        <w:rPr/>
        <w:t>List of Pending Status</w:t>
      </w:r>
    </w:p>
    <w:p>
      <w:pPr>
        <w:pStyle w:val="Normal"/>
        <w:rPr/>
      </w:pPr>
      <w:r>
        <w:rPr/>
      </w:r>
    </w:p>
    <w:p>
      <w:pPr>
        <w:pStyle w:val="Normal"/>
        <w:rPr/>
      </w:pPr>
      <w:r>
        <w:rPr/>
        <w:t>Clicking on this button allows you to specify a cycle and then create a list of all people from that cycle who have “pending” codes for their initial contact.  You can also create a list of everyone with pending codes from all cycles.  After creating this list, click on “Print” to print the list, and then click Close to return to the Main Menu.</w:t>
      </w:r>
    </w:p>
    <w:p>
      <w:pPr>
        <w:pStyle w:val="Normal"/>
        <w:rPr/>
      </w:pPr>
      <w:r>
        <w:rPr/>
      </w:r>
    </w:p>
    <w:p>
      <w:pPr>
        <w:pStyle w:val="Heading2"/>
        <w:rPr/>
      </w:pPr>
      <w:r>
        <w:rPr/>
        <w:t>List of certain call back date</w:t>
      </w:r>
    </w:p>
    <w:p>
      <w:pPr>
        <w:pStyle w:val="Normal"/>
        <w:rPr/>
      </w:pPr>
      <w:r>
        <w:rPr/>
      </w:r>
    </w:p>
    <w:p>
      <w:pPr>
        <w:pStyle w:val="Normal"/>
        <w:rPr/>
      </w:pPr>
      <w:r>
        <w:rPr/>
        <w:t>Clicking on this button allows you to print out a list of everyone who has asked for a call back within a specified date range.  Enter the date range as mm/dd/yy, then click “Set.”  After creating the list you can print it, then click Close.</w:t>
      </w:r>
    </w:p>
    <w:p>
      <w:pPr>
        <w:pStyle w:val="Normal"/>
        <w:rPr/>
      </w:pPr>
      <w:r>
        <w:rPr/>
      </w:r>
    </w:p>
    <w:p>
      <w:pPr>
        <w:pStyle w:val="Heading2"/>
        <w:rPr/>
      </w:pPr>
      <w:r>
        <w:rPr/>
        <w:t>List of contact status codes</w:t>
      </w:r>
    </w:p>
    <w:p>
      <w:pPr>
        <w:pStyle w:val="Normal"/>
        <w:rPr/>
      </w:pPr>
      <w:r>
        <w:rPr/>
      </w:r>
    </w:p>
    <w:p>
      <w:pPr>
        <w:pStyle w:val="Normal"/>
        <w:rPr/>
      </w:pPr>
      <w:r>
        <w:rPr/>
        <w:t>This button simply gives you a list of all of the valid status codes for the Initial contact of a household.  This can be printed out as often as you like.</w:t>
      </w:r>
    </w:p>
    <w:p>
      <w:pPr>
        <w:pStyle w:val="Normal"/>
        <w:rPr/>
      </w:pPr>
      <w:r>
        <w:rPr/>
      </w:r>
    </w:p>
    <w:p>
      <w:pPr>
        <w:pStyle w:val="Heading2"/>
        <w:rPr/>
      </w:pPr>
      <w:r>
        <w:rPr/>
        <w:t>Mailing Utilities</w:t>
      </w:r>
    </w:p>
    <w:p>
      <w:pPr>
        <w:pStyle w:val="Normal"/>
        <w:rPr/>
      </w:pPr>
      <w:r>
        <w:rPr/>
      </w:r>
    </w:p>
    <w:p>
      <w:pPr>
        <w:pStyle w:val="Normal"/>
        <w:rPr/>
      </w:pPr>
      <w:r>
        <w:rPr/>
        <w:t xml:space="preserve">This button allows you to create address labels and do mail merges for the initial contact letter that you will be sending out.  You can also print out the list that is created.   When you create a letter file, the computer performs the mail merge automatically, creates the letters, and brings up that file of letters in Word.  At that point, you can print the letters if you are ready to do so, or you can save the letters to a file and print them later.  </w:t>
      </w:r>
    </w:p>
    <w:p>
      <w:pPr>
        <w:pStyle w:val="Normal"/>
        <w:rPr/>
      </w:pPr>
      <w:r>
        <w:rPr/>
      </w:r>
    </w:p>
    <w:p>
      <w:pPr>
        <w:pStyle w:val="Normal"/>
        <w:rPr/>
      </w:pPr>
      <w:r>
        <w:rPr/>
        <w:t xml:space="preserve">When you create a label file that matches these letters, it is also displayed on the screen.  It can be printed immediately onto </w:t>
      </w:r>
      <w:r>
        <w:rPr>
          <w:b/>
        </w:rPr>
        <w:t>Avery 5162</w:t>
      </w:r>
      <w:r>
        <w:rPr/>
        <w:t xml:space="preserve"> labels in your laser printer.  If you are not ready to print the file, Click “Save”, and the labels will be saved in a file called D:\mesasample\labels.snp.  Double click on this file to open it for printing. </w:t>
      </w:r>
    </w:p>
    <w:p>
      <w:pPr>
        <w:pStyle w:val="Normal"/>
        <w:rPr/>
      </w:pPr>
      <w:r>
        <w:rPr/>
      </w:r>
    </w:p>
    <w:p>
      <w:pPr>
        <w:pStyle w:val="Heading2"/>
        <w:rPr/>
      </w:pPr>
      <w:r>
        <w:rPr/>
        <w:t xml:space="preserve">Exit </w:t>
      </w:r>
    </w:p>
    <w:p>
      <w:pPr>
        <w:pStyle w:val="Normal"/>
        <w:rPr/>
      </w:pPr>
      <w:r>
        <w:rPr/>
      </w:r>
    </w:p>
    <w:p>
      <w:pPr>
        <w:pStyle w:val="Normal"/>
        <w:rPr/>
      </w:pPr>
      <w:r>
        <w:rPr/>
        <w:t>Click this button to close the Sampling Database and return to the desktop.</w:t>
      </w:r>
    </w:p>
    <w:p>
      <w:pPr>
        <w:pStyle w:val="Normal"/>
        <w:rPr/>
      </w:pPr>
      <w:r>
        <w:rPr/>
      </w:r>
    </w:p>
    <w:p>
      <w:pPr>
        <w:pStyle w:val="Normal"/>
        <w:rPr/>
      </w:pPr>
      <w:r>
        <w:rPr>
          <w:b/>
        </w:rPr>
        <w:t>6.5</w:t>
      </w:r>
      <w:r>
        <w:rPr/>
        <w:t xml:space="preserve"> </w:t>
      </w:r>
      <w:r>
        <w:rPr>
          <w:b/>
        </w:rPr>
        <w:t>Site Data Management</w:t>
      </w:r>
    </w:p>
    <w:p>
      <w:pPr>
        <w:pStyle w:val="Normal"/>
        <w:rPr/>
      </w:pPr>
      <w:r>
        <w:rPr/>
      </w:r>
    </w:p>
    <w:p>
      <w:pPr>
        <w:pStyle w:val="Normal"/>
        <w:rPr/>
      </w:pPr>
      <w:r>
        <w:rPr/>
        <w:t>If you click this icon you can perform a variety of data management functions including: print forms, update recruitment status (after the initial contact), view a list of participants, view or update participant tracking information, view the status for enrolled participants and look at a summary of forms that have been entered, update data for scanned forms, produce various kinds of reports, send reports to reading centers, transmit data to the Coordinating Center, and run daily data backups.  Each of these functions is listed on the Main Menu that appears when you click the Data Management icon and will be described below.</w:t>
      </w:r>
    </w:p>
    <w:p>
      <w:pPr>
        <w:pStyle w:val="Normal"/>
        <w:rPr/>
      </w:pPr>
      <w:r>
        <w:rPr/>
      </w:r>
    </w:p>
    <w:p>
      <w:pPr>
        <w:pStyle w:val="Heading1"/>
        <w:rPr>
          <w:b w:val="false"/>
          <w:b w:val="false"/>
        </w:rPr>
      </w:pPr>
      <w:r>
        <w:rPr>
          <w:b w:val="false"/>
        </w:rPr>
        <w:t>6.5.1 Print Forms</w:t>
      </w:r>
    </w:p>
    <w:p>
      <w:pPr>
        <w:pStyle w:val="Normal"/>
        <w:rPr>
          <w:b/>
          <w:b/>
        </w:rPr>
      </w:pPr>
      <w:r>
        <w:rPr>
          <w:b/>
        </w:rPr>
      </w:r>
    </w:p>
    <w:p>
      <w:pPr>
        <w:pStyle w:val="Normal"/>
        <w:rPr/>
      </w:pPr>
      <w:r>
        <w:rPr/>
        <w:t>Click this button when you want to print out paper Recruitment forms or Clinic forms.  You will be asked to choose between Recruitment forms and Clinic forms.  Click on the appropriate circle, then click Continue.  If you chose Recruitment forms, you will have the choice of printing Screener, Non-Participant/Ineligible, and/or Household Enumeration forms.  You can also select the language of the forms that will be printed.  Next select the number of sets of forms that you want to print (enter a number between 1 and 20).  Next click the Print Selected Forms button to begin the print process.  If you change your mind and do not want to print any forms, click on the Close button to exit without printing.  In general you will need more Screener Forms than Household Enumeration or Ineligible Forms</w:t>
      </w:r>
    </w:p>
    <w:p>
      <w:pPr>
        <w:pStyle w:val="Normal"/>
        <w:rPr/>
      </w:pPr>
      <w:r>
        <w:rPr/>
      </w:r>
    </w:p>
    <w:p>
      <w:pPr>
        <w:pStyle w:val="Normal"/>
        <w:rPr/>
      </w:pPr>
      <w:r>
        <w:rPr/>
        <w:t>Note that the same selection screen is used for all printing options.  In the Recruitment Forms option, the “Participant ID” field is disabled.  In other options, this field will be used, but the “Number” button may be disabled.</w:t>
      </w:r>
    </w:p>
    <w:p>
      <w:pPr>
        <w:pStyle w:val="Normal"/>
        <w:rPr/>
      </w:pPr>
      <w:r>
        <w:rPr/>
      </w:r>
    </w:p>
    <w:p>
      <w:pPr>
        <w:pStyle w:val="Normal"/>
        <w:rPr/>
      </w:pPr>
      <w:r>
        <w:rPr/>
        <w:t xml:space="preserve">If you select Clinic Forms, you will next be asked to choose between Entire Packet and Specific Participant.  If you choose Entire Packet, you will be printing complete sets of forms for participants not yet enrolled in the study.  A screen will come up which lists all of the forms and then  asks you to select a Language and a number of forms to print.  Select the appropriate language, and then enter a number between 1 and 5. (Only 5 sets of clinic forms can be printed at one time due to limitations of the printer’s paper tray.)  Remember that these forms are produced with Participant IDs pre-printed on them, and the ID numbers will be assigned to a specific person when the person gets his/her set of forms in the clinic.  </w:t>
      </w:r>
    </w:p>
    <w:p>
      <w:pPr>
        <w:pStyle w:val="Normal"/>
        <w:rPr/>
      </w:pPr>
      <w:r>
        <w:rPr/>
      </w:r>
    </w:p>
    <w:p>
      <w:pPr>
        <w:pStyle w:val="Normal"/>
        <w:rPr/>
      </w:pPr>
      <w:r>
        <w:rPr/>
        <w:t>If you select Clinic Forms and then Specific Participant, you will be asked to enter a Participant ID.  Use this option when a person has already been to the clinic and has been assigned an ID, but one or more of the forms was damaged or lost and needs to be printed again.  Next select Continue.  Now you will be prompted for which forms you want to print.  Use the buttons on the right to select all forms (if you need to print most of the forms) or unselect all forms (if you only need to print a couple).  Then click on the boxes next to individual forms to select or deselect that particular form.  Next select the language for these forms, then print.  Note that the “Number” field is disabled in this option.</w:t>
      </w:r>
    </w:p>
    <w:p>
      <w:pPr>
        <w:pStyle w:val="Normal"/>
        <w:rPr/>
      </w:pPr>
      <w:r>
        <w:rPr/>
      </w:r>
    </w:p>
    <w:p>
      <w:pPr>
        <w:pStyle w:val="Heading1"/>
        <w:numPr>
          <w:ilvl w:val="2"/>
          <w:numId w:val="21"/>
        </w:numPr>
        <w:tabs>
          <w:tab w:val="clear" w:pos="576"/>
        </w:tabs>
        <w:rPr>
          <w:b w:val="false"/>
          <w:b w:val="false"/>
        </w:rPr>
      </w:pPr>
      <w:r>
        <w:rPr>
          <w:b w:val="false"/>
        </w:rPr>
        <w:t>Recruitment</w:t>
      </w:r>
    </w:p>
    <w:p>
      <w:pPr>
        <w:pStyle w:val="Normal"/>
        <w:rPr/>
      </w:pPr>
      <w:r>
        <w:rPr/>
        <w:t>(This button will be used to enter tracking information for individuals who have completed a Screening Form.  Specific instructions will be available later.)</w:t>
      </w:r>
    </w:p>
    <w:p>
      <w:pPr>
        <w:pStyle w:val="Normal"/>
        <w:rPr/>
      </w:pPr>
      <w:r>
        <w:rPr/>
      </w:r>
    </w:p>
    <w:p>
      <w:pPr>
        <w:pStyle w:val="Heading1"/>
        <w:rPr>
          <w:b w:val="false"/>
          <w:b w:val="false"/>
        </w:rPr>
      </w:pPr>
      <w:r>
        <w:rPr>
          <w:b w:val="false"/>
        </w:rPr>
        <w:t xml:space="preserve">6.5.3 Participant List </w:t>
      </w:r>
    </w:p>
    <w:p>
      <w:pPr>
        <w:pStyle w:val="Normal"/>
        <w:rPr>
          <w:b/>
          <w:b/>
        </w:rPr>
      </w:pPr>
      <w:r>
        <w:rPr>
          <w:b/>
        </w:rPr>
      </w:r>
    </w:p>
    <w:p>
      <w:pPr>
        <w:pStyle w:val="Normal"/>
        <w:rPr/>
      </w:pPr>
      <w:r>
        <w:rPr/>
        <w:t>Clicking on the Participant List button on the Main Menu brings up a list of all people who have had a reception form scanned and verified.  (That is, they have a Participant ID.)  Note that not everyone listed here is an official participant, because some may not have completed the entire clinic visit or the CT scan yet.  Click on “Report” to create a file that can be printed.  Click on the pull down arrow next to Column to sort the list by any one of the columns.  Click on the Participant/Visit Status button or the Tracking Information button to view this information for a participant.  The Participant/Visit Status or Tracking information can also be accessed by clicking the “Tracking” or “Status/Summary” button on the Main Menu.</w:t>
      </w:r>
    </w:p>
    <w:p>
      <w:pPr>
        <w:pStyle w:val="Normal"/>
        <w:rPr/>
      </w:pPr>
      <w:r>
        <w:rPr/>
      </w:r>
    </w:p>
    <w:p>
      <w:pPr>
        <w:pStyle w:val="Heading1"/>
        <w:rPr>
          <w:b w:val="false"/>
          <w:b w:val="false"/>
        </w:rPr>
      </w:pPr>
      <w:r>
        <w:rPr>
          <w:b w:val="false"/>
        </w:rPr>
        <w:t>6.5.4  Tracking</w:t>
      </w:r>
    </w:p>
    <w:p>
      <w:pPr>
        <w:pStyle w:val="Normal"/>
        <w:rPr/>
      </w:pPr>
      <w:r>
        <w:rPr/>
        <w:t xml:space="preserve"> </w:t>
      </w:r>
    </w:p>
    <w:p>
      <w:pPr>
        <w:pStyle w:val="Normal"/>
        <w:rPr/>
      </w:pPr>
      <w:r>
        <w:rPr/>
        <w:t>Clicking the Tracking button on the Main Menu brings up a screen showing all available contact information for all participants who have had a clinic visit.  This is also the screen that will be used to enter and update the Participant Contact (Tracking) Form information for all participants.  The left side of the screen shows information from the Screener and some of the clinic forms, including Name, Gender, Acrostic, Recruitment ID, Participant ID, Date of birth, Date of enrollment, etc.  About half way down the left side of the screen are three tabs.  Click on these tabs to switch between these “pages”.  The Tracking tab shows tracking information collected on the Recruitment Form, as well as second surname information from the Tracking Form, and future contact information.  The Visit Summary tab shows the status of the clinic visit, the status of CT and MRI scans, and any notes from the visit.  The Participant Reports tab shows whether the Preliminary and Final participant reports have been mailed, whether the participant reimbursement check has been mailed, and whether the participant had any alerts.</w:t>
      </w:r>
    </w:p>
    <w:p>
      <w:pPr>
        <w:pStyle w:val="Normal"/>
        <w:rPr/>
      </w:pPr>
      <w:r>
        <w:rPr/>
      </w:r>
    </w:p>
    <w:p>
      <w:pPr>
        <w:pStyle w:val="Normal"/>
        <w:rPr/>
      </w:pPr>
      <w:r>
        <w:rPr/>
        <w:t>On the right hand side of the screen are three tabs labeled Participant Address, Contacts, and Health Care Provider.  Use these tabs to enter or update information from the Participant Contacts (Tracking) form.  Note that old addresses can also be displayed here, and future addresses can be entered.</w:t>
      </w:r>
    </w:p>
    <w:p>
      <w:pPr>
        <w:pStyle w:val="Normal"/>
        <w:rPr/>
      </w:pPr>
      <w:r>
        <w:rPr/>
      </w:r>
    </w:p>
    <w:p>
      <w:pPr>
        <w:pStyle w:val="Heading1"/>
        <w:rPr>
          <w:b w:val="false"/>
          <w:b w:val="false"/>
        </w:rPr>
      </w:pPr>
      <w:r>
        <w:rPr>
          <w:b w:val="false"/>
        </w:rPr>
        <w:t>6.5.5 Status/Summary</w:t>
      </w:r>
    </w:p>
    <w:p>
      <w:pPr>
        <w:pStyle w:val="Normal"/>
        <w:rPr>
          <w:b/>
          <w:b/>
        </w:rPr>
      </w:pPr>
      <w:r>
        <w:rPr>
          <w:b/>
        </w:rPr>
      </w:r>
    </w:p>
    <w:p>
      <w:pPr>
        <w:pStyle w:val="Normal"/>
        <w:rPr/>
      </w:pPr>
      <w:r>
        <w:rPr/>
        <w:t xml:space="preserve">Click on the Status/Summary button on the Main Menu to display the status of scanned data for a participant.  Note: this screen gives the status of data in your local database, not in the CC database.  If you highlight a form, you can then click on the Update Data button to edit the </w:t>
      </w:r>
      <w:r>
        <w:rPr>
          <w:i/>
        </w:rPr>
        <w:t>data</w:t>
      </w:r>
      <w:r>
        <w:rPr/>
        <w:t xml:space="preserve"> from that form. You can click on the Edit Status button to change the </w:t>
      </w:r>
      <w:r>
        <w:rPr>
          <w:i/>
        </w:rPr>
        <w:t>status</w:t>
      </w:r>
      <w:r>
        <w:rPr/>
        <w:t xml:space="preserve"> of a form.  Note: the status is set automatically when a form is scanned and verified.  You should use this button only to set the status for forms that will not be completed.  These forms will have a status of “Unknown”  or “form missing-no information.”  You can edit the status to one of the following:</w:t>
      </w:r>
    </w:p>
    <w:p>
      <w:pPr>
        <w:pStyle w:val="Normal"/>
        <w:rPr/>
      </w:pPr>
      <w:r>
        <w:rPr/>
      </w:r>
    </w:p>
    <w:p>
      <w:pPr>
        <w:pStyle w:val="Normal"/>
        <w:rPr/>
      </w:pPr>
      <w:r>
        <w:rPr/>
        <w:t>2 = not done, physical reason</w:t>
      </w:r>
    </w:p>
    <w:p>
      <w:pPr>
        <w:pStyle w:val="Normal"/>
        <w:rPr/>
      </w:pPr>
      <w:r>
        <w:rPr/>
        <w:t>3 = not done, refused</w:t>
      </w:r>
    </w:p>
    <w:p>
      <w:pPr>
        <w:pStyle w:val="Normal"/>
        <w:rPr/>
      </w:pPr>
      <w:r>
        <w:rPr/>
        <w:t>4 = not done, other reason</w:t>
      </w:r>
    </w:p>
    <w:p>
      <w:pPr>
        <w:pStyle w:val="Normal"/>
        <w:rPr/>
      </w:pPr>
      <w:r>
        <w:rPr/>
        <w:t>5 = not done, cognitive reason</w:t>
      </w:r>
    </w:p>
    <w:p>
      <w:pPr>
        <w:pStyle w:val="Normal"/>
        <w:rPr/>
      </w:pPr>
      <w:r>
        <w:rPr/>
        <w:t>9 = done but form lost</w:t>
      </w:r>
    </w:p>
    <w:p>
      <w:pPr>
        <w:pStyle w:val="Normal"/>
        <w:rPr/>
      </w:pPr>
      <w:r>
        <w:rPr/>
      </w:r>
    </w:p>
    <w:p>
      <w:pPr>
        <w:pStyle w:val="Normal"/>
        <w:rPr/>
      </w:pPr>
      <w:r>
        <w:rPr/>
        <w:t>These codes and descriptions are listed when you click on the pull down arrow.</w:t>
      </w:r>
    </w:p>
    <w:p>
      <w:pPr>
        <w:pStyle w:val="Normal"/>
        <w:rPr/>
      </w:pPr>
      <w:r>
        <w:rPr/>
      </w:r>
    </w:p>
    <w:p>
      <w:pPr>
        <w:pStyle w:val="Normal"/>
        <w:rPr/>
      </w:pPr>
      <w:r>
        <w:rPr/>
        <w:t>If you have updated the data or status of a form, it will be marked for export to the Coordinating Center automatically.  However, on some occasions you may have to resend data that you have already sent, even though it has not been changed in any way.  In this case, you can click on the Mark for Export button and the data will be sent to the Coordinating Center with the next transmission.</w:t>
      </w:r>
    </w:p>
    <w:p>
      <w:pPr>
        <w:pStyle w:val="Normal"/>
        <w:rPr/>
      </w:pPr>
      <w:r>
        <w:rPr/>
        <w:t>After you edit the form status, click Close to close the window and save the information, or Cancel to close without saving.</w:t>
      </w:r>
    </w:p>
    <w:p>
      <w:pPr>
        <w:pStyle w:val="Normal"/>
        <w:rPr/>
      </w:pPr>
      <w:r>
        <w:rPr/>
      </w:r>
    </w:p>
    <w:p>
      <w:pPr>
        <w:pStyle w:val="Heading1"/>
        <w:rPr>
          <w:b w:val="false"/>
          <w:b w:val="false"/>
        </w:rPr>
      </w:pPr>
      <w:r>
        <w:rPr>
          <w:b w:val="false"/>
        </w:rPr>
        <w:t>6.5.6 Reports</w:t>
      </w:r>
    </w:p>
    <w:p>
      <w:pPr>
        <w:pStyle w:val="Normal"/>
        <w:rPr>
          <w:b/>
          <w:b/>
        </w:rPr>
      </w:pPr>
      <w:r>
        <w:rPr>
          <w:b/>
        </w:rPr>
      </w:r>
    </w:p>
    <w:p>
      <w:pPr>
        <w:pStyle w:val="Heading1"/>
        <w:rPr>
          <w:b w:val="false"/>
          <w:b w:val="false"/>
        </w:rPr>
      </w:pPr>
      <w:r>
        <w:rPr>
          <w:b w:val="false"/>
        </w:rPr>
        <w:t>6.5.7 Reports to Reading Center</w:t>
      </w:r>
    </w:p>
    <w:p>
      <w:pPr>
        <w:pStyle w:val="Normal"/>
        <w:rPr>
          <w:b/>
          <w:b/>
        </w:rPr>
      </w:pPr>
      <w:r>
        <w:rPr>
          <w:b/>
        </w:rPr>
      </w:r>
    </w:p>
    <w:p>
      <w:pPr>
        <w:pStyle w:val="Normal"/>
        <w:rPr/>
      </w:pPr>
      <w:r>
        <w:rPr/>
        <w:t>Click on this button to send the relevant “Completion Form” to a designated Reading Center or Lab.  Note that this does not transmit the actual scan data file, just the form telling the Reading Center whether or not the procedure was done.</w:t>
      </w:r>
    </w:p>
    <w:p>
      <w:pPr>
        <w:pStyle w:val="Normal"/>
        <w:rPr/>
      </w:pPr>
      <w:r>
        <w:rPr/>
      </w:r>
    </w:p>
    <w:p>
      <w:pPr>
        <w:pStyle w:val="Heading1"/>
        <w:rPr>
          <w:rFonts w:ascii="Times New Roman;Times New Roman" w:hAnsi="Times New Roman;Times New Roman" w:cs="Times New Roman;Times New Roman"/>
          <w:b w:val="false"/>
          <w:b w:val="false"/>
        </w:rPr>
      </w:pPr>
      <w:r>
        <w:rPr>
          <w:rFonts w:cs="Times New Roman;Times New Roman" w:ascii="Times New Roman;Times New Roman" w:hAnsi="Times New Roman;Times New Roman"/>
          <w:b w:val="false"/>
        </w:rPr>
        <w:t>6.5.8 Export History</w:t>
      </w:r>
    </w:p>
    <w:p>
      <w:pPr>
        <w:pStyle w:val="Normal"/>
        <w:rPr>
          <w:rFonts w:ascii="Times New Roman;Times New Roman" w:hAnsi="Times New Roman;Times New Roman" w:cs="Times New Roman;Times New Roman"/>
          <w:b/>
          <w:b/>
        </w:rPr>
      </w:pPr>
      <w:r>
        <w:rPr>
          <w:rFonts w:cs="Times New Roman;Times New Roman"/>
          <w:b/>
        </w:rPr>
      </w:r>
    </w:p>
    <w:p>
      <w:pPr>
        <w:pStyle w:val="Normal"/>
        <w:numPr>
          <w:ilvl w:val="1"/>
          <w:numId w:val="21"/>
        </w:numPr>
        <w:rPr/>
      </w:pPr>
      <w:r>
        <w:rPr/>
        <w:t>Coordinating Center Reports</w:t>
      </w:r>
    </w:p>
    <w:p>
      <w:pPr>
        <w:pStyle w:val="Normal"/>
        <w:rPr/>
      </w:pPr>
      <w:r>
        <w:rPr/>
        <w:t>The Coordinating Center will create reports that will be posted on the MESA Web site.  These reports will tell you the status (i.e., whether or not data have been received) of clinic and Reading Center data in the Coordinating Center database.  The Coordinating Center will also produce recruitment reports showing the recruitment for each site compared to the targets for that site.  Details of these and other reports will be provided later.</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er"/>
        <w:tabs>
          <w:tab w:val="clear" w:pos="4320"/>
          <w:tab w:val="clear" w:pos="8640"/>
        </w:tabs>
        <w:rPr/>
      </w:pPr>
      <w:r>
        <w:rPr/>
      </w:r>
    </w:p>
    <w:p>
      <w:pPr>
        <w:pStyle w:val="Header"/>
        <w:tabs>
          <w:tab w:val="clear" w:pos="4320"/>
          <w:tab w:val="clear" w:pos="8640"/>
        </w:tabs>
        <w:rPr/>
      </w:pPr>
      <w:r>
        <w:rPr/>
      </w:r>
    </w:p>
    <w:p>
      <w:pPr>
        <w:pStyle w:val="Number111"/>
        <w:rPr/>
      </w:pPr>
      <w:r>
        <w:rPr/>
        <w:tab/>
        <w:t xml:space="preserve"> </w:t>
      </w:r>
    </w:p>
    <w:p>
      <w:pPr>
        <w:sectPr>
          <w:headerReference w:type="even" r:id="rId198"/>
          <w:headerReference w:type="default" r:id="rId199"/>
          <w:footerReference w:type="even" r:id="rId200"/>
          <w:footerReference w:type="default" r:id="rId201"/>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11"/>
        <w:rPr>
          <w:sz w:val="36"/>
        </w:rPr>
      </w:pPr>
      <w:r>
        <w:rPr/>
        <w:tab/>
      </w:r>
    </w:p>
    <w:p>
      <w:pPr>
        <w:pStyle w:val="Heading1"/>
        <w:rPr>
          <w:sz w:val="32"/>
        </w:rPr>
      </w:pPr>
      <w:r>
        <w:rPr>
          <w:sz w:val="32"/>
        </w:rPr>
      </w:r>
    </w:p>
    <w:p>
      <w:pPr>
        <w:pStyle w:val="Normal"/>
        <w:jc w:val="center"/>
        <w:rPr>
          <w:b/>
          <w:b/>
          <w:bCs/>
          <w:sz w:val="32"/>
        </w:rPr>
      </w:pPr>
      <w:r>
        <w:rPr>
          <w:b/>
          <w:bCs/>
          <w:sz w:val="32"/>
        </w:rPr>
        <w:t>General Instructions for Completing Scanned Forms</w:t>
      </w:r>
    </w:p>
    <w:p>
      <w:pPr>
        <w:pStyle w:val="Normal"/>
        <w:rPr>
          <w:b/>
          <w:b/>
          <w:bCs/>
          <w:sz w:val="32"/>
        </w:rPr>
      </w:pPr>
      <w:r>
        <w:rPr>
          <w:b/>
          <w:bCs/>
          <w:sz w:val="32"/>
        </w:rPr>
      </w:r>
    </w:p>
    <w:p>
      <w:pPr>
        <w:pStyle w:val="Romanbold"/>
        <w:rPr/>
      </w:pPr>
      <w:r>
        <w:rPr/>
        <w:tab/>
        <w:t>I.</w:t>
        <w:tab/>
        <w:t>Purpose</w:t>
      </w:r>
    </w:p>
    <w:p>
      <w:pPr>
        <w:pStyle w:val="Romanbody"/>
        <w:rPr/>
      </w:pPr>
      <w:r>
        <w:rPr/>
      </w:r>
    </w:p>
    <w:p>
      <w:pPr>
        <w:pStyle w:val="Romanbody"/>
        <w:rPr/>
      </w:pPr>
      <w:r>
        <w:rPr/>
        <w:t>Scanned forms are a fast and efficient way to enter data into a computer system, but it is important to complete the form in a careful manner, with an understanding of how the scanning system operates.</w:t>
      </w:r>
    </w:p>
    <w:p>
      <w:pPr>
        <w:pStyle w:val="Romanbody"/>
        <w:rPr/>
      </w:pPr>
      <w:r>
        <w:rPr/>
      </w:r>
    </w:p>
    <w:p>
      <w:pPr>
        <w:pStyle w:val="Romanbold"/>
        <w:rPr/>
      </w:pPr>
      <w:r>
        <w:rPr/>
        <w:tab/>
        <w:t>II.</w:t>
        <w:tab/>
        <w:t>Materials/Equipment</w:t>
      </w:r>
    </w:p>
    <w:p>
      <w:pPr>
        <w:pStyle w:val="Normal"/>
        <w:rPr/>
      </w:pPr>
      <w:r>
        <w:rPr/>
      </w:r>
    </w:p>
    <w:p>
      <w:pPr>
        <w:pStyle w:val="Romanbody"/>
        <w:rPr/>
      </w:pPr>
      <w:r>
        <w:rPr/>
        <w:t>Black ink pen</w:t>
      </w:r>
    </w:p>
    <w:p>
      <w:pPr>
        <w:pStyle w:val="Normal"/>
        <w:rPr/>
      </w:pPr>
      <w:r>
        <w:rPr/>
      </w:r>
    </w:p>
    <w:p>
      <w:pPr>
        <w:pStyle w:val="Romanbold"/>
        <w:rPr/>
      </w:pPr>
      <w:r>
        <w:rPr/>
        <w:tab/>
        <w:t>III.</w:t>
        <w:tab/>
        <w:t>Definitions</w:t>
      </w:r>
    </w:p>
    <w:p>
      <w:pPr>
        <w:pStyle w:val="Normal"/>
        <w:rPr/>
      </w:pPr>
      <w:r>
        <w:rPr/>
      </w:r>
    </w:p>
    <w:p>
      <w:pPr>
        <w:pStyle w:val="Romanbold"/>
        <w:rPr/>
      </w:pPr>
      <w:r>
        <w:rPr/>
        <w:tab/>
        <w:t>IV.</w:t>
        <w:tab/>
        <w:t>Methods</w:t>
      </w:r>
    </w:p>
    <w:p>
      <w:pPr>
        <w:pStyle w:val="Number1"/>
        <w:rPr/>
      </w:pPr>
      <w:r>
        <w:rPr/>
      </w:r>
    </w:p>
    <w:p>
      <w:pPr>
        <w:pStyle w:val="Number1"/>
        <w:rPr/>
      </w:pPr>
      <w:r>
        <w:rPr/>
        <w:tab/>
        <w:t>1.</w:t>
        <w:tab/>
        <w:t>A computer scanning system works by knowing exactly where on a given form to look for data. Any form that is to be scanned will contain “reference marks,” usually in each of the four corners. All other information on that form is located in very specific places measured from those reference marks. It is critical not to cover up or write on those marks.</w:t>
      </w:r>
    </w:p>
    <w:p>
      <w:pPr>
        <w:pStyle w:val="Number1"/>
        <w:rPr/>
      </w:pPr>
      <w:r>
        <w:rPr/>
      </w:r>
    </w:p>
    <w:p>
      <w:pPr>
        <w:pStyle w:val="Number1"/>
        <w:rPr/>
      </w:pPr>
      <w:r>
        <w:rPr/>
        <w:tab/>
        <w:t>2.</w:t>
        <w:tab/>
        <w:t xml:space="preserve">A black ink pen is preferable when completing forms that will be scanned, and it is very important that the pen make a very solid dark mark. Some ballpoint pens that are lighter produce an uneven mark, which can confuse the computer when it is trying to interpret the marks. </w:t>
      </w:r>
    </w:p>
    <w:p>
      <w:pPr>
        <w:pStyle w:val="Number1"/>
        <w:rPr/>
      </w:pPr>
      <w:r>
        <w:rPr/>
      </w:r>
    </w:p>
    <w:p>
      <w:pPr>
        <w:pStyle w:val="Number1"/>
        <w:rPr/>
      </w:pPr>
      <w:r>
        <w:rPr/>
        <w:tab/>
        <w:t>3.</w:t>
        <w:tab/>
      </w:r>
      <w:r>
        <w:rPr>
          <w:u w:val="single"/>
        </w:rPr>
        <w:t>Data Fields</w:t>
      </w:r>
    </w:p>
    <w:p>
      <w:pPr>
        <w:pStyle w:val="Number1"/>
        <w:rPr/>
      </w:pPr>
      <w:r>
        <w:rPr/>
      </w:r>
    </w:p>
    <w:p>
      <w:pPr>
        <w:pStyle w:val="Number1"/>
        <w:rPr/>
      </w:pPr>
      <w:r>
        <w:rPr/>
        <w:tab/>
        <w:tab/>
        <w:t>Forms that will be scanned may have several different data fields, as described below:</w:t>
      </w:r>
    </w:p>
    <w:p>
      <w:pPr>
        <w:pStyle w:val="Number11"/>
        <w:rPr/>
      </w:pPr>
      <w:r>
        <w:rPr/>
      </w:r>
    </w:p>
    <w:p>
      <w:pPr>
        <w:pStyle w:val="Number11"/>
        <w:rPr/>
      </w:pPr>
      <w:r>
        <w:rPr/>
        <w:tab/>
        <w:t>3.1</w:t>
        <w:tab/>
        <w:t>The “bubble” field is the most common, and also most efficient.  Each response to a question has its own small circle (bubble) that must be colored in. While it is not necessary to color in the bubble completely, most of it should be filled. Just drawing a line through the appropriate bubble may not be sufficient, because the computer may not recognize with certainty which bubble was filled in.</w:t>
      </w:r>
    </w:p>
    <w:p>
      <w:pPr>
        <w:pStyle w:val="Number11"/>
        <w:rPr/>
      </w:pPr>
      <w:r>
        <w:rPr/>
        <w:t xml:space="preserve"> </w:t>
      </w:r>
    </w:p>
    <w:p>
      <w:pPr>
        <w:pStyle w:val="Number11"/>
        <w:rPr/>
      </w:pPr>
      <w:r>
        <w:rPr/>
        <w:tab/>
        <w:t>3.2</w:t>
        <w:tab/>
        <w:t>Some response fields require handwritten answers in boxes, each of which contains a single character (a number or an UPPERCASE letter). Because the computer must be able to detect all four edges of each box, the character must be completely enclosed within its box. The computer cannot recognize characters that touch or extend beyond the borders of the box. When the boxes are carefully filled in, the computer can be certain of the answer most of the time.</w:t>
      </w:r>
    </w:p>
    <w:p>
      <w:pPr>
        <w:pStyle w:val="Number111"/>
        <w:rPr/>
      </w:pPr>
      <w:r>
        <w:rPr/>
      </w:r>
    </w:p>
    <w:p>
      <w:pPr>
        <w:pStyle w:val="Number11"/>
        <w:rPr/>
      </w:pPr>
      <w:r>
        <w:rPr/>
        <w:tab/>
        <w:t>3.3</w:t>
        <w:tab/>
        <w:t xml:space="preserve">Some response fields accommodate handwritten responses (a string of numbers and UPPERCASE letters). These fields do not have separate boxes for individual characters. Because the computer must be able to detect all four edges of the field (a long, rectangular box), the characters must be completely enclosed within it. The computer cannot recognize characters that touch or extend beyond the borders of the box or characters that touch each other. </w:t>
      </w:r>
    </w:p>
    <w:p>
      <w:pPr>
        <w:pStyle w:val="Number11"/>
        <w:rPr/>
      </w:pPr>
      <w:r>
        <w:rPr/>
      </w:r>
    </w:p>
    <w:p>
      <w:pPr>
        <w:sectPr>
          <w:headerReference w:type="even" r:id="rId202"/>
          <w:headerReference w:type="default" r:id="rId203"/>
          <w:footerReference w:type="even" r:id="rId204"/>
          <w:footerReference w:type="default" r:id="rId205"/>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4.</w:t>
        <w:tab/>
        <w:t>After a form is scanned, it proceeds through a verification system before the data enters the computer. Any data fields that the computer cannot recognize or interpret, as described above, are displayed on the screen for correction or confirmation by a computer technician.</w:t>
      </w:r>
    </w:p>
    <w:p>
      <w:pPr>
        <w:pStyle w:val="Sectionheading"/>
        <w:rPr/>
      </w:pPr>
      <w:bookmarkStart w:id="43" w:name="__RefHeading___Toc503858999"/>
      <w:bookmarkEnd w:id="43"/>
      <w:r>
        <w:rPr/>
        <w:t>Section 7  Follow-up and Surveillance</w:t>
      </w:r>
    </w:p>
    <w:p>
      <w:pPr>
        <w:pStyle w:val="Heading1"/>
        <w:rPr>
          <w:sz w:val="32"/>
        </w:rPr>
      </w:pPr>
      <w:r>
        <w:rPr>
          <w:sz w:val="32"/>
        </w:rPr>
      </w:r>
    </w:p>
    <w:p>
      <w:pPr>
        <w:pStyle w:val="Normal"/>
        <w:rPr>
          <w:sz w:val="22"/>
        </w:rPr>
      </w:pPr>
      <w:r>
        <w:rPr>
          <w:sz w:val="22"/>
        </w:rPr>
        <w:t xml:space="preserve"> </w:t>
      </w:r>
    </w:p>
    <w:p>
      <w:pPr>
        <w:pStyle w:val="Normal"/>
        <w:rPr>
          <w:sz w:val="22"/>
        </w:rPr>
      </w:pPr>
      <w:r>
        <w:rPr>
          <w:sz w:val="22"/>
        </w:rPr>
      </w:r>
    </w:p>
    <w:p>
      <w:pPr>
        <w:pStyle w:val="Normal"/>
        <w:rPr>
          <w:sz w:val="22"/>
        </w:rPr>
      </w:pPr>
      <w:r>
        <w:rPr>
          <w:sz w:val="22"/>
        </w:rPr>
      </w:r>
    </w:p>
    <w:sectPr>
      <w:headerReference w:type="even" r:id="rId206"/>
      <w:headerReference w:type="default" r:id="rId207"/>
      <w:footerReference w:type="even" r:id="rId208"/>
      <w:footerReference w:type="default" r:id="rId209"/>
      <w:type w:val="oddPage"/>
      <w:pgSz w:w="12240" w:h="15840"/>
      <w:pgMar w:left="2880" w:right="108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0"/>
    <w:family w:val="roman"/>
    <w:pitch w:val="variable"/>
  </w:font>
  <w:font w:name="CG Times">
    <w:altName w:val="Times New Roman"/>
    <w:charset w:val="00"/>
    <w:family w:val="roman"/>
    <w:pitch w:val="variable"/>
  </w:font>
  <w:font w:name="Wingdings 2">
    <w:charset w:val="02"/>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Arial">
    <w:charset w:val="00"/>
    <w:family w:val="swiss"/>
    <w:pitch w:val="variable"/>
  </w:font>
  <w:font w:name="Times">
    <w:altName w:val="Times New Roman"/>
    <w:charset w:val="00"/>
    <w:family w:val="roman"/>
    <w:pitch w:val="variable"/>
  </w:font>
  <w:font w:name="New York">
    <w:altName w:val="Times New Roman"/>
    <w:charset w:val="00"/>
    <w:family w:val="roman"/>
    <w:pitch w:val="variable"/>
  </w:font>
  <w:font w:name="Helvetica">
    <w:altName w:val="Arial"/>
    <w:charset w:val="00"/>
    <w:family w:val="swiss"/>
    <w:pitch w:val="variable"/>
  </w:font>
  <w:font w:name="Palatino">
    <w:altName w:val="Book Antiqua"/>
    <w:charset w:val="00"/>
    <w:family w:val="auto"/>
    <w:pitch w:val="variable"/>
  </w:font>
  <w:font w:name="Geneva">
    <w:altName w:val="Arial"/>
    <w:charset w:val="00"/>
    <w:family w:val="swiss"/>
    <w:pitch w:val="variable"/>
  </w:font>
  <w:font w:name="Alleycat ICG">
    <w:altName w:val="Courier New"/>
    <w:charset w:val="00"/>
    <w:family w:val="auto"/>
    <w:pitch w:val="variable"/>
  </w:font>
  <w:font w:name="Monotype Sorts">
    <w:altName w:val="Symbol"/>
    <w:charset w:val="02"/>
    <w:family w:val="auto"/>
    <w:pitch w:val="variable"/>
  </w:font>
  <w:font w:name="Coronet">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rFonts w:ascii="Arial;Arial" w:hAnsi="Arial;Arial" w:cs="Arial;Arial"/>
        <w:i/>
        <w:i/>
        <w:iCs/>
        <w:sz w:val="18"/>
        <w:u w:val="single"/>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27</w:t>
    </w:r>
    <w:r>
      <w:rPr>
        <w:sz w:val="18"/>
        <w:i/>
        <w:u w:val="single"/>
        <w:iCs/>
        <w:rFonts w:cs="Arial;Arial" w:ascii="Arial;Arial" w:hAnsi="Arial;Arial"/>
      </w:rPr>
      <w:fldChar w:fldCharType="end"/>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29</w:t>
    </w:r>
    <w:r>
      <w:rPr>
        <w:sz w:val="18"/>
        <w:i/>
        <w:u w:val="single"/>
        <w:iCs/>
        <w:rFonts w:cs="Arial;Arial" w:ascii="Arial;Arial" w:hAnsi="Arial;Arial"/>
      </w:rPr>
      <w:fldChar w:fldCharType="end"/>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39</w:t>
    </w:r>
    <w:r>
      <w:rPr>
        <w:sz w:val="18"/>
        <w:i/>
        <w:u w:val="single"/>
        <w:iCs/>
        <w:rFonts w:cs="Arial;Arial" w:ascii="Arial;Arial" w:hAnsi="Arial;Arial"/>
      </w:rPr>
      <w:fldChar w:fldCharType="end"/>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41</w:t>
    </w:r>
    <w:r>
      <w:rPr>
        <w:sz w:val="18"/>
        <w:i/>
        <w:u w:val="single"/>
        <w:iCs/>
        <w:rFonts w:cs="Arial;Arial" w:ascii="Arial;Arial" w:hAnsi="Arial;Arial"/>
      </w:rPr>
      <w:fldChar w:fldCharType="end"/>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43</w:t>
    </w:r>
    <w:r>
      <w:rPr>
        <w:sz w:val="18"/>
        <w:i/>
        <w:u w:val="single"/>
        <w:iCs/>
        <w:rFonts w:cs="Arial;Arial" w:ascii="Arial;Arial" w:hAnsi="Arial;Arial"/>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47</w:t>
    </w:r>
    <w:r>
      <w:rPr>
        <w:sz w:val="18"/>
        <w:i/>
        <w:u w:val="single"/>
        <w:iCs/>
        <w:rFonts w:cs="Arial;Arial" w:ascii="Arial;Arial" w:hAnsi="Arial;Arial"/>
      </w:rPr>
      <w:fldChar w:fldCharType="end"/>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49</w:t>
    </w:r>
    <w:r>
      <w:rPr>
        <w:sz w:val="18"/>
        <w:i/>
        <w:u w:val="single"/>
        <w:iCs/>
        <w:rFonts w:cs="Arial;Arial" w:ascii="Arial;Arial" w:hAnsi="Arial;Arial"/>
      </w:rPr>
      <w:fldChar w:fldCharType="end"/>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51</w:t>
    </w:r>
    <w:r>
      <w:rPr>
        <w:sz w:val="18"/>
        <w:i/>
        <w:u w:val="single"/>
        <w:iCs/>
        <w:rFonts w:cs="Arial;Arial" w:ascii="Arial;Arial" w:hAnsi="Arial;Arial"/>
      </w:rPr>
      <w:fldChar w:fldCharType="end"/>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55</w:t>
    </w:r>
    <w:r>
      <w:rPr>
        <w:sz w:val="18"/>
        <w:i/>
        <w:u w:val="single"/>
        <w:iCs/>
        <w:rFonts w:cs="Arial;Arial" w:ascii="Arial;Arial" w:hAnsi="Arial;Arial"/>
      </w:rPr>
      <w:fldChar w:fldCharType="end"/>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59</w:t>
    </w:r>
    <w:r>
      <w:rPr>
        <w:sz w:val="18"/>
        <w:i/>
        <w:u w:val="single"/>
        <w:iCs/>
        <w:rFonts w:cs="Arial;Arial" w:ascii="Arial;Arial" w:hAnsi="Arial;Arial"/>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61</w:t>
    </w:r>
    <w:r>
      <w:rPr>
        <w:sz w:val="18"/>
        <w:i/>
        <w:u w:val="single"/>
        <w:iCs/>
        <w:rFonts w:cs="Arial;Arial" w:ascii="Arial;Arial" w:hAnsi="Arial;Arial"/>
      </w:rPr>
      <w:fldChar w:fldCharType="end"/>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69</w:t>
    </w:r>
    <w:r>
      <w:rPr>
        <w:sz w:val="18"/>
        <w:i/>
        <w:u w:val="single"/>
        <w:iCs/>
        <w:rFonts w:cs="Arial;Arial" w:ascii="Arial;Arial" w:hAnsi="Arial;Arial"/>
      </w:rPr>
      <w:fldChar w:fldCharType="end"/>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73</w:t>
    </w:r>
    <w:r>
      <w:rPr>
        <w:sz w:val="18"/>
        <w:i/>
        <w:u w:val="single"/>
        <w:iCs/>
        <w:rFonts w:cs="Arial;Arial" w:ascii="Arial;Arial" w:hAnsi="Arial;Arial"/>
      </w:rPr>
      <w:fldChar w:fldCharType="end"/>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83</w:t>
    </w:r>
    <w:r>
      <w:rPr>
        <w:sz w:val="18"/>
        <w:i/>
        <w:u w:val="single"/>
        <w:iCs/>
        <w:rFonts w:cs="Arial;Arial" w:ascii="Arial;Arial" w:hAnsi="Arial;Arial"/>
      </w:rPr>
      <w:fldChar w:fldCharType="end"/>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91</w:t>
    </w:r>
    <w:r>
      <w:rPr>
        <w:sz w:val="18"/>
        <w:i/>
        <w:u w:val="single"/>
        <w:iCs/>
        <w:rFonts w:cs="Arial;Arial" w:ascii="Arial;Arial" w:hAnsi="Arial;Arial"/>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99</w:t>
    </w:r>
    <w:r>
      <w:rPr>
        <w:sz w:val="18"/>
        <w:i/>
        <w:u w:val="single"/>
        <w:iCs/>
        <w:rFonts w:cs="Arial;Arial" w:ascii="Arial;Arial" w:hAnsi="Arial;Arial"/>
      </w:rPr>
      <w:fldChar w:fldCharType="end"/>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107</w:t>
    </w:r>
    <w:r>
      <w:rPr>
        <w:sz w:val="18"/>
        <w:i/>
        <w:u w:val="single"/>
        <w:iCs/>
        <w:rFonts w:cs="Arial;Arial" w:ascii="Arial;Arial" w:hAnsi="Arial;Arial"/>
      </w:rPr>
      <w:fldChar w:fldCharType="end"/>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117</w:t>
    </w:r>
    <w:r>
      <w:rPr>
        <w:sz w:val="18"/>
        <w:i/>
        <w:u w:val="single"/>
        <w:iCs/>
        <w:rFonts w:cs="Arial;Arial" w:ascii="Arial;Arial" w:hAnsi="Arial;Arial"/>
      </w:rPr>
      <w:fldChar w:fldCharType="end"/>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121</w:t>
    </w:r>
    <w:r>
      <w:rPr>
        <w:sz w:val="18"/>
        <w:i/>
        <w:u w:val="single"/>
        <w:iCs/>
        <w:rFonts w:cs="Arial;Arial" w:ascii="Arial;Arial" w:hAnsi="Arial;Arial"/>
      </w:rPr>
      <w:fldChar w:fldCharType="end"/>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143</w:t>
    </w:r>
    <w:r>
      <w:rPr>
        <w:sz w:val="18"/>
        <w:i/>
        <w:u w:val="single"/>
        <w:iCs/>
        <w:rFonts w:cs="Arial;Arial" w:ascii="Arial;Arial" w:hAnsi="Arial;Arial"/>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w:t>
    </w:r>
    <w:r>
      <w:rPr>
        <w:sz w:val="18"/>
        <w:i/>
        <w:u w:val="single"/>
        <w:iCs/>
        <w:rFonts w:cs="Arial;Arial" w:ascii="Arial;Arial" w:hAnsi="Arial;Arial"/>
      </w:rPr>
      <w:fldChar w:fldCharType="end"/>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145</w:t>
    </w:r>
    <w:r>
      <w:rPr>
        <w:sz w:val="18"/>
        <w:i/>
        <w:u w:val="single"/>
        <w:iCs/>
        <w:rFonts w:cs="Arial;Arial" w:ascii="Arial;Arial" w:hAnsi="Arial;Arial"/>
      </w:rPr>
      <w:fldChar w:fldCharType="end"/>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151</w:t>
    </w:r>
    <w:r>
      <w:rPr>
        <w:sz w:val="18"/>
        <w:i/>
        <w:u w:val="single"/>
        <w:iCs/>
        <w:rFonts w:cs="Arial;Arial" w:ascii="Arial;Arial" w:hAnsi="Arial;Arial"/>
      </w:rPr>
      <w:fldChar w:fldCharType="end"/>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159</w:t>
    </w:r>
    <w:r>
      <w:rPr>
        <w:sz w:val="18"/>
        <w:i/>
        <w:u w:val="single"/>
        <w:iCs/>
        <w:rFonts w:cs="Arial;Arial" w:ascii="Arial;Arial" w:hAnsi="Arial;Arial"/>
      </w:rPr>
      <w:fldChar w:fldCharType="end"/>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163</w:t>
    </w:r>
    <w:r>
      <w:rPr>
        <w:sz w:val="18"/>
        <w:i/>
        <w:u w:val="single"/>
        <w:iCs/>
        <w:rFonts w:cs="Arial;Arial" w:ascii="Arial;Arial" w:hAnsi="Arial;Arial"/>
      </w:rPr>
      <w:fldChar w:fldCharType="end"/>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195</w:t>
    </w:r>
    <w:r>
      <w:rPr>
        <w:sz w:val="18"/>
        <w:i/>
        <w:u w:val="single"/>
        <w:iCs/>
        <w:rFonts w:cs="Arial;Arial" w:ascii="Arial;Arial" w:hAnsi="Arial;Arial"/>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197</w:t>
    </w:r>
    <w:r>
      <w:rPr>
        <w:sz w:val="18"/>
        <w:i/>
        <w:u w:val="single"/>
        <w:iCs/>
        <w:rFonts w:cs="Arial;Arial" w:ascii="Arial;Arial" w:hAnsi="Arial;Arial"/>
      </w:rPr>
      <w:fldChar w:fldCharType="end"/>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201</w:t>
    </w:r>
    <w:r>
      <w:rPr>
        <w:sz w:val="18"/>
        <w:i/>
        <w:u w:val="single"/>
        <w:iCs/>
        <w:rFonts w:cs="Arial;Arial" w:ascii="Arial;Arial" w:hAnsi="Arial;Arial"/>
      </w:rPr>
      <w:fldChar w:fldCharType="end"/>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225</w:t>
    </w:r>
    <w:r>
      <w:rPr>
        <w:sz w:val="18"/>
        <w:i/>
        <w:u w:val="single"/>
        <w:iCs/>
        <w:rFonts w:cs="Arial;Arial" w:ascii="Arial;Arial" w:hAnsi="Arial;Arial"/>
      </w:rPr>
      <w:fldChar w:fldCharType="end"/>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239</w:t>
    </w:r>
    <w:r>
      <w:rPr>
        <w:sz w:val="18"/>
        <w:i/>
        <w:u w:val="single"/>
        <w:iCs/>
        <w:rFonts w:cs="Arial;Arial" w:ascii="Arial;Arial" w:hAnsi="Arial;Arial"/>
      </w:rPr>
      <w:fldChar w:fldCharType="end"/>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255</w:t>
    </w:r>
    <w:r>
      <w:rPr>
        <w:sz w:val="18"/>
        <w:i/>
        <w:u w:val="single"/>
        <w:iCs/>
        <w:rFonts w:cs="Arial;Arial" w:ascii="Arial;Arial" w:hAnsi="Arial;Arial"/>
      </w:rPr>
      <w:fldChar w:fldCharType="end"/>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13</w:t>
    </w:r>
    <w:r>
      <w:rPr>
        <w:sz w:val="18"/>
        <w:i/>
        <w:u w:val="single"/>
        <w:iCs/>
        <w:rFonts w:cs="Arial;Arial" w:ascii="Arial;Arial" w:hAnsi="Arial;Arial"/>
      </w:rPr>
      <w:fldChar w:fldCharType="end"/>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265</w:t>
    </w:r>
    <w:r>
      <w:rPr>
        <w:sz w:val="18"/>
        <w:i/>
        <w:u w:val="single"/>
        <w:iCs/>
        <w:rFonts w:cs="Arial;Arial" w:ascii="Arial;Arial" w:hAnsi="Arial;Arial"/>
      </w:rPr>
      <w:fldChar w:fldCharType="end"/>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289</w:t>
    </w:r>
    <w:r>
      <w:rPr>
        <w:sz w:val="18"/>
        <w:i/>
        <w:u w:val="single"/>
        <w:iCs/>
        <w:rFonts w:cs="Arial;Arial" w:ascii="Arial;Arial" w:hAnsi="Arial;Arial"/>
      </w:rPr>
      <w:fldChar w:fldCharType="end"/>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299</w:t>
    </w:r>
    <w:r>
      <w:rPr>
        <w:sz w:val="18"/>
        <w:i/>
        <w:u w:val="single"/>
        <w:iCs/>
        <w:rFonts w:cs="Arial;Arial" w:ascii="Arial;Arial" w:hAnsi="Arial;Arial"/>
      </w:rPr>
      <w:fldChar w:fldCharType="end"/>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303</w:t>
    </w:r>
    <w:r>
      <w:rPr>
        <w:sz w:val="18"/>
        <w:i/>
        <w:u w:val="single"/>
        <w:iCs/>
        <w:rFonts w:cs="Arial;Arial" w:ascii="Arial;Arial" w:hAnsi="Arial;Arial"/>
      </w:rPr>
      <w:fldChar w:fldCharType="end"/>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307</w:t>
    </w:r>
    <w:r>
      <w:rPr>
        <w:sz w:val="18"/>
        <w:i/>
        <w:u w:val="single"/>
        <w:iCs/>
        <w:rFonts w:cs="Arial;Arial" w:ascii="Arial;Arial" w:hAnsi="Arial;Arial"/>
      </w:rPr>
      <w:fldChar w:fldCharType="end"/>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311</w:t>
    </w:r>
    <w:r>
      <w:rPr>
        <w:sz w:val="18"/>
        <w:i/>
        <w:u w:val="single"/>
        <w:iCs/>
        <w:rFonts w:cs="Arial;Arial" w:ascii="Arial;Arial" w:hAnsi="Arial;Arial"/>
      </w:rPr>
      <w:fldChar w:fldCharType="end"/>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313</w:t>
    </w:r>
    <w:r>
      <w:rPr>
        <w:sz w:val="18"/>
        <w:i/>
        <w:u w:val="single"/>
        <w:iCs/>
        <w:rFonts w:cs="Arial;Arial" w:ascii="Arial;Arial" w:hAnsi="Arial;Arial"/>
      </w:rPr>
      <w:fldChar w:fldCharType="end"/>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329</w:t>
    </w:r>
    <w:r>
      <w:rPr>
        <w:sz w:val="18"/>
        <w:i/>
        <w:u w:val="single"/>
        <w:iCs/>
        <w:rFonts w:cs="Arial;Arial" w:ascii="Arial;Arial" w:hAnsi="Arial;Arial"/>
      </w:rPr>
      <w:fldChar w:fldCharType="end"/>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331</w:t>
    </w:r>
    <w:r>
      <w:rPr>
        <w:sz w:val="18"/>
        <w:i/>
        <w:u w:val="single"/>
        <w:iCs/>
        <w:rFonts w:cs="Arial;Arial" w:ascii="Arial;Arial" w:hAnsi="Arial;Arial"/>
      </w:rPr>
      <w:fldChar w:fldCharType="end"/>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February 23,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w:t>
    </w:r>
    <w:r>
      <w:rPr>
        <w:sz w:val="18"/>
        <w:i/>
        <w:u w:val="single"/>
        <w:iCs/>
        <w:rFonts w:cs="Arial;Arial" w:ascii="Arial;Arial" w:hAnsi="Arial;Arial"/>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lvl>
  </w:abstractNum>
  <w:abstractNum w:abstractNumId="3">
    <w:lvl w:ilvl="0">
      <w:start w:val="1"/>
      <w:numFmt w:val="decimal"/>
      <w:lvlText w:val="%1."/>
      <w:lvlJc w:val="left"/>
      <w:pPr>
        <w:tabs>
          <w:tab w:val="num" w:pos="360"/>
        </w:tabs>
        <w:ind w:left="360" w:hanging="360"/>
      </w:pPr>
    </w:lvl>
  </w:abstractNum>
  <w:abstractNum w:abstractNumId="4">
    <w:lvl w:ilvl="0">
      <w:start w:val="1"/>
      <w:numFmt w:val="bullet"/>
      <w:lvlText w:val=""/>
      <w:lvlJc w:val="left"/>
      <w:pPr>
        <w:tabs>
          <w:tab w:val="num" w:pos="360"/>
        </w:tabs>
        <w:ind w:left="360" w:hanging="360"/>
      </w:pPr>
      <w:rPr>
        <w:rFonts w:ascii="Symbol" w:hAnsi="Symbol" w:cs="Symbol" w:hint="default"/>
      </w:rPr>
    </w:lvl>
  </w:abstractNum>
  <w:abstractNum w:abstractNumId="5">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6">
    <w:lvl w:ilvl="0">
      <w:start w:val="2"/>
      <w:numFmt w:val="lowerLetter"/>
      <w:lvlText w:val="%1)"/>
      <w:lvlJc w:val="left"/>
      <w:pPr>
        <w:tabs>
          <w:tab w:val="num" w:pos="360"/>
        </w:tabs>
        <w:ind w:left="360" w:hanging="360"/>
      </w:pPr>
    </w:lvl>
  </w:abstractNum>
  <w:abstractNum w:abstractNumId="7">
    <w:lvl w:ilvl="0">
      <w:start w:val="1"/>
      <w:numFmt w:val="bullet"/>
      <w:lvlText w:val=""/>
      <w:lvlJc w:val="left"/>
      <w:pPr>
        <w:tabs>
          <w:tab w:val="num" w:pos="360"/>
        </w:tabs>
        <w:ind w:left="360" w:hanging="360"/>
      </w:pPr>
      <w:rPr>
        <w:rFonts w:ascii="Symbol" w:hAnsi="Symbol" w:cs="Symbol" w:hint="default"/>
      </w:rPr>
    </w:lvl>
  </w:abstractNum>
  <w:abstractNum w:abstractNumId="8">
    <w:lvl w:ilvl="0">
      <w:start w:val="1"/>
      <w:numFmt w:val="decimal"/>
      <w:lvlText w:val="%1."/>
      <w:lvlJc w:val="left"/>
      <w:pPr>
        <w:tabs>
          <w:tab w:val="num" w:pos="360"/>
        </w:tabs>
        <w:ind w:left="360" w:hanging="360"/>
      </w:pPr>
    </w:lvl>
  </w:abstractNum>
  <w:abstractNum w:abstractNumId="9">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0">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decimal"/>
      <w:lvlText w:val="%1."/>
      <w:lvlJc w:val="left"/>
      <w:pPr>
        <w:tabs>
          <w:tab w:val="num" w:pos="360"/>
        </w:tabs>
        <w:ind w:left="360" w:hanging="360"/>
      </w:pPr>
    </w:lvl>
  </w:abstractNum>
  <w:abstractNum w:abstractNumId="13">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4">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7">
    <w:lvl w:ilvl="0">
      <w:start w:val="1"/>
      <w:numFmt w:val="decimal"/>
      <w:lvlText w:val="%1."/>
      <w:lvlJc w:val="left"/>
      <w:pPr>
        <w:tabs>
          <w:tab w:val="num" w:pos="360"/>
        </w:tabs>
        <w:ind w:left="360" w:hanging="360"/>
      </w:pPr>
    </w:lvl>
  </w:abstractNum>
  <w:abstractNum w:abstractNumId="18">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9">
    <w:lvl w:ilvl="0">
      <w:start w:val="1"/>
      <w:numFmt w:val="decimal"/>
      <w:lvlText w:val="%1."/>
      <w:lvlJc w:val="left"/>
      <w:pPr>
        <w:tabs>
          <w:tab w:val="num" w:pos="360"/>
        </w:tabs>
        <w:ind w:left="360" w:hanging="360"/>
      </w:pPr>
    </w:lvl>
  </w:abstractNum>
  <w:abstractNum w:abstractNumId="20">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21">
    <w:lvl w:ilvl="0">
      <w:start w:val="6"/>
      <w:numFmt w:val="decimal"/>
      <w:lvlText w:val="%1"/>
      <w:lvlJc w:val="left"/>
      <w:pPr>
        <w:tabs>
          <w:tab w:val="num" w:pos="660"/>
        </w:tabs>
        <w:ind w:left="660" w:hanging="660"/>
      </w:pPr>
      <w:rPr/>
    </w:lvl>
    <w:lvl w:ilvl="1">
      <w:start w:val="5"/>
      <w:numFmt w:val="decimal"/>
      <w:lvlText w:val="%1.%2"/>
      <w:lvlJc w:val="left"/>
      <w:pPr>
        <w:tabs>
          <w:tab w:val="num" w:pos="660"/>
        </w:tabs>
        <w:ind w:left="660" w:hanging="660"/>
      </w:pPr>
      <w:rPr/>
    </w:lvl>
    <w:lvl w:ilvl="2">
      <w:start w:val="2"/>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2">
    <w:lvl w:ilvl="0">
      <w:start w:val="1"/>
      <w:numFmt w:val="decimal"/>
      <w:lvlText w:val="%1."/>
      <w:lvlJc w:val="left"/>
      <w:pPr>
        <w:tabs>
          <w:tab w:val="num" w:pos="360"/>
        </w:tabs>
        <w:ind w:left="360" w:hanging="360"/>
      </w:pPr>
    </w:lvl>
  </w:abstractNum>
  <w:abstractNum w:abstractNumId="23">
    <w:lvl w:ilvl="0">
      <w:start w:val="1"/>
      <w:numFmt w:val="decimal"/>
      <w:lvlText w:val="%1."/>
      <w:lvlJc w:val="left"/>
      <w:pPr>
        <w:tabs>
          <w:tab w:val="num" w:pos="360"/>
        </w:tabs>
        <w:ind w:left="360" w:hanging="360"/>
      </w:pPr>
    </w:lvl>
  </w:abstractNum>
  <w:abstractNum w:abstractNumId="24">
    <w:lvl w:ilvl="0">
      <w:start w:val="1"/>
      <w:numFmt w:val="upperLetter"/>
      <w:lvlText w:val="%1."/>
      <w:lvlJc w:val="left"/>
      <w:pPr>
        <w:tabs>
          <w:tab w:val="num" w:pos="360"/>
        </w:tabs>
        <w:ind w:left="360" w:hanging="360"/>
      </w:pPr>
      <w:rPr/>
    </w:lvl>
  </w:abstractNum>
  <w:abstractNum w:abstractNumId="25">
    <w:lvl w:ilvl="0">
      <w:start w:val="1"/>
      <w:numFmt w:val="bullet"/>
      <w:lvlText w:val=""/>
      <w:lvlJc w:val="left"/>
      <w:pPr>
        <w:tabs>
          <w:tab w:val="num" w:pos="360"/>
        </w:tabs>
        <w:ind w:left="360" w:hanging="360"/>
      </w:pPr>
      <w:rPr>
        <w:rFonts w:ascii="Symbol" w:hAnsi="Symbol" w:cs="Symbol" w:hint="default"/>
      </w:rPr>
    </w:lvl>
  </w:abstractNum>
  <w:abstractNum w:abstractNumId="26">
    <w:lvl w:ilvl="0">
      <w:start w:val="1"/>
      <w:numFmt w:val="decimal"/>
      <w:lvlText w:val="%1."/>
      <w:lvlJc w:val="left"/>
      <w:pPr>
        <w:tabs>
          <w:tab w:val="num" w:pos="360"/>
        </w:tabs>
        <w:ind w:left="360" w:hanging="360"/>
      </w:pPr>
    </w:lvl>
  </w:abstractNum>
  <w:abstractNum w:abstractNumId="27">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28">
    <w:lvl w:ilvl="0">
      <w:start w:val="2"/>
      <w:numFmt w:val="lowerLetter"/>
      <w:lvlText w:val="%1)"/>
      <w:lvlJc w:val="left"/>
      <w:pPr>
        <w:tabs>
          <w:tab w:val="num" w:pos="360"/>
        </w:tabs>
        <w:ind w:left="360" w:hanging="360"/>
      </w:pPr>
    </w:lvl>
  </w:abstractNum>
  <w:abstractNum w:abstractNumId="29">
    <w:lvl w:ilvl="0">
      <w:start w:val="1"/>
      <w:numFmt w:val="decimal"/>
      <w:lvlText w:val="%1."/>
      <w:lvlJc w:val="left"/>
      <w:pPr>
        <w:tabs>
          <w:tab w:val="num" w:pos="360"/>
        </w:tabs>
        <w:ind w:left="360" w:hanging="360"/>
      </w:pPr>
    </w:lvl>
  </w:abstractNum>
  <w:abstractNum w:abstractNumId="30">
    <w:lvl w:ilvl="0">
      <w:start w:val="1"/>
      <w:numFmt w:val="bullet"/>
      <w:lvlText w:val=""/>
      <w:lvlJc w:val="left"/>
      <w:pPr>
        <w:tabs>
          <w:tab w:val="num" w:pos="360"/>
        </w:tabs>
        <w:ind w:left="360" w:hanging="360"/>
      </w:pPr>
      <w:rPr>
        <w:rFonts w:ascii="Wingdings" w:hAnsi="Wingdings" w:cs="Wingdings" w:hint="default"/>
        <w:sz w:val="16"/>
      </w:rPr>
    </w:lvl>
  </w:abstractNum>
  <w:abstractNum w:abstractNumId="31">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32">
    <w:lvl w:ilvl="0">
      <w:start w:val="2"/>
      <w:numFmt w:val="upperLetter"/>
      <w:lvlText w:val="%1."/>
      <w:lvlJc w:val="left"/>
      <w:pPr>
        <w:tabs>
          <w:tab w:val="num" w:pos="360"/>
        </w:tabs>
        <w:ind w:left="360" w:hanging="360"/>
      </w:pPr>
      <w:rPr>
        <w:u w:val="none"/>
      </w:rPr>
    </w:lvl>
  </w:abstractNum>
  <w:abstractNum w:abstractNumId="33">
    <w:lvl w:ilvl="0">
      <w:start w:val="1"/>
      <w:numFmt w:val="decimal"/>
      <w:lvlText w:val="%1."/>
      <w:lvlJc w:val="left"/>
      <w:pPr>
        <w:tabs>
          <w:tab w:val="num" w:pos="360"/>
        </w:tabs>
        <w:ind w:left="360" w:hanging="360"/>
      </w:pPr>
    </w:lvl>
  </w:abstractNum>
  <w:abstractNum w:abstractNumId="34">
    <w:lvl w:ilvl="0">
      <w:start w:val="1"/>
      <w:numFmt w:val="decimal"/>
      <w:lvlText w:val="%1."/>
      <w:lvlJc w:val="left"/>
      <w:pPr>
        <w:tabs>
          <w:tab w:val="num" w:pos="360"/>
        </w:tabs>
        <w:ind w:left="360" w:hanging="360"/>
      </w:pPr>
    </w:lvl>
  </w:abstractNum>
  <w:abstractNum w:abstractNumId="35">
    <w:lvl w:ilvl="0">
      <w:numFmt w:val="decimal"/>
      <w:lvlText w:val="1.%1"/>
      <w:lvlJc w:val="left"/>
      <w:pPr>
        <w:tabs>
          <w:tab w:val="num" w:pos="360"/>
        </w:tabs>
        <w:ind w:left="360" w:hanging="360"/>
      </w:p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lvl w:ilvl="0">
      <w:start w:val="1"/>
      <w:numFmt w:val="decimal"/>
      <w:lvlText w:val="%1."/>
      <w:lvlJc w:val="left"/>
      <w:pPr>
        <w:tabs>
          <w:tab w:val="num" w:pos="360"/>
        </w:tabs>
        <w:ind w:left="360" w:hanging="360"/>
      </w:pPr>
    </w:lvl>
  </w:abstractNum>
  <w:abstractNum w:abstractNumId="38">
    <w:lvl w:ilvl="0">
      <w:start w:val="1"/>
      <w:numFmt w:val="bullet"/>
      <w:lvlText w:val=""/>
      <w:lvlJc w:val="left"/>
      <w:pPr>
        <w:tabs>
          <w:tab w:val="num" w:pos="360"/>
        </w:tabs>
        <w:ind w:left="360" w:hanging="360"/>
      </w:pPr>
      <w:rPr>
        <w:rFonts w:ascii="Wingdings 2" w:hAnsi="Wingdings 2" w:cs="Wingdings 2" w:hint="default"/>
        <w:sz w:val="16"/>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75"/>
  <w:mirrorMargins/>
  <w:defaultTabStop w:val="709"/>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val="false"/>
      <w:autoSpaceDE w:val="false"/>
      <w:bidi w:val="0"/>
    </w:pPr>
    <w:rPr>
      <w:rFonts w:ascii="Times New Roman;Times New Roman" w:hAnsi="Times New Roman;Times New Roman" w:eastAsia="Times New Roman;Times New Roman" w:cs="Times New Roman;Times New Roman"/>
      <w:color w:val="auto"/>
      <w:sz w:val="24"/>
      <w:szCs w:val="24"/>
      <w:lang w:val="en-US" w:bidi="ar-SA" w:eastAsia="zh-CN"/>
    </w:rPr>
  </w:style>
  <w:style w:type="paragraph" w:styleId="Heading1">
    <w:name w:val="Heading 1"/>
    <w:basedOn w:val="Normal"/>
    <w:next w:val="Normal"/>
    <w:qFormat/>
    <w:pPr>
      <w:keepNext w:val="true"/>
      <w:numPr>
        <w:ilvl w:val="0"/>
        <w:numId w:val="1"/>
      </w:numPr>
      <w:tabs>
        <w:tab w:val="clear" w:pos="720"/>
        <w:tab w:val="left" w:pos="576" w:leader="none"/>
      </w:tabs>
      <w:autoSpaceDE w:val="true"/>
      <w:outlineLvl w:val="0"/>
    </w:pPr>
    <w:rPr>
      <w:rFonts w:ascii="CG Times;Times New Roman" w:hAnsi="CG Times;Times New Roman" w:cs="CG Times;Times New Roman"/>
      <w:b/>
      <w:szCs w:val="20"/>
    </w:rPr>
  </w:style>
  <w:style w:type="paragraph" w:styleId="Heading2">
    <w:name w:val="Heading 2"/>
    <w:basedOn w:val="Normal"/>
    <w:next w:val="Normal"/>
    <w:qFormat/>
    <w:pPr>
      <w:keepNext w:val="true"/>
      <w:widowControl/>
      <w:numPr>
        <w:ilvl w:val="1"/>
        <w:numId w:val="1"/>
      </w:numPr>
      <w:tabs>
        <w:tab w:val="clear" w:pos="720"/>
        <w:tab w:val="left" w:pos="576" w:leader="none"/>
        <w:tab w:val="left" w:pos="2040" w:leader="none"/>
        <w:tab w:val="left" w:pos="3480" w:leader="none"/>
        <w:tab w:val="left" w:pos="4920" w:leader="none"/>
        <w:tab w:val="left" w:pos="6360" w:leader="none"/>
        <w:tab w:val="left" w:pos="7800" w:leader="none"/>
      </w:tabs>
      <w:autoSpaceDE w:val="true"/>
      <w:outlineLvl w:val="1"/>
    </w:pPr>
    <w:rPr>
      <w:szCs w:val="20"/>
    </w:rPr>
  </w:style>
  <w:style w:type="paragraph" w:styleId="Heading3">
    <w:name w:val="Heading 3"/>
    <w:basedOn w:val="Normal"/>
    <w:next w:val="Normal"/>
    <w:qFormat/>
    <w:pPr>
      <w:keepNext w:val="true"/>
      <w:widowControl/>
      <w:numPr>
        <w:ilvl w:val="2"/>
        <w:numId w:val="1"/>
      </w:numPr>
      <w:tabs>
        <w:tab w:val="clear" w:pos="720"/>
        <w:tab w:val="left" w:pos="576" w:leader="none"/>
      </w:tabs>
      <w:autoSpaceDE w:val="true"/>
      <w:outlineLvl w:val="2"/>
    </w:pPr>
    <w:rPr>
      <w:szCs w:val="20"/>
      <w:u w:val="single"/>
    </w:rPr>
  </w:style>
  <w:style w:type="paragraph" w:styleId="Heading4">
    <w:name w:val="Heading 4"/>
    <w:basedOn w:val="Normal"/>
    <w:next w:val="Normal"/>
    <w:qFormat/>
    <w:pPr>
      <w:keepNext w:val="true"/>
      <w:numPr>
        <w:ilvl w:val="3"/>
        <w:numId w:val="1"/>
      </w:numPr>
      <w:outlineLvl w:val="3"/>
    </w:pPr>
    <w:rPr>
      <w:sz w:val="36"/>
    </w:rPr>
  </w:style>
  <w:style w:type="paragraph" w:styleId="Heading5">
    <w:name w:val="Heading 5"/>
    <w:basedOn w:val="Normal"/>
    <w:next w:val="Normal"/>
    <w:qFormat/>
    <w:pPr>
      <w:keepNext w:val="true"/>
      <w:widowControl/>
      <w:numPr>
        <w:ilvl w:val="0"/>
        <w:numId w:val="32"/>
      </w:numPr>
      <w:tabs>
        <w:tab w:val="clear" w:pos="720"/>
        <w:tab w:val="left" w:pos="-1440" w:leader="none"/>
      </w:tabs>
      <w:autoSpaceDE w:val="true"/>
      <w:outlineLvl w:val="4"/>
    </w:pPr>
    <w:rPr>
      <w:b/>
      <w:szCs w:val="20"/>
      <w:u w:val="single"/>
    </w:rPr>
  </w:style>
  <w:style w:type="paragraph" w:styleId="Heading6">
    <w:name w:val="Heading 6"/>
    <w:basedOn w:val="Normal"/>
    <w:next w:val="Normal"/>
    <w:qFormat/>
    <w:pPr>
      <w:keepNext w:val="true"/>
      <w:numPr>
        <w:ilvl w:val="5"/>
        <w:numId w:val="1"/>
      </w:numPr>
      <w:ind w:firstLine="3600"/>
      <w:outlineLvl w:val="5"/>
    </w:pPr>
    <w:rPr>
      <w:sz w:val="36"/>
    </w:rPr>
  </w:style>
  <w:style w:type="paragraph" w:styleId="Heading7">
    <w:name w:val="Heading 7"/>
    <w:basedOn w:val="Normal"/>
    <w:next w:val="Normal"/>
    <w:qFormat/>
    <w:pPr>
      <w:keepNext w:val="true"/>
      <w:widowControl/>
      <w:numPr>
        <w:ilvl w:val="0"/>
        <w:numId w:val="24"/>
      </w:numPr>
      <w:tabs>
        <w:tab w:val="left" w:pos="720" w:leader="none"/>
      </w:tabs>
      <w:autoSpaceDE w:val="true"/>
      <w:outlineLvl w:val="6"/>
    </w:pPr>
    <w:rPr>
      <w:szCs w:val="20"/>
    </w:rPr>
  </w:style>
  <w:style w:type="paragraph" w:styleId="Heading8">
    <w:name w:val="Heading 8"/>
    <w:basedOn w:val="Normal"/>
    <w:next w:val="Normal"/>
    <w:qFormat/>
    <w:pPr>
      <w:keepNext w:val="true"/>
      <w:widowControl/>
      <w:numPr>
        <w:ilvl w:val="7"/>
        <w:numId w:val="1"/>
      </w:numPr>
      <w:autoSpaceDE w:val="true"/>
      <w:ind w:left="360" w:hanging="0"/>
      <w:outlineLvl w:val="7"/>
    </w:pPr>
    <w:rPr>
      <w:szCs w:val="20"/>
      <w:u w:val="single"/>
    </w:rPr>
  </w:style>
  <w:style w:type="paragraph" w:styleId="Heading9">
    <w:name w:val="Heading 9"/>
    <w:basedOn w:val="Normal"/>
    <w:next w:val="Normal"/>
    <w:qFormat/>
    <w:pPr>
      <w:keepNext w:val="true"/>
      <w:widowControl/>
      <w:numPr>
        <w:ilvl w:val="8"/>
        <w:numId w:val="1"/>
      </w:numPr>
      <w:autoSpaceDE w:val="true"/>
      <w:ind w:left="360" w:hanging="0"/>
      <w:outlineLvl w:val="8"/>
    </w:pPr>
    <w:rPr>
      <w:szCs w:val="20"/>
    </w:rPr>
  </w:style>
  <w:style w:type="character" w:styleId="WW8Num3z0">
    <w:name w:val="WW8Num3z0"/>
    <w:qFormat/>
    <w:rPr>
      <w:rFonts w:ascii="Symbol" w:hAnsi="Symbol" w:cs="Symbol"/>
    </w:rPr>
  </w:style>
  <w:style w:type="character" w:styleId="WW8Num4z0">
    <w:name w:val="WW8Num4z0"/>
    <w:qFormat/>
    <w:rPr>
      <w:rFonts w:ascii="Wingdings 2" w:hAnsi="Wingdings 2" w:cs="Wingdings 2"/>
      <w:sz w:val="16"/>
    </w:rPr>
  </w:style>
  <w:style w:type="character" w:styleId="WW8Num6z0">
    <w:name w:val="WW8Num6z0"/>
    <w:qFormat/>
    <w:rPr>
      <w:rFonts w:ascii="Symbol" w:hAnsi="Symbol" w:cs="Symbol"/>
    </w:rPr>
  </w:style>
  <w:style w:type="character" w:styleId="WW8Num8z0">
    <w:name w:val="WW8Num8z0"/>
    <w:qFormat/>
    <w:rPr>
      <w:rFonts w:ascii="Wingdings 2" w:hAnsi="Wingdings 2" w:cs="Wingdings 2"/>
      <w:sz w:val="16"/>
    </w:rPr>
  </w:style>
  <w:style w:type="character" w:styleId="WW8Num9z0">
    <w:name w:val="WW8Num9z0"/>
    <w:qFormat/>
    <w:rPr>
      <w:rFonts w:ascii="Wingdings 2" w:hAnsi="Wingdings 2" w:cs="Wingdings 2"/>
      <w:sz w:val="16"/>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2z0">
    <w:name w:val="WW8Num12z0"/>
    <w:qFormat/>
    <w:rPr>
      <w:rFonts w:ascii="Wingdings 2" w:hAnsi="Wingdings 2" w:cs="Wingdings 2"/>
      <w:sz w:val="16"/>
    </w:rPr>
  </w:style>
  <w:style w:type="character" w:styleId="WW8Num13z0">
    <w:name w:val="WW8Num13z0"/>
    <w:qFormat/>
    <w:rPr>
      <w:rFonts w:ascii="Wingdings 2" w:hAnsi="Wingdings 2" w:cs="Wingdings 2"/>
      <w:sz w:val="16"/>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Wingdings 2" w:hAnsi="Wingdings 2" w:cs="Wingdings 2"/>
      <w:sz w:val="16"/>
    </w:rPr>
  </w:style>
  <w:style w:type="character" w:styleId="WW8Num17z0">
    <w:name w:val="WW8Num17z0"/>
    <w:qFormat/>
    <w:rPr>
      <w:rFonts w:ascii="Wingdings 2" w:hAnsi="Wingdings 2" w:cs="Wingdings 2"/>
      <w:sz w:val="16"/>
    </w:rPr>
  </w:style>
  <w:style w:type="character" w:styleId="WW8Num19z0">
    <w:name w:val="WW8Num19z0"/>
    <w:qFormat/>
    <w:rPr>
      <w:rFonts w:ascii="Wingdings 2" w:hAnsi="Wingdings 2" w:cs="Wingdings 2"/>
      <w:sz w:val="16"/>
    </w:rPr>
  </w:style>
  <w:style w:type="character" w:styleId="WW8Num20z0">
    <w:name w:val="WW8Num20z0"/>
    <w:qFormat/>
    <w:rPr/>
  </w:style>
  <w:style w:type="character" w:styleId="WW8Num23z0">
    <w:name w:val="WW8Num23z0"/>
    <w:qFormat/>
    <w:rPr/>
  </w:style>
  <w:style w:type="character" w:styleId="WW8Num24z0">
    <w:name w:val="WW8Num24z0"/>
    <w:qFormat/>
    <w:rPr>
      <w:rFonts w:ascii="Symbol" w:hAnsi="Symbol" w:cs="Symbol"/>
    </w:rPr>
  </w:style>
  <w:style w:type="character" w:styleId="WW8Num26z0">
    <w:name w:val="WW8Num26z0"/>
    <w:qFormat/>
    <w:rPr>
      <w:rFonts w:ascii="Wingdings 2" w:hAnsi="Wingdings 2" w:cs="Wingdings 2"/>
      <w:sz w:val="16"/>
    </w:rPr>
  </w:style>
  <w:style w:type="character" w:styleId="WW8Num29z0">
    <w:name w:val="WW8Num29z0"/>
    <w:qFormat/>
    <w:rPr>
      <w:rFonts w:ascii="Wingdings" w:hAnsi="Wingdings" w:cs="Wingdings"/>
      <w:sz w:val="16"/>
    </w:rPr>
  </w:style>
  <w:style w:type="character" w:styleId="WW8Num30z0">
    <w:name w:val="WW8Num30z0"/>
    <w:qFormat/>
    <w:rPr>
      <w:rFonts w:ascii="Wingdings 2" w:hAnsi="Wingdings 2" w:cs="Wingdings 2"/>
      <w:sz w:val="16"/>
    </w:rPr>
  </w:style>
  <w:style w:type="character" w:styleId="WW8Num31z0">
    <w:name w:val="WW8Num31z0"/>
    <w:qFormat/>
    <w:rPr>
      <w:u w:val="none"/>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7z0">
    <w:name w:val="WW8Num37z0"/>
    <w:qFormat/>
    <w:rPr>
      <w:rFonts w:ascii="Wingdings 2" w:hAnsi="Wingdings 2" w:cs="Wingdings 2"/>
      <w:sz w:val="16"/>
    </w:rPr>
  </w:style>
  <w:style w:type="character" w:styleId="DefaultParagraphFont">
    <w:name w:val="Default Paragraph Font"/>
    <w:qFormat/>
    <w:rPr/>
  </w:style>
  <w:style w:type="character" w:styleId="PageNumber">
    <w:name w:val="Page Number"/>
    <w:basedOn w:val="DefaultParagraphFont"/>
    <w:rPr/>
  </w:style>
  <w:style w:type="character" w:styleId="InternetLink">
    <w:name w:val="Hyperlink"/>
    <w:basedOn w:val="DefaultParagraphFont"/>
    <w:rPr>
      <w:color w:val="0000FF"/>
      <w:u w:val="single"/>
    </w:rPr>
  </w:style>
  <w:style w:type="character" w:styleId="VisitedInternetLink">
    <w:name w:val="FollowedHyperlink"/>
    <w:basedOn w:val="DefaultParagraphFont"/>
    <w:rPr>
      <w:color w:val="800080"/>
      <w:u w:val="single"/>
    </w:rPr>
  </w:style>
  <w:style w:type="character" w:styleId="IndexLink">
    <w:name w:val="Index Link"/>
    <w:qFormat/>
    <w:rPr/>
  </w:style>
  <w:style w:type="paragraph" w:styleId="Heading">
    <w:name w:val="Heading"/>
    <w:basedOn w:val="Normal"/>
    <w:next w:val="TextBody"/>
    <w:qFormat/>
    <w:pPr>
      <w:widowControl/>
      <w:autoSpaceDE w:val="true"/>
      <w:jc w:val="center"/>
    </w:pPr>
    <w:rPr>
      <w:b/>
      <w:szCs w:val="20"/>
    </w:rPr>
  </w:style>
  <w:style w:type="paragraph" w:styleId="TextBody">
    <w:name w:val="Body Text"/>
    <w:basedOn w:val="Normal"/>
    <w:pPr/>
    <w:rPr>
      <w:i/>
      <w:iCs/>
      <w:sz w:val="22"/>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DocumentMap">
    <w:name w:val="Document Map"/>
    <w:basedOn w:val="Normal"/>
    <w:qFormat/>
    <w:pPr>
      <w:shd w:fill="000080" w:val="clear"/>
    </w:pPr>
    <w:rPr>
      <w:rFonts w:ascii="Tahoma" w:hAnsi="Tahoma" w:cs="Tahoma"/>
    </w:rPr>
  </w:style>
  <w:style w:type="paragraph" w:styleId="Romanbold">
    <w:name w:val="Roman bold"/>
    <w:basedOn w:val="Normal"/>
    <w:qFormat/>
    <w:pPr>
      <w:tabs>
        <w:tab w:val="clear" w:pos="720"/>
        <w:tab w:val="right" w:pos="450" w:leader="none"/>
      </w:tabs>
      <w:ind w:left="630" w:hanging="630"/>
    </w:pPr>
    <w:rPr>
      <w:b/>
      <w:bCs/>
      <w:caps/>
    </w:rPr>
  </w:style>
  <w:style w:type="paragraph" w:styleId="Romanbody">
    <w:name w:val="Roman body"/>
    <w:basedOn w:val="Normal"/>
    <w:qFormat/>
    <w:pPr>
      <w:ind w:left="630" w:hanging="0"/>
    </w:pPr>
    <w:rPr/>
  </w:style>
  <w:style w:type="paragraph" w:styleId="Romanbodybullet">
    <w:name w:val="Roman body bullet"/>
    <w:basedOn w:val="Normal"/>
    <w:qFormat/>
    <w:pPr>
      <w:ind w:left="900" w:hanging="270"/>
    </w:pPr>
    <w:rPr/>
  </w:style>
  <w:style w:type="paragraph" w:styleId="Number1">
    <w:name w:val="Number1"/>
    <w:basedOn w:val="Normal"/>
    <w:qFormat/>
    <w:pPr>
      <w:tabs>
        <w:tab w:val="clear" w:pos="720"/>
        <w:tab w:val="right" w:pos="810" w:leader="none"/>
      </w:tabs>
      <w:ind w:left="990" w:hanging="990"/>
    </w:pPr>
    <w:rPr/>
  </w:style>
  <w:style w:type="paragraph" w:styleId="Number1body">
    <w:name w:val="Number1 body"/>
    <w:basedOn w:val="Normal"/>
    <w:qFormat/>
    <w:pPr>
      <w:numPr>
        <w:ilvl w:val="0"/>
        <w:numId w:val="0"/>
      </w:numPr>
      <w:ind w:left="990" w:hanging="0"/>
    </w:pPr>
    <w:rPr/>
  </w:style>
  <w:style w:type="paragraph" w:styleId="Number1bodybullet">
    <w:name w:val="Number1 body bullet"/>
    <w:basedOn w:val="Normal"/>
    <w:qFormat/>
    <w:pPr>
      <w:ind w:left="1260" w:hanging="270"/>
    </w:pPr>
    <w:rPr/>
  </w:style>
  <w:style w:type="paragraph" w:styleId="Roman2">
    <w:name w:val="Roman2"/>
    <w:basedOn w:val="Normal"/>
    <w:qFormat/>
    <w:pPr>
      <w:tabs>
        <w:tab w:val="clear" w:pos="720"/>
        <w:tab w:val="right" w:pos="1170" w:leader="none"/>
      </w:tabs>
      <w:ind w:left="1260" w:hanging="1260"/>
    </w:pPr>
    <w:rPr>
      <w:b/>
      <w:bCs/>
    </w:rPr>
  </w:style>
  <w:style w:type="paragraph" w:styleId="Roman2A">
    <w:name w:val="Roman2A"/>
    <w:basedOn w:val="Normal"/>
    <w:qFormat/>
    <w:pPr>
      <w:tabs>
        <w:tab w:val="clear" w:pos="720"/>
        <w:tab w:val="right" w:pos="1350" w:leader="none"/>
      </w:tabs>
      <w:ind w:left="1530" w:hanging="1530"/>
    </w:pPr>
    <w:rPr/>
  </w:style>
  <w:style w:type="paragraph" w:styleId="Roman2A1">
    <w:name w:val="Roman2A1"/>
    <w:basedOn w:val="Normal"/>
    <w:qFormat/>
    <w:pPr>
      <w:tabs>
        <w:tab w:val="clear" w:pos="720"/>
        <w:tab w:val="right" w:pos="1800" w:leader="none"/>
      </w:tabs>
      <w:ind w:left="1890" w:hanging="1890"/>
    </w:pPr>
    <w:rPr/>
  </w:style>
  <w:style w:type="paragraph" w:styleId="Arialbold9">
    <w:name w:val="Arial bold 9"/>
    <w:basedOn w:val="Roman2A1"/>
    <w:qFormat/>
    <w:pPr>
      <w:tabs>
        <w:tab w:val="clear" w:pos="1800"/>
      </w:tabs>
    </w:pPr>
    <w:rPr>
      <w:rFonts w:ascii="Arial;Arial" w:hAnsi="Arial;Arial" w:cs="Arial;Arial"/>
      <w:b/>
      <w:bCs/>
      <w:sz w:val="20"/>
    </w:rPr>
  </w:style>
  <w:style w:type="paragraph" w:styleId="Roman2A1body">
    <w:name w:val="Roman2A1body"/>
    <w:basedOn w:val="Normal"/>
    <w:qFormat/>
    <w:pPr>
      <w:ind w:left="1890" w:hanging="0"/>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Number11">
    <w:name w:val="Number1.1"/>
    <w:basedOn w:val="Number1body"/>
    <w:qFormat/>
    <w:pPr>
      <w:tabs>
        <w:tab w:val="clear" w:pos="720"/>
        <w:tab w:val="right" w:pos="1260" w:leader="none"/>
      </w:tabs>
      <w:ind w:left="1440" w:hanging="1440"/>
    </w:pPr>
    <w:rPr/>
  </w:style>
  <w:style w:type="paragraph" w:styleId="Number11body">
    <w:name w:val="Number1.1 body"/>
    <w:basedOn w:val="Number11"/>
    <w:qFormat/>
    <w:pPr>
      <w:tabs>
        <w:tab w:val="clear" w:pos="1260"/>
      </w:tabs>
      <w:ind w:left="1440" w:hanging="0"/>
    </w:pPr>
    <w:rPr/>
  </w:style>
  <w:style w:type="paragraph" w:styleId="Number11bodybullet">
    <w:name w:val="Number 1.1 body bullet"/>
    <w:basedOn w:val="Number11body"/>
    <w:qFormat/>
    <w:pPr>
      <w:tabs>
        <w:tab w:val="right" w:pos="1530" w:leader="none"/>
      </w:tabs>
      <w:ind w:left="1710" w:hanging="1710"/>
    </w:pPr>
    <w:rPr/>
  </w:style>
  <w:style w:type="paragraph" w:styleId="Footer">
    <w:name w:val="Footer"/>
    <w:basedOn w:val="Normal"/>
    <w:pPr>
      <w:tabs>
        <w:tab w:val="clear" w:pos="720"/>
        <w:tab w:val="center" w:pos="4320" w:leader="none"/>
        <w:tab w:val="right" w:pos="8640" w:leader="none"/>
      </w:tabs>
    </w:pPr>
    <w:rPr/>
  </w:style>
  <w:style w:type="paragraph" w:styleId="11bodyletter">
    <w:name w:val="1.1body letter"/>
    <w:basedOn w:val="Normal"/>
    <w:qFormat/>
    <w:pPr>
      <w:tabs>
        <w:tab w:val="clear" w:pos="720"/>
        <w:tab w:val="right" w:pos="1620" w:leader="none"/>
      </w:tabs>
      <w:ind w:left="1800" w:hanging="1800"/>
    </w:pPr>
    <w:rPr/>
  </w:style>
  <w:style w:type="paragraph" w:styleId="Roman2Abullet">
    <w:name w:val="Roman 2A bullet"/>
    <w:basedOn w:val="Romanbodybullet"/>
    <w:qFormat/>
    <w:pPr>
      <w:ind w:left="1710" w:hanging="180"/>
    </w:pPr>
    <w:rPr/>
  </w:style>
  <w:style w:type="paragraph" w:styleId="Contents1">
    <w:name w:val="TOC 1"/>
    <w:basedOn w:val="Normal"/>
    <w:next w:val="Normal"/>
    <w:pPr/>
    <w:rPr/>
  </w:style>
  <w:style w:type="paragraph" w:styleId="Number111">
    <w:name w:val="Number 1.1.1"/>
    <w:basedOn w:val="Number11"/>
    <w:qFormat/>
    <w:pPr>
      <w:tabs>
        <w:tab w:val="clear" w:pos="1260"/>
        <w:tab w:val="right" w:pos="1800" w:leader="none"/>
      </w:tabs>
      <w:ind w:left="1980" w:hanging="1980"/>
    </w:pPr>
    <w:rPr>
      <w:szCs w:val="20"/>
    </w:rPr>
  </w:style>
  <w:style w:type="paragraph" w:styleId="Contents2">
    <w:name w:val="TOC 2"/>
    <w:basedOn w:val="Normal"/>
    <w:next w:val="Normal"/>
    <w:pPr>
      <w:ind w:left="240" w:hanging="0"/>
    </w:pPr>
    <w:rPr/>
  </w:style>
  <w:style w:type="paragraph" w:styleId="Contents3">
    <w:name w:val="TOC 3"/>
    <w:basedOn w:val="Normal"/>
    <w:next w:val="Normal"/>
    <w:pPr>
      <w:tabs>
        <w:tab w:val="clear" w:pos="720"/>
        <w:tab w:val="right" w:pos="8270" w:leader="dot"/>
      </w:tabs>
      <w:ind w:left="480" w:hanging="0"/>
    </w:pPr>
    <w:rPr>
      <w:szCs w:val="32"/>
      <w:lang w:val="en-US" w:eastAsia="en-US"/>
    </w:rPr>
  </w:style>
  <w:style w:type="paragraph" w:styleId="Contents4">
    <w:name w:val="TOC 4"/>
    <w:basedOn w:val="Normal"/>
    <w:next w:val="Normal"/>
    <w:pPr>
      <w:ind w:left="720" w:hanging="0"/>
    </w:pPr>
    <w:rPr/>
  </w:style>
  <w:style w:type="paragraph" w:styleId="Contents5">
    <w:name w:val="TOC 5"/>
    <w:basedOn w:val="Normal"/>
    <w:next w:val="Normal"/>
    <w:pPr>
      <w:ind w:left="960" w:hanging="0"/>
    </w:pPr>
    <w:rPr/>
  </w:style>
  <w:style w:type="paragraph" w:styleId="Contents6">
    <w:name w:val="TOC 6"/>
    <w:basedOn w:val="Normal"/>
    <w:next w:val="Normal"/>
    <w:pPr>
      <w:ind w:left="1200" w:hanging="0"/>
    </w:pPr>
    <w:rPr/>
  </w:style>
  <w:style w:type="paragraph" w:styleId="Contents7">
    <w:name w:val="TOC 7"/>
    <w:basedOn w:val="Normal"/>
    <w:next w:val="Normal"/>
    <w:pPr>
      <w:ind w:left="1440" w:hanging="0"/>
    </w:pPr>
    <w:rPr/>
  </w:style>
  <w:style w:type="paragraph" w:styleId="Contents8">
    <w:name w:val="TOC 8"/>
    <w:basedOn w:val="Normal"/>
    <w:next w:val="Normal"/>
    <w:pPr>
      <w:ind w:left="1680" w:hanging="0"/>
    </w:pPr>
    <w:rPr/>
  </w:style>
  <w:style w:type="paragraph" w:styleId="Contents9">
    <w:name w:val="TOC 9"/>
    <w:basedOn w:val="Normal"/>
    <w:next w:val="Normal"/>
    <w:pPr>
      <w:ind w:left="1920" w:hanging="0"/>
    </w:pPr>
    <w:rPr/>
  </w:style>
  <w:style w:type="paragraph" w:styleId="Sectionheading">
    <w:name w:val="section heading"/>
    <w:basedOn w:val="Normal"/>
    <w:qFormat/>
    <w:pPr>
      <w:jc w:val="center"/>
    </w:pPr>
    <w:rPr>
      <w:b/>
      <w:bCs/>
      <w:sz w:val="40"/>
    </w:rPr>
  </w:style>
  <w:style w:type="paragraph" w:styleId="Subsectionheading">
    <w:name w:val="subsection heading"/>
    <w:basedOn w:val="Normal"/>
    <w:qFormat/>
    <w:pPr>
      <w:tabs>
        <w:tab w:val="clear" w:pos="720"/>
        <w:tab w:val="decimal" w:pos="360" w:leader="none"/>
      </w:tabs>
      <w:ind w:left="630" w:hanging="630"/>
      <w:jc w:val="center"/>
    </w:pPr>
    <w:rPr>
      <w:b/>
      <w:bCs/>
      <w:sz w:val="36"/>
    </w:rPr>
  </w:style>
  <w:style w:type="paragraph" w:styleId="Subsub">
    <w:name w:val="subsub"/>
    <w:basedOn w:val="Subsectionheading"/>
    <w:qFormat/>
    <w:pPr/>
    <w:rPr>
      <w:sz w:val="32"/>
    </w:rPr>
  </w:style>
  <w:style w:type="paragraph" w:styleId="Subsubsub">
    <w:name w:val="subsubsub"/>
    <w:basedOn w:val="Subsub"/>
    <w:qFormat/>
    <w:pPr/>
    <w:rPr>
      <w:sz w:val="28"/>
    </w:rPr>
  </w:style>
  <w:style w:type="paragraph" w:styleId="TextBodyIndent">
    <w:name w:val="Body Text Indent"/>
    <w:basedOn w:val="Normal"/>
    <w:pPr>
      <w:tabs>
        <w:tab w:val="clear" w:pos="720"/>
        <w:tab w:val="left" w:pos="360" w:leader="none"/>
      </w:tabs>
      <w:ind w:left="990" w:hanging="90"/>
    </w:pPr>
    <w:rPr/>
  </w:style>
  <w:style w:type="paragraph" w:styleId="BodyTextIndent2">
    <w:name w:val="Body Text Indent 2"/>
    <w:basedOn w:val="Normal"/>
    <w:qFormat/>
    <w:pPr>
      <w:tabs>
        <w:tab w:val="clear" w:pos="720"/>
        <w:tab w:val="right" w:pos="1980" w:leader="none"/>
      </w:tabs>
      <w:ind w:left="2070" w:hanging="2070"/>
    </w:pPr>
    <w:rPr/>
  </w:style>
  <w:style w:type="paragraph" w:styleId="BodyText2">
    <w:name w:val="Body Text 2"/>
    <w:basedOn w:val="Normal"/>
    <w:qFormat/>
    <w:pPr>
      <w:tabs>
        <w:tab w:val="clear" w:pos="720"/>
        <w:tab w:val="right" w:pos="360" w:leader="none"/>
        <w:tab w:val="left" w:pos="540" w:leader="none"/>
        <w:tab w:val="right" w:pos="8280" w:leader="dot"/>
      </w:tabs>
      <w:ind w:right="-360" w:hanging="0"/>
    </w:pPr>
    <w:rPr/>
  </w:style>
  <w:style w:type="paragraph" w:styleId="BodyTextIndent3">
    <w:name w:val="Body Text Indent 3"/>
    <w:basedOn w:val="Normal"/>
    <w:qFormat/>
    <w:pPr>
      <w:ind w:left="720" w:hanging="0"/>
    </w:pPr>
    <w:rPr/>
  </w:style>
  <w:style w:type="paragraph" w:styleId="ListBullet">
    <w:name w:val="List Bullet"/>
    <w:basedOn w:val="Normal"/>
    <w:qFormat/>
    <w:pPr>
      <w:widowControl/>
      <w:numPr>
        <w:ilvl w:val="0"/>
        <w:numId w:val="26"/>
      </w:numPr>
      <w:autoSpaceDE w:val="true"/>
    </w:pPr>
    <w:rPr>
      <w:szCs w:val="20"/>
    </w:rPr>
  </w:style>
  <w:style w:type="paragraph" w:styleId="BlockText">
    <w:name w:val="Block Text"/>
    <w:basedOn w:val="Normal"/>
    <w:qFormat/>
    <w:pPr>
      <w:tabs>
        <w:tab w:val="clear" w:pos="720"/>
        <w:tab w:val="right" w:pos="1080" w:leader="none"/>
      </w:tabs>
      <w:ind w:left="1260" w:right="990" w:hanging="1260"/>
    </w:pPr>
    <w:rPr>
      <w:rFonts w:ascii="Arial;Arial" w:hAnsi="Arial;Arial" w:cs="Arial;Arial"/>
    </w:rPr>
  </w:style>
  <w:style w:type="paragraph" w:styleId="Number111bodybullet">
    <w:name w:val="Number 1.1.1 body bullet"/>
    <w:basedOn w:val="Number111"/>
    <w:qFormat/>
    <w:pPr>
      <w:tabs>
        <w:tab w:val="clear" w:pos="1800"/>
        <w:tab w:val="right" w:pos="2070" w:leader="none"/>
      </w:tabs>
      <w:ind w:left="2250" w:hanging="2250"/>
    </w:pPr>
    <w:rPr/>
  </w:style>
  <w:style w:type="paragraph" w:styleId="Subtitle">
    <w:name w:val="Subtitle"/>
    <w:basedOn w:val="Normal"/>
    <w:next w:val="TextBody"/>
    <w:qFormat/>
    <w:pPr>
      <w:widowControl/>
      <w:autoSpaceDE w:val="true"/>
      <w:jc w:val="center"/>
    </w:pPr>
    <w:rPr>
      <w:szCs w:val="20"/>
    </w:rPr>
  </w:style>
  <w:style w:type="paragraph" w:styleId="BodyText3">
    <w:name w:val="Body Text 3"/>
    <w:basedOn w:val="Normal"/>
    <w:qFormat/>
    <w:pPr/>
    <w:rPr>
      <w:color w:val="FF0000"/>
    </w:rPr>
  </w:style>
  <w:style w:type="paragraph" w:styleId="CommentText">
    <w:name w:val="Comment Text"/>
    <w:basedOn w:val="Normal"/>
    <w:qFormat/>
    <w:pPr>
      <w:widowControl/>
      <w:autoSpaceDE w:val="true"/>
    </w:pPr>
    <w:rPr>
      <w:sz w:val="20"/>
      <w:szCs w:val="20"/>
    </w:rPr>
  </w:style>
  <w:style w:type="paragraph" w:styleId="TimesHeaderB">
    <w:name w:val="Times Header B"/>
    <w:basedOn w:val="Normal"/>
    <w:qFormat/>
    <w:pPr>
      <w:widowControl/>
      <w:autoSpaceDE w:val="true"/>
      <w:spacing w:lineRule="atLeast" w:line="480"/>
    </w:pPr>
    <w:rPr>
      <w:rFonts w:ascii="Times" w:hAnsi="Times" w:cs="Times"/>
      <w:b/>
      <w:szCs w:val="20"/>
    </w:rPr>
  </w:style>
  <w:style w:type="paragraph" w:styleId="DList">
    <w:name w:val="#'d List"/>
    <w:basedOn w:val="Normal"/>
    <w:next w:val="Normal"/>
    <w:qFormat/>
    <w:pPr>
      <w:keepLines/>
      <w:widowControl/>
      <w:autoSpaceDE w:val="true"/>
      <w:spacing w:before="0" w:after="120"/>
      <w:ind w:left="1080" w:hanging="360"/>
    </w:pPr>
    <w:rPr>
      <w:rFonts w:ascii="New York;Times New Roman" w:hAnsi="New York;Times New Roman" w:cs="New York;Times New Roman"/>
      <w:szCs w:val="20"/>
    </w:rPr>
  </w:style>
  <w:style w:type="paragraph" w:styleId="Helvetica12">
    <w:name w:val="Helvetica 12"/>
    <w:basedOn w:val="Normal"/>
    <w:qFormat/>
    <w:pPr>
      <w:widowControl/>
      <w:autoSpaceDE w:val="true"/>
    </w:pPr>
    <w:rPr>
      <w:rFonts w:ascii="Helvetica" w:hAnsi="Helvetica" w:cs="Helvetica"/>
      <w:sz w:val="20"/>
      <w:szCs w:val="20"/>
    </w:rPr>
  </w:style>
  <w:style w:type="paragraph" w:styleId="NormalFONTTIMES12">
    <w:name w:val="•Normal + FONT:  TIMES 12"/>
    <w:basedOn w:val="Normal"/>
    <w:qFormat/>
    <w:pPr>
      <w:widowControl/>
      <w:autoSpaceDE w:val="true"/>
    </w:pPr>
    <w:rPr>
      <w:rFonts w:ascii="Palatino;Book Antiqua" w:hAnsi="Palatino;Book Antiqua" w:cs="Palatino;Book Antiqua"/>
      <w:szCs w:val="20"/>
    </w:rPr>
  </w:style>
  <w:style w:type="paragraph" w:styleId="WPNormal">
    <w:name w:val="WP_Normal"/>
    <w:basedOn w:val="Normal"/>
    <w:qFormat/>
    <w:pPr>
      <w:overflowPunct w:val="false"/>
      <w:textAlignment w:val="baseline"/>
    </w:pPr>
    <w:rPr>
      <w:rFonts w:ascii="Geneva;Arial" w:hAnsi="Geneva;Arial" w:cs="Geneva;Arial"/>
      <w:szCs w:val="20"/>
    </w:rPr>
  </w:style>
  <w:style w:type="paragraph" w:styleId="Levnl5">
    <w:name w:val="_levnl5"/>
    <w:qFormat/>
    <w:pPr>
      <w:widowControl w:val="false"/>
      <w:tabs>
        <w:tab w:val="left" w:pos="0" w:leader="none"/>
        <w:tab w:val="left" w:pos="720" w:leader="none"/>
        <w:tab w:val="left" w:pos="1440" w:leader="none"/>
        <w:tab w:val="left" w:pos="2160" w:leader="none"/>
        <w:tab w:val="left" w:pos="2880" w:leader="none"/>
        <w:tab w:val="left" w:pos="3600" w:leader="none"/>
        <w:tab w:val="left" w:pos="4320" w:leader="none"/>
      </w:tabs>
      <w:autoSpaceDE w:val="false"/>
      <w:bidi w:val="0"/>
      <w:ind w:left="3600" w:hanging="720"/>
      <w:jc w:val="both"/>
    </w:pPr>
    <w:rPr>
      <w:rFonts w:ascii="Times New Roman;Times New Roman" w:hAnsi="Times New Roman;Times New Roman" w:eastAsia="Times New Roman;Times New Roman" w:cs="Times New Roman;Times New Roman"/>
      <w:color w:val="auto"/>
      <w:sz w:val="24"/>
      <w:szCs w:val="24"/>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header" Target="header22.xml"/><Relationship Id="rId45" Type="http://schemas.openxmlformats.org/officeDocument/2006/relationships/header" Target="header23.xml"/><Relationship Id="rId46" Type="http://schemas.openxmlformats.org/officeDocument/2006/relationships/footer" Target="footer22.xml"/><Relationship Id="rId47" Type="http://schemas.openxmlformats.org/officeDocument/2006/relationships/footer" Target="footer23.xml"/><Relationship Id="rId48" Type="http://schemas.openxmlformats.org/officeDocument/2006/relationships/header" Target="header24.xml"/><Relationship Id="rId49" Type="http://schemas.openxmlformats.org/officeDocument/2006/relationships/header" Target="header25.xml"/><Relationship Id="rId50" Type="http://schemas.openxmlformats.org/officeDocument/2006/relationships/footer" Target="footer24.xml"/><Relationship Id="rId51" Type="http://schemas.openxmlformats.org/officeDocument/2006/relationships/footer" Target="footer25.xml"/><Relationship Id="rId52" Type="http://schemas.openxmlformats.org/officeDocument/2006/relationships/header" Target="header26.xml"/><Relationship Id="rId53" Type="http://schemas.openxmlformats.org/officeDocument/2006/relationships/header" Target="header27.xml"/><Relationship Id="rId54" Type="http://schemas.openxmlformats.org/officeDocument/2006/relationships/footer" Target="footer26.xml"/><Relationship Id="rId55" Type="http://schemas.openxmlformats.org/officeDocument/2006/relationships/footer" Target="footer27.xml"/><Relationship Id="rId56" Type="http://schemas.openxmlformats.org/officeDocument/2006/relationships/header" Target="header28.xml"/><Relationship Id="rId57" Type="http://schemas.openxmlformats.org/officeDocument/2006/relationships/header" Target="header29.xml"/><Relationship Id="rId58" Type="http://schemas.openxmlformats.org/officeDocument/2006/relationships/footer" Target="footer28.xml"/><Relationship Id="rId59" Type="http://schemas.openxmlformats.org/officeDocument/2006/relationships/footer" Target="footer29.xml"/><Relationship Id="rId60" Type="http://schemas.openxmlformats.org/officeDocument/2006/relationships/header" Target="header30.xml"/><Relationship Id="rId61" Type="http://schemas.openxmlformats.org/officeDocument/2006/relationships/header" Target="header31.xml"/><Relationship Id="rId62" Type="http://schemas.openxmlformats.org/officeDocument/2006/relationships/footer" Target="footer30.xml"/><Relationship Id="rId63" Type="http://schemas.openxmlformats.org/officeDocument/2006/relationships/footer" Target="footer31.xml"/><Relationship Id="rId64" Type="http://schemas.openxmlformats.org/officeDocument/2006/relationships/header" Target="header32.xml"/><Relationship Id="rId65" Type="http://schemas.openxmlformats.org/officeDocument/2006/relationships/header" Target="header33.xml"/><Relationship Id="rId66" Type="http://schemas.openxmlformats.org/officeDocument/2006/relationships/footer" Target="footer32.xml"/><Relationship Id="rId67" Type="http://schemas.openxmlformats.org/officeDocument/2006/relationships/footer" Target="footer33.xml"/><Relationship Id="rId68" Type="http://schemas.openxmlformats.org/officeDocument/2006/relationships/header" Target="header34.xml"/><Relationship Id="rId69" Type="http://schemas.openxmlformats.org/officeDocument/2006/relationships/header" Target="header35.xml"/><Relationship Id="rId70" Type="http://schemas.openxmlformats.org/officeDocument/2006/relationships/footer" Target="footer34.xml"/><Relationship Id="rId71" Type="http://schemas.openxmlformats.org/officeDocument/2006/relationships/footer" Target="footer35.xml"/><Relationship Id="rId72" Type="http://schemas.openxmlformats.org/officeDocument/2006/relationships/header" Target="header36.xml"/><Relationship Id="rId73" Type="http://schemas.openxmlformats.org/officeDocument/2006/relationships/header" Target="header37.xml"/><Relationship Id="rId74" Type="http://schemas.openxmlformats.org/officeDocument/2006/relationships/footer" Target="footer36.xml"/><Relationship Id="rId75" Type="http://schemas.openxmlformats.org/officeDocument/2006/relationships/footer" Target="footer37.xml"/><Relationship Id="rId76" Type="http://schemas.openxmlformats.org/officeDocument/2006/relationships/header" Target="header38.xml"/><Relationship Id="rId77" Type="http://schemas.openxmlformats.org/officeDocument/2006/relationships/header" Target="header39.xml"/><Relationship Id="rId78" Type="http://schemas.openxmlformats.org/officeDocument/2006/relationships/footer" Target="footer38.xml"/><Relationship Id="rId79" Type="http://schemas.openxmlformats.org/officeDocument/2006/relationships/footer" Target="footer39.xml"/><Relationship Id="rId80" Type="http://schemas.openxmlformats.org/officeDocument/2006/relationships/header" Target="header40.xml"/><Relationship Id="rId81" Type="http://schemas.openxmlformats.org/officeDocument/2006/relationships/header" Target="header41.xml"/><Relationship Id="rId82" Type="http://schemas.openxmlformats.org/officeDocument/2006/relationships/footer" Target="footer40.xml"/><Relationship Id="rId83" Type="http://schemas.openxmlformats.org/officeDocument/2006/relationships/footer" Target="footer41.xml"/><Relationship Id="rId84" Type="http://schemas.openxmlformats.org/officeDocument/2006/relationships/header" Target="header42.xml"/><Relationship Id="rId85" Type="http://schemas.openxmlformats.org/officeDocument/2006/relationships/header" Target="header43.xml"/><Relationship Id="rId86" Type="http://schemas.openxmlformats.org/officeDocument/2006/relationships/footer" Target="footer42.xml"/><Relationship Id="rId87" Type="http://schemas.openxmlformats.org/officeDocument/2006/relationships/footer" Target="footer43.xml"/><Relationship Id="rId88" Type="http://schemas.openxmlformats.org/officeDocument/2006/relationships/header" Target="header44.xml"/><Relationship Id="rId89" Type="http://schemas.openxmlformats.org/officeDocument/2006/relationships/header" Target="header45.xml"/><Relationship Id="rId90" Type="http://schemas.openxmlformats.org/officeDocument/2006/relationships/footer" Target="footer44.xml"/><Relationship Id="rId91" Type="http://schemas.openxmlformats.org/officeDocument/2006/relationships/footer" Target="footer45.xml"/><Relationship Id="rId92" Type="http://schemas.openxmlformats.org/officeDocument/2006/relationships/header" Target="header46.xml"/><Relationship Id="rId93" Type="http://schemas.openxmlformats.org/officeDocument/2006/relationships/header" Target="header47.xml"/><Relationship Id="rId94" Type="http://schemas.openxmlformats.org/officeDocument/2006/relationships/footer" Target="footer46.xml"/><Relationship Id="rId95" Type="http://schemas.openxmlformats.org/officeDocument/2006/relationships/footer" Target="footer47.xml"/><Relationship Id="rId96" Type="http://schemas.openxmlformats.org/officeDocument/2006/relationships/header" Target="header48.xml"/><Relationship Id="rId97" Type="http://schemas.openxmlformats.org/officeDocument/2006/relationships/header" Target="header49.xml"/><Relationship Id="rId98" Type="http://schemas.openxmlformats.org/officeDocument/2006/relationships/footer" Target="footer48.xml"/><Relationship Id="rId99" Type="http://schemas.openxmlformats.org/officeDocument/2006/relationships/footer" Target="footer49.xml"/><Relationship Id="rId100" Type="http://schemas.openxmlformats.org/officeDocument/2006/relationships/image" Target="media/image1.png"/><Relationship Id="rId101" Type="http://schemas.openxmlformats.org/officeDocument/2006/relationships/header" Target="header50.xml"/><Relationship Id="rId102" Type="http://schemas.openxmlformats.org/officeDocument/2006/relationships/header" Target="header51.xml"/><Relationship Id="rId103" Type="http://schemas.openxmlformats.org/officeDocument/2006/relationships/footer" Target="footer50.xml"/><Relationship Id="rId104" Type="http://schemas.openxmlformats.org/officeDocument/2006/relationships/footer" Target="footer51.xml"/><Relationship Id="rId105" Type="http://schemas.openxmlformats.org/officeDocument/2006/relationships/header" Target="header52.xml"/><Relationship Id="rId106" Type="http://schemas.openxmlformats.org/officeDocument/2006/relationships/header" Target="header53.xml"/><Relationship Id="rId107" Type="http://schemas.openxmlformats.org/officeDocument/2006/relationships/footer" Target="footer52.xml"/><Relationship Id="rId108" Type="http://schemas.openxmlformats.org/officeDocument/2006/relationships/footer" Target="footer53.xml"/><Relationship Id="rId109" Type="http://schemas.openxmlformats.org/officeDocument/2006/relationships/header" Target="header54.xml"/><Relationship Id="rId110" Type="http://schemas.openxmlformats.org/officeDocument/2006/relationships/header" Target="header55.xml"/><Relationship Id="rId111" Type="http://schemas.openxmlformats.org/officeDocument/2006/relationships/footer" Target="footer54.xml"/><Relationship Id="rId112" Type="http://schemas.openxmlformats.org/officeDocument/2006/relationships/footer" Target="footer55.xml"/><Relationship Id="rId113" Type="http://schemas.openxmlformats.org/officeDocument/2006/relationships/hyperlink" Target="mailto:rprineas@wfubmc.edu" TargetMode="External"/><Relationship Id="rId114" Type="http://schemas.openxmlformats.org/officeDocument/2006/relationships/hyperlink" Target="mailto:prautaha@wfubmc.edu" TargetMode="External"/><Relationship Id="rId115" Type="http://schemas.openxmlformats.org/officeDocument/2006/relationships/hyperlink" Target="mailto:frautaha@wfubmc.edu" TargetMode="External"/><Relationship Id="rId116" Type="http://schemas.openxmlformats.org/officeDocument/2006/relationships/hyperlink" Target="mailto:shhall@wfubmc.edu" TargetMode="External"/><Relationship Id="rId117" Type="http://schemas.openxmlformats.org/officeDocument/2006/relationships/image" Target="media/image2.wmf"/><Relationship Id="rId118" Type="http://schemas.openxmlformats.org/officeDocument/2006/relationships/image" Target="media/image3.wmf"/><Relationship Id="rId119" Type="http://schemas.openxmlformats.org/officeDocument/2006/relationships/image" Target="media/image4.wmf"/><Relationship Id="rId120" Type="http://schemas.openxmlformats.org/officeDocument/2006/relationships/header" Target="header56.xml"/><Relationship Id="rId121" Type="http://schemas.openxmlformats.org/officeDocument/2006/relationships/header" Target="header57.xml"/><Relationship Id="rId122" Type="http://schemas.openxmlformats.org/officeDocument/2006/relationships/footer" Target="footer56.xml"/><Relationship Id="rId123" Type="http://schemas.openxmlformats.org/officeDocument/2006/relationships/footer" Target="footer57.xml"/><Relationship Id="rId124" Type="http://schemas.openxmlformats.org/officeDocument/2006/relationships/header" Target="header58.xml"/><Relationship Id="rId125" Type="http://schemas.openxmlformats.org/officeDocument/2006/relationships/header" Target="header59.xml"/><Relationship Id="rId126" Type="http://schemas.openxmlformats.org/officeDocument/2006/relationships/footer" Target="footer58.xml"/><Relationship Id="rId127" Type="http://schemas.openxmlformats.org/officeDocument/2006/relationships/footer" Target="footer59.xml"/><Relationship Id="rId128" Type="http://schemas.openxmlformats.org/officeDocument/2006/relationships/header" Target="header60.xml"/><Relationship Id="rId129" Type="http://schemas.openxmlformats.org/officeDocument/2006/relationships/header" Target="header61.xml"/><Relationship Id="rId130" Type="http://schemas.openxmlformats.org/officeDocument/2006/relationships/footer" Target="footer60.xml"/><Relationship Id="rId131" Type="http://schemas.openxmlformats.org/officeDocument/2006/relationships/footer" Target="footer61.xml"/><Relationship Id="rId132" Type="http://schemas.openxmlformats.org/officeDocument/2006/relationships/header" Target="header62.xml"/><Relationship Id="rId133" Type="http://schemas.openxmlformats.org/officeDocument/2006/relationships/header" Target="header63.xml"/><Relationship Id="rId134" Type="http://schemas.openxmlformats.org/officeDocument/2006/relationships/footer" Target="footer62.xml"/><Relationship Id="rId135" Type="http://schemas.openxmlformats.org/officeDocument/2006/relationships/footer" Target="footer63.xml"/><Relationship Id="rId136" Type="http://schemas.openxmlformats.org/officeDocument/2006/relationships/header" Target="header64.xml"/><Relationship Id="rId137" Type="http://schemas.openxmlformats.org/officeDocument/2006/relationships/header" Target="header65.xml"/><Relationship Id="rId138" Type="http://schemas.openxmlformats.org/officeDocument/2006/relationships/footer" Target="footer64.xml"/><Relationship Id="rId139" Type="http://schemas.openxmlformats.org/officeDocument/2006/relationships/footer" Target="footer65.xml"/><Relationship Id="rId140" Type="http://schemas.openxmlformats.org/officeDocument/2006/relationships/image" Target="media/image5.jpeg"/><Relationship Id="rId141" Type="http://schemas.openxmlformats.org/officeDocument/2006/relationships/image" Target="media/image6.jpeg"/><Relationship Id="rId142" Type="http://schemas.openxmlformats.org/officeDocument/2006/relationships/image" Target="media/image7.jpeg"/><Relationship Id="rId143" Type="http://schemas.openxmlformats.org/officeDocument/2006/relationships/image" Target="media/image8.jpeg"/><Relationship Id="rId144" Type="http://schemas.openxmlformats.org/officeDocument/2006/relationships/header" Target="header66.xml"/><Relationship Id="rId145" Type="http://schemas.openxmlformats.org/officeDocument/2006/relationships/header" Target="header67.xml"/><Relationship Id="rId146" Type="http://schemas.openxmlformats.org/officeDocument/2006/relationships/footer" Target="footer66.xml"/><Relationship Id="rId147" Type="http://schemas.openxmlformats.org/officeDocument/2006/relationships/footer" Target="footer67.xml"/><Relationship Id="rId148" Type="http://schemas.openxmlformats.org/officeDocument/2006/relationships/image" Target="media/image9.jpeg"/><Relationship Id="rId149" Type="http://schemas.openxmlformats.org/officeDocument/2006/relationships/image" Target="media/image10.jpeg"/><Relationship Id="rId150" Type="http://schemas.openxmlformats.org/officeDocument/2006/relationships/image" Target="media/image11.jpeg"/><Relationship Id="rId151" Type="http://schemas.openxmlformats.org/officeDocument/2006/relationships/header" Target="header68.xml"/><Relationship Id="rId152" Type="http://schemas.openxmlformats.org/officeDocument/2006/relationships/header" Target="header69.xml"/><Relationship Id="rId153" Type="http://schemas.openxmlformats.org/officeDocument/2006/relationships/footer" Target="footer68.xml"/><Relationship Id="rId154" Type="http://schemas.openxmlformats.org/officeDocument/2006/relationships/footer" Target="footer69.xml"/><Relationship Id="rId155" Type="http://schemas.openxmlformats.org/officeDocument/2006/relationships/image" Target="media/image12.jpeg"/><Relationship Id="rId156" Type="http://schemas.openxmlformats.org/officeDocument/2006/relationships/image" Target="media/image13.jpeg"/><Relationship Id="rId157" Type="http://schemas.openxmlformats.org/officeDocument/2006/relationships/image" Target="media/image14.jpeg"/><Relationship Id="rId158" Type="http://schemas.openxmlformats.org/officeDocument/2006/relationships/header" Target="header70.xml"/><Relationship Id="rId159" Type="http://schemas.openxmlformats.org/officeDocument/2006/relationships/header" Target="header71.xml"/><Relationship Id="rId160" Type="http://schemas.openxmlformats.org/officeDocument/2006/relationships/footer" Target="footer70.xml"/><Relationship Id="rId161" Type="http://schemas.openxmlformats.org/officeDocument/2006/relationships/footer" Target="footer71.xml"/><Relationship Id="rId162" Type="http://schemas.openxmlformats.org/officeDocument/2006/relationships/hyperlink" Target="mailto:lrcfunk@iw1.net" TargetMode="External"/><Relationship Id="rId163" Type="http://schemas.openxmlformats.org/officeDocument/2006/relationships/header" Target="header72.xml"/><Relationship Id="rId164" Type="http://schemas.openxmlformats.org/officeDocument/2006/relationships/header" Target="header73.xml"/><Relationship Id="rId165" Type="http://schemas.openxmlformats.org/officeDocument/2006/relationships/footer" Target="footer72.xml"/><Relationship Id="rId166" Type="http://schemas.openxmlformats.org/officeDocument/2006/relationships/footer" Target="footer73.xml"/><Relationship Id="rId167" Type="http://schemas.openxmlformats.org/officeDocument/2006/relationships/header" Target="header74.xml"/><Relationship Id="rId168" Type="http://schemas.openxmlformats.org/officeDocument/2006/relationships/header" Target="header75.xml"/><Relationship Id="rId169" Type="http://schemas.openxmlformats.org/officeDocument/2006/relationships/footer" Target="footer74.xml"/><Relationship Id="rId170" Type="http://schemas.openxmlformats.org/officeDocument/2006/relationships/footer" Target="footer75.xml"/><Relationship Id="rId171" Type="http://schemas.openxmlformats.org/officeDocument/2006/relationships/header" Target="header76.xml"/><Relationship Id="rId172" Type="http://schemas.openxmlformats.org/officeDocument/2006/relationships/header" Target="header77.xml"/><Relationship Id="rId173" Type="http://schemas.openxmlformats.org/officeDocument/2006/relationships/footer" Target="footer76.xml"/><Relationship Id="rId174" Type="http://schemas.openxmlformats.org/officeDocument/2006/relationships/footer" Target="footer77.xml"/><Relationship Id="rId175" Type="http://schemas.openxmlformats.org/officeDocument/2006/relationships/header" Target="header78.xml"/><Relationship Id="rId176" Type="http://schemas.openxmlformats.org/officeDocument/2006/relationships/header" Target="header79.xml"/><Relationship Id="rId177" Type="http://schemas.openxmlformats.org/officeDocument/2006/relationships/footer" Target="footer78.xml"/><Relationship Id="rId178" Type="http://schemas.openxmlformats.org/officeDocument/2006/relationships/footer" Target="footer79.xml"/><Relationship Id="rId179" Type="http://schemas.openxmlformats.org/officeDocument/2006/relationships/header" Target="header80.xml"/><Relationship Id="rId180" Type="http://schemas.openxmlformats.org/officeDocument/2006/relationships/header" Target="header81.xml"/><Relationship Id="rId181" Type="http://schemas.openxmlformats.org/officeDocument/2006/relationships/footer" Target="footer80.xml"/><Relationship Id="rId182" Type="http://schemas.openxmlformats.org/officeDocument/2006/relationships/footer" Target="footer81.xml"/><Relationship Id="rId183" Type="http://schemas.openxmlformats.org/officeDocument/2006/relationships/image" Target="media/image15.png"/><Relationship Id="rId184" Type="http://schemas.openxmlformats.org/officeDocument/2006/relationships/image" Target="media/image16.png"/><Relationship Id="rId185" Type="http://schemas.openxmlformats.org/officeDocument/2006/relationships/image" Target="media/image17.png"/><Relationship Id="rId186" Type="http://schemas.openxmlformats.org/officeDocument/2006/relationships/image" Target="media/image18.png"/><Relationship Id="rId187" Type="http://schemas.openxmlformats.org/officeDocument/2006/relationships/image" Target="media/image19.png"/><Relationship Id="rId188" Type="http://schemas.openxmlformats.org/officeDocument/2006/relationships/oleObject" Target="embeddings/oleObject1.bin"/><Relationship Id="rId189" Type="http://schemas.openxmlformats.org/officeDocument/2006/relationships/image" Target="media/image20.png"/><Relationship Id="rId190" Type="http://schemas.openxmlformats.org/officeDocument/2006/relationships/image" Target="media/image21.png"/><Relationship Id="rId191" Type="http://schemas.openxmlformats.org/officeDocument/2006/relationships/image" Target="media/image22.png"/><Relationship Id="rId192" Type="http://schemas.openxmlformats.org/officeDocument/2006/relationships/oleObject" Target="embeddings/oleObject2.bin"/><Relationship Id="rId193" Type="http://schemas.openxmlformats.org/officeDocument/2006/relationships/image" Target="media/image23.png"/><Relationship Id="rId194" Type="http://schemas.openxmlformats.org/officeDocument/2006/relationships/oleObject" Target="embeddings/oleObject3.bin"/><Relationship Id="rId195" Type="http://schemas.openxmlformats.org/officeDocument/2006/relationships/image" Target="media/image24.png"/><Relationship Id="rId196" Type="http://schemas.openxmlformats.org/officeDocument/2006/relationships/oleObject" Target="embeddings/oleObject4.bin"/><Relationship Id="rId197" Type="http://schemas.openxmlformats.org/officeDocument/2006/relationships/image" Target="media/image25.png"/><Relationship Id="rId198" Type="http://schemas.openxmlformats.org/officeDocument/2006/relationships/header" Target="header82.xml"/><Relationship Id="rId199" Type="http://schemas.openxmlformats.org/officeDocument/2006/relationships/header" Target="header83.xml"/><Relationship Id="rId200" Type="http://schemas.openxmlformats.org/officeDocument/2006/relationships/footer" Target="footer82.xml"/><Relationship Id="rId201" Type="http://schemas.openxmlformats.org/officeDocument/2006/relationships/footer" Target="footer83.xml"/><Relationship Id="rId202" Type="http://schemas.openxmlformats.org/officeDocument/2006/relationships/header" Target="header84.xml"/><Relationship Id="rId203" Type="http://schemas.openxmlformats.org/officeDocument/2006/relationships/header" Target="header85.xml"/><Relationship Id="rId204" Type="http://schemas.openxmlformats.org/officeDocument/2006/relationships/footer" Target="footer84.xml"/><Relationship Id="rId205" Type="http://schemas.openxmlformats.org/officeDocument/2006/relationships/footer" Target="footer85.xml"/><Relationship Id="rId206" Type="http://schemas.openxmlformats.org/officeDocument/2006/relationships/header" Target="header86.xml"/><Relationship Id="rId207" Type="http://schemas.openxmlformats.org/officeDocument/2006/relationships/header" Target="header87.xml"/><Relationship Id="rId208" Type="http://schemas.openxmlformats.org/officeDocument/2006/relationships/footer" Target="footer86.xml"/><Relationship Id="rId209" Type="http://schemas.openxmlformats.org/officeDocument/2006/relationships/footer" Target="footer87.xml"/><Relationship Id="rId210" Type="http://schemas.openxmlformats.org/officeDocument/2006/relationships/numbering" Target="numbering.xml"/><Relationship Id="rId211" Type="http://schemas.openxmlformats.org/officeDocument/2006/relationships/fontTable" Target="fontTable.xml"/><Relationship Id="rId2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1</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2010-05-03T19:02:00Z</dcterms:created>
  <dc:creator>maggie</dc:creator>
  <dc:description/>
  <cp:keywords/>
  <dc:language>en-US</dc:language>
  <cp:lastModifiedBy>whuggins</cp:lastModifiedBy>
  <cp:lastPrinted>2000-12-12T12:42:00Z</cp:lastPrinted>
  <dcterms:modified xsi:type="dcterms:W3CDTF">2010-05-03T19:02:00Z</dcterms:modified>
  <cp:revision>2</cp:revision>
  <dc:subject/>
  <dc:title>Multi-Ethnic Study of Atherosclerosis</dc:title>
</cp:coreProperties>
</file>