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Early Psychosis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Chemical Brain Imaging</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 measure for the standardized administration of magnetic resonance spectroscopy (MRS) in research and clinical efforts.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Purpose: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sz w:val="22"/>
                <w:szCs w:val="22"/>
              </w:rPr>
              <w:t xml:space="preserve">This measure can be used to assess abnormalities in brain chemistry in early psychosis. Signals from multiple nuclei can be quantified; the most common is </w:t>
            </w:r>
            <w:r>
              <w:rPr>
                <w:rFonts w:cs="Arial" w:ascii="Calibri" w:hAnsi="Calibri"/>
                <w:sz w:val="22"/>
                <w:szCs w:val="22"/>
              </w:rPr>
              <w:t>¹</w:t>
            </w:r>
            <w:r>
              <w:rPr>
                <w:rFonts w:cs="Arial" w:ascii="Arial" w:hAnsi="Arial"/>
                <w:sz w:val="22"/>
                <w:szCs w:val="22"/>
              </w:rPr>
              <w:t xml:space="preserve">H (proton), but others include </w:t>
            </w:r>
            <w:r>
              <w:rPr>
                <w:rFonts w:cs="Arial" w:ascii="Arial" w:hAnsi="Arial"/>
                <w:sz w:val="22"/>
                <w:szCs w:val="22"/>
                <w:vertAlign w:val="superscript"/>
              </w:rPr>
              <w:t>31</w:t>
            </w:r>
            <w:r>
              <w:rPr>
                <w:rFonts w:cs="Arial" w:ascii="Arial" w:hAnsi="Arial"/>
                <w:sz w:val="22"/>
                <w:szCs w:val="22"/>
              </w:rPr>
              <w:t xml:space="preserve">P and </w:t>
            </w:r>
            <w:r>
              <w:rPr>
                <w:rFonts w:cs="Arial" w:ascii="Arial" w:hAnsi="Arial"/>
                <w:sz w:val="22"/>
                <w:szCs w:val="22"/>
                <w:vertAlign w:val="superscript"/>
              </w:rPr>
              <w:t>13</w:t>
            </w:r>
            <w:r>
              <w:rPr>
                <w:rFonts w:cs="Arial" w:ascii="Arial" w:hAnsi="Arial"/>
                <w:sz w:val="22"/>
                <w:szCs w:val="22"/>
              </w:rPr>
              <w:t>C.</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This protocol includes recommended technical and analytical procedures for the consistent collection of chemical brain imaging by application of commonly employed magnetic resonance spectroscopy (MRS) methods. These procedures include identification of key MRS acquisition parameters, critical elements of data preprocessing, and key interpretational issues. MRS typically involves a high degree of expertise, specialized hardware and software, and sophisticated data analysis tools. For this reason, it is less standardized than other MR modalities. Nonetheless, there are certain applications that have found widespread use and could make a significant contribution if collected in large numbers of early psychosis patients in a way that is standardized format across sites. In particular, measures of glutamate, GABA, GSH (glutathione), glycine, and other metabolites may provide valuable mechanistic insights. This protocol is intended to reflect the neuroimaging field’s consensus elements as they are primarily summarized in Ongur (2013) and as supplemented by additional references noted below. We focus on </w:t>
            </w:r>
            <w:r>
              <w:rPr>
                <w:rFonts w:cs="Arial" w:ascii="Arial" w:hAnsi="Arial"/>
                <w:sz w:val="22"/>
                <w:szCs w:val="22"/>
                <w:vertAlign w:val="superscript"/>
              </w:rPr>
              <w:t>1</w:t>
            </w:r>
            <w:r>
              <w:rPr>
                <w:rFonts w:cs="Arial" w:ascii="Arial" w:hAnsi="Arial"/>
                <w:sz w:val="22"/>
                <w:szCs w:val="22"/>
              </w:rPr>
              <w:t>H MRS studies below.</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p>
            <w:pPr>
              <w:pStyle w:val="Normal"/>
              <w:jc w:val="center"/>
              <w:rPr>
                <w:rFonts w:ascii="Arial" w:hAnsi="Arial" w:cs="Arial"/>
                <w:b/>
                <w:b/>
                <w:sz w:val="22"/>
                <w:szCs w:val="22"/>
              </w:rPr>
            </w:pPr>
            <w:r>
              <w:rPr>
                <w:rFonts w:cs="Arial" w:ascii="Arial" w:hAnsi="Arial"/>
                <w:b/>
                <w:sz w:val="22"/>
                <w:szCs w:val="22"/>
              </w:rPr>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 xml:space="preserve">Summary of the </w:t>
            </w:r>
            <w:r>
              <w:rPr>
                <w:rFonts w:cs="Arial" w:ascii="Arial" w:hAnsi="Arial"/>
                <w:b/>
                <w:sz w:val="22"/>
                <w:szCs w:val="22"/>
                <w:vertAlign w:val="superscript"/>
              </w:rPr>
              <w:t>1</w:t>
            </w:r>
            <w:r>
              <w:rPr>
                <w:rFonts w:cs="Arial" w:ascii="Arial" w:hAnsi="Arial"/>
                <w:b/>
                <w:sz w:val="22"/>
                <w:szCs w:val="22"/>
              </w:rPr>
              <w:t>H MRS Technical and Analytical Procedures</w:t>
            </w:r>
          </w:p>
          <w:p>
            <w:pPr>
              <w:pStyle w:val="Normal"/>
              <w:numPr>
                <w:ilvl w:val="0"/>
                <w:numId w:val="2"/>
              </w:numPr>
              <w:rPr>
                <w:rFonts w:ascii="Arial" w:hAnsi="Arial" w:cs="Arial"/>
                <w:bCs/>
                <w:sz w:val="22"/>
                <w:szCs w:val="22"/>
                <w:u w:val="single"/>
              </w:rPr>
            </w:pPr>
            <w:r>
              <w:rPr>
                <w:rFonts w:cs="Arial" w:ascii="Arial" w:hAnsi="Arial"/>
                <w:sz w:val="22"/>
                <w:szCs w:val="22"/>
              </w:rPr>
              <w:t>Single shot PRESS is not acceptable at 3T for quantifying Glu/Gln and other metabolites of interest due to poor data quality.</w:t>
            </w:r>
          </w:p>
          <w:p>
            <w:pPr>
              <w:pStyle w:val="Normal"/>
              <w:numPr>
                <w:ilvl w:val="0"/>
                <w:numId w:val="2"/>
              </w:numPr>
              <w:rPr>
                <w:rFonts w:ascii="Arial" w:hAnsi="Arial" w:cs="Arial"/>
                <w:bCs/>
                <w:sz w:val="22"/>
                <w:szCs w:val="22"/>
                <w:u w:val="single"/>
              </w:rPr>
            </w:pPr>
            <w:r>
              <w:rPr>
                <w:rFonts w:cs="Arial" w:ascii="Arial" w:hAnsi="Arial"/>
                <w:sz w:val="22"/>
                <w:szCs w:val="22"/>
              </w:rPr>
              <w:t>GABA/GSH must use a spectral editing approach (such as MEGAPRESS).</w:t>
            </w:r>
          </w:p>
          <w:p>
            <w:pPr>
              <w:pStyle w:val="Normal"/>
              <w:numPr>
                <w:ilvl w:val="0"/>
                <w:numId w:val="2"/>
              </w:numPr>
              <w:rPr>
                <w:rFonts w:ascii="Arial" w:hAnsi="Arial" w:cs="Arial"/>
                <w:bCs/>
                <w:sz w:val="22"/>
                <w:szCs w:val="22"/>
                <w:u w:val="single"/>
              </w:rPr>
            </w:pPr>
            <w:r>
              <w:rPr>
                <w:rFonts w:cs="Arial" w:ascii="Arial" w:hAnsi="Arial"/>
                <w:sz w:val="22"/>
                <w:szCs w:val="22"/>
              </w:rPr>
              <w:t>Brain GSH concentrations are lower than those for GABA, Gln, and several other metabolites. Therefore, GSH quantification at 3T is more challenging. This should be attempted only if there is a previous technical paper from the same site showing evidence of valid and reliable GSH measurement at 3T.</w:t>
            </w:r>
          </w:p>
          <w:p>
            <w:pPr>
              <w:pStyle w:val="Normal"/>
              <w:numPr>
                <w:ilvl w:val="0"/>
                <w:numId w:val="2"/>
              </w:numPr>
              <w:rPr>
                <w:rFonts w:ascii="Arial" w:hAnsi="Arial" w:cs="Arial"/>
                <w:bCs/>
                <w:sz w:val="22"/>
                <w:szCs w:val="22"/>
                <w:u w:val="single"/>
              </w:rPr>
            </w:pPr>
            <w:r>
              <w:rPr>
                <w:rFonts w:cs="Arial" w:ascii="Arial" w:hAnsi="Arial"/>
                <w:sz w:val="22"/>
                <w:szCs w:val="22"/>
              </w:rPr>
              <w:t>Glu/Gln/Gly can be collected using 2D-PRESS, SPECIAL, LASER/Semi-LASER, or other sequence where there is evidence of valid and reliable data collection.</w:t>
            </w:r>
          </w:p>
          <w:p>
            <w:pPr>
              <w:pStyle w:val="ListParagraph"/>
              <w:numPr>
                <w:ilvl w:val="0"/>
                <w:numId w:val="2"/>
              </w:numPr>
              <w:spacing w:before="0" w:after="0"/>
              <w:contextualSpacing w:val="false"/>
              <w:rPr>
                <w:rFonts w:ascii="Arial" w:hAnsi="Arial" w:cs="Arial"/>
                <w:sz w:val="22"/>
                <w:szCs w:val="22"/>
              </w:rPr>
            </w:pPr>
            <w:r>
              <w:rPr>
                <w:rFonts w:cs="Arial" w:ascii="Arial" w:hAnsi="Arial"/>
                <w:sz w:val="22"/>
                <w:szCs w:val="22"/>
              </w:rPr>
              <w:t>Quantification carried out in standardized manner using LC Model, internal referencing to the water resonance only (internal referencing to Cr is widely used but there are reports of abnormalities in Cr in psychotic disorders).</w:t>
            </w:r>
          </w:p>
          <w:p>
            <w:pPr>
              <w:pStyle w:val="Normal"/>
              <w:numPr>
                <w:ilvl w:val="0"/>
                <w:numId w:val="2"/>
              </w:numPr>
              <w:rPr>
                <w:rFonts w:ascii="Arial" w:hAnsi="Arial" w:cs="Arial"/>
                <w:bCs/>
                <w:sz w:val="22"/>
                <w:szCs w:val="22"/>
                <w:u w:val="single"/>
              </w:rPr>
            </w:pPr>
            <w:r>
              <w:rPr>
                <w:rFonts w:cs="Arial" w:ascii="Arial" w:hAnsi="Arial"/>
                <w:sz w:val="22"/>
                <w:szCs w:val="22"/>
              </w:rPr>
              <w:t>Single voxel or chemical shift imaging (CSI) acceptable. If single voxel, use standard placement in anterior cingulate cortex. Voxel size no larger than 12 cc (if investigators cannot collect usable data in voxel this size, that suggests data quality is poor and better not to accept those data as usable).</w:t>
            </w:r>
          </w:p>
          <w:p>
            <w:pPr>
              <w:pStyle w:val="Normal"/>
              <w:numPr>
                <w:ilvl w:val="0"/>
                <w:numId w:val="2"/>
              </w:numPr>
              <w:rPr/>
            </w:pPr>
            <w:r>
              <w:rPr>
                <w:rFonts w:cs="Arial" w:ascii="Arial" w:hAnsi="Arial"/>
                <w:sz w:val="22"/>
                <w:szCs w:val="22"/>
              </w:rPr>
              <w:t>The following data should be recorded as part of inclusion of MRS as a CDE:</w:t>
            </w:r>
          </w:p>
          <w:p>
            <w:pPr>
              <w:pStyle w:val="Normal"/>
              <w:numPr>
                <w:ilvl w:val="1"/>
                <w:numId w:val="2"/>
              </w:numPr>
              <w:rPr>
                <w:rFonts w:ascii="Arial" w:hAnsi="Arial" w:cs="Arial"/>
                <w:sz w:val="22"/>
                <w:szCs w:val="22"/>
              </w:rPr>
            </w:pPr>
            <w:r>
              <w:rPr>
                <w:rFonts w:cs="Arial" w:ascii="Arial" w:hAnsi="Arial"/>
                <w:sz w:val="22"/>
                <w:szCs w:val="22"/>
              </w:rPr>
              <w:t>Make and model of Scanner</w:t>
            </w:r>
          </w:p>
          <w:p>
            <w:pPr>
              <w:pStyle w:val="Normal"/>
              <w:numPr>
                <w:ilvl w:val="1"/>
                <w:numId w:val="2"/>
              </w:numPr>
              <w:rPr>
                <w:rFonts w:ascii="Arial" w:hAnsi="Arial" w:cs="Arial"/>
                <w:sz w:val="22"/>
                <w:szCs w:val="22"/>
              </w:rPr>
            </w:pPr>
            <w:r>
              <w:rPr>
                <w:rFonts w:cs="Arial" w:ascii="Arial" w:hAnsi="Arial"/>
                <w:sz w:val="22"/>
                <w:szCs w:val="22"/>
              </w:rPr>
              <w:t>Linewidths</w:t>
            </w:r>
          </w:p>
          <w:p>
            <w:pPr>
              <w:pStyle w:val="Normal"/>
              <w:numPr>
                <w:ilvl w:val="1"/>
                <w:numId w:val="2"/>
              </w:numPr>
              <w:rPr>
                <w:rFonts w:ascii="Arial" w:hAnsi="Arial" w:cs="Arial"/>
                <w:sz w:val="22"/>
                <w:szCs w:val="22"/>
              </w:rPr>
            </w:pPr>
            <w:r>
              <w:rPr>
                <w:rFonts w:cs="Arial" w:ascii="Arial" w:hAnsi="Arial"/>
                <w:sz w:val="22"/>
                <w:szCs w:val="22"/>
              </w:rPr>
              <w:t>SNR</w:t>
            </w:r>
          </w:p>
          <w:p>
            <w:pPr>
              <w:pStyle w:val="Normal"/>
              <w:numPr>
                <w:ilvl w:val="1"/>
                <w:numId w:val="2"/>
              </w:numPr>
              <w:rPr>
                <w:rFonts w:ascii="Arial" w:hAnsi="Arial" w:cs="Arial"/>
                <w:sz w:val="22"/>
                <w:szCs w:val="22"/>
              </w:rPr>
            </w:pPr>
            <w:r>
              <w:rPr>
                <w:rFonts w:cs="Arial" w:ascii="Arial" w:hAnsi="Arial"/>
                <w:sz w:val="22"/>
                <w:szCs w:val="22"/>
              </w:rPr>
              <w:t>Shimming values</w:t>
            </w:r>
          </w:p>
          <w:p>
            <w:pPr>
              <w:pStyle w:val="Normal"/>
              <w:numPr>
                <w:ilvl w:val="1"/>
                <w:numId w:val="2"/>
              </w:numPr>
              <w:rPr>
                <w:rFonts w:ascii="Arial" w:hAnsi="Arial" w:cs="Arial"/>
                <w:sz w:val="22"/>
                <w:szCs w:val="22"/>
              </w:rPr>
            </w:pPr>
            <w:r>
              <w:rPr>
                <w:rFonts w:cs="Arial" w:ascii="Arial" w:hAnsi="Arial"/>
                <w:sz w:val="22"/>
                <w:szCs w:val="22"/>
              </w:rPr>
              <w:t>Voxel composition (GM, WM, CSF)</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highlight w:val="yellow"/>
              </w:rPr>
            </w:pPr>
            <w:r>
              <w:rPr>
                <w:rFonts w:cs="Arial" w:ascii="Arial" w:hAnsi="Arial"/>
                <w:sz w:val="22"/>
                <w:szCs w:val="22"/>
              </w:rPr>
              <w:t>Adolescents and adults, ages 12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Selection Rationale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Magnetic resonance spectroscopy (MRS) provides unique and valuable information about brain chemistry in early psychosis. The Early Psychosis Working Group recommended obtaining this dataset wherever possible. However, MRS requires specialized expertise and equipment to obtain in reliable and reproducible fashion. Therefore, this measure is more appropriate for inclusion as Supplemental Information instead of in the Toolkit.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
                <w:sz w:val="22"/>
                <w:szCs w:val="22"/>
                <w:u w:val="single"/>
              </w:rPr>
              <w:t>Primary source</w:t>
            </w:r>
            <w:r>
              <w:rPr>
                <w:rFonts w:cs="Arial" w:ascii="Arial" w:hAnsi="Arial"/>
                <w:b/>
                <w:sz w:val="22"/>
                <w:szCs w:val="22"/>
              </w:rPr>
              <w:t>:</w:t>
            </w:r>
          </w:p>
          <w:p>
            <w:pPr>
              <w:pStyle w:val="Normal"/>
              <w:rPr>
                <w:rFonts w:ascii="Arial" w:hAnsi="Arial" w:cs="Arial"/>
                <w:sz w:val="22"/>
                <w:szCs w:val="22"/>
              </w:rPr>
            </w:pPr>
            <w:r>
              <w:rPr>
                <w:rFonts w:cs="Arial" w:ascii="Arial" w:hAnsi="Arial"/>
                <w:sz w:val="22"/>
                <w:szCs w:val="22"/>
              </w:rPr>
              <w:t xml:space="preserve">Du, F., Cooper, A. J., Thida, T., Shinn, A. K., Cohen, B. M., &amp; Öngür, D. (2013). Myelin and axon abnormalities in schizophrenia measured with magnetic resonance imaging techniques. </w:t>
            </w:r>
            <w:r>
              <w:rPr>
                <w:rFonts w:cs="Arial" w:ascii="Arial" w:hAnsi="Arial"/>
                <w:i/>
                <w:sz w:val="22"/>
                <w:szCs w:val="22"/>
              </w:rPr>
              <w:t>Biological Psychiatry, 74</w:t>
            </w:r>
            <w:r>
              <w:rPr>
                <w:rFonts w:cs="Arial" w:ascii="Arial" w:hAnsi="Arial"/>
                <w:sz w:val="22"/>
                <w:szCs w:val="22"/>
              </w:rPr>
              <w:t>(6), 451–457. doi:10.1016/j.biopsych.2013.03.003</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u w:val="single"/>
              </w:rPr>
            </w:pPr>
            <w:r>
              <w:rPr>
                <w:rFonts w:cs="Arial" w:ascii="Arial" w:hAnsi="Arial"/>
                <w:b/>
                <w:bCs/>
                <w:sz w:val="22"/>
                <w:szCs w:val="22"/>
                <w:u w:val="single"/>
              </w:rPr>
              <w:t>Additional Sources</w:t>
            </w:r>
            <w:r>
              <w:rPr>
                <w:rFonts w:cs="Arial" w:ascii="Arial" w:hAnsi="Arial"/>
                <w:b/>
                <w:bCs/>
                <w:sz w:val="22"/>
                <w:szCs w:val="22"/>
              </w:rPr>
              <w:t>:</w:t>
            </w:r>
          </w:p>
          <w:p>
            <w:pPr>
              <w:pStyle w:val="Normal"/>
              <w:rPr>
                <w:rFonts w:ascii="Arial" w:hAnsi="Arial" w:cs="Arial"/>
                <w:sz w:val="22"/>
                <w:szCs w:val="22"/>
              </w:rPr>
            </w:pPr>
            <w:r>
              <w:rPr>
                <w:rFonts w:cs="Arial" w:ascii="Arial" w:hAnsi="Arial"/>
                <w:sz w:val="22"/>
                <w:szCs w:val="22"/>
              </w:rPr>
              <w:t xml:space="preserve">De Graaf, R. A. (2007). </w:t>
            </w:r>
            <w:r>
              <w:rPr>
                <w:rFonts w:cs="Arial" w:ascii="Arial" w:hAnsi="Arial"/>
                <w:i/>
                <w:sz w:val="22"/>
                <w:szCs w:val="22"/>
              </w:rPr>
              <w:t>In vivo NMR spectroscopy</w:t>
            </w:r>
            <w:r>
              <w:rPr>
                <w:rFonts w:cs="Arial" w:ascii="Arial" w:hAnsi="Arial"/>
                <w:sz w:val="22"/>
                <w:szCs w:val="22"/>
              </w:rPr>
              <w:t xml:space="preserve"> (2nd ed.). Chichester, United Kingdom: Wiley. doi:10.1002/9780470512968.fmatter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Jensen, J. E., Licata, S. C., Öngür, D., Friedman, S. D., Prescot, A. P., Henry, M. E., &amp; Renshaw, P. F. (2009). Quantification of </w:t>
            </w:r>
            <w:r>
              <w:rPr>
                <w:rFonts w:cs="Arial" w:ascii="Arial" w:hAnsi="Arial"/>
                <w:i/>
                <w:sz w:val="22"/>
                <w:szCs w:val="22"/>
              </w:rPr>
              <w:t>J</w:t>
            </w:r>
            <w:r>
              <w:rPr>
                <w:rFonts w:cs="Arial" w:ascii="Arial" w:hAnsi="Arial"/>
                <w:sz w:val="22"/>
                <w:szCs w:val="22"/>
              </w:rPr>
              <w:t xml:space="preserve">-resolved proton spectra in two-dimensions with LCModel using GAMMA-simulated basis sets at 4 Tesla. </w:t>
            </w:r>
            <w:r>
              <w:rPr>
                <w:rFonts w:cs="Arial" w:ascii="Arial" w:hAnsi="Arial"/>
                <w:i/>
                <w:sz w:val="22"/>
                <w:szCs w:val="22"/>
              </w:rPr>
              <w:t>NMR in Biomedicine, 22</w:t>
            </w:r>
            <w:r>
              <w:rPr>
                <w:rFonts w:cs="Arial" w:ascii="Arial" w:hAnsi="Arial"/>
                <w:sz w:val="22"/>
                <w:szCs w:val="22"/>
              </w:rPr>
              <w:t>(7), 762–769. doi:10.1002/nbm.1390</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Maddock, R. J., &amp; Buonocore, M. H. (2011). MR spectroscopic studies of the brain in psychiatric disorders. </w:t>
            </w:r>
            <w:r>
              <w:rPr>
                <w:rFonts w:cs="Arial" w:ascii="Arial" w:hAnsi="Arial"/>
                <w:i/>
                <w:sz w:val="22"/>
                <w:szCs w:val="22"/>
              </w:rPr>
              <w:t xml:space="preserve">Current Topics in Behavioral Neurosciences, 11, </w:t>
            </w:r>
            <w:r>
              <w:rPr>
                <w:rFonts w:cs="Arial" w:ascii="Arial" w:hAnsi="Arial"/>
                <w:sz w:val="22"/>
                <w:szCs w:val="22"/>
              </w:rPr>
              <w:t>199–251. doi:10.1007/7854_2011_197</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rHeight w:val="442"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color w:val="000000"/>
                <w:sz w:val="22"/>
                <w:szCs w:val="22"/>
              </w:rPr>
            </w:pPr>
            <w:r>
              <w:rPr>
                <w:rFonts w:cs="Arial" w:ascii="Arial" w:hAnsi="Arial"/>
                <w:sz w:val="22"/>
                <w:szCs w:val="22"/>
              </w:rPr>
              <w:t xml:space="preserve">All sites collecting </w:t>
            </w:r>
            <w:r>
              <w:rPr>
                <w:rFonts w:cs="Arial" w:ascii="Arial" w:hAnsi="Arial"/>
                <w:sz w:val="22"/>
                <w:szCs w:val="22"/>
                <w:vertAlign w:val="superscript"/>
              </w:rPr>
              <w:t>1</w:t>
            </w:r>
            <w:r>
              <w:rPr>
                <w:rFonts w:cs="Arial" w:ascii="Arial" w:hAnsi="Arial"/>
                <w:sz w:val="22"/>
                <w:szCs w:val="22"/>
              </w:rPr>
              <w:t>H MRS data must have a PhD-level magnetic resonance (MR) physicist on site for implementation, assistance with acquisition (not required to be present at every scan, but required for ongoing quality control [QC] and monitoring) and data analysis. The magnetic resonance spectroscopy (MRS) technician collecting data should be trained in the administration of MRS scans with respect to positioning and instructing the subject (e.g., not to move), running the scanner console, and assessing whether appropriate data were collected.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ListParagraph"/>
              <w:spacing w:before="0" w:after="0"/>
              <w:ind w:left="0" w:hanging="0"/>
              <w:contextualSpacing w:val="false"/>
              <w:rPr>
                <w:rStyle w:val="DefaultChar"/>
                <w:rFonts w:ascii="Times New Roman" w:hAnsi="Times New Roman" w:cs="Times New Roman"/>
                <w:color w:val="000000"/>
              </w:rPr>
            </w:pPr>
            <w:r>
              <w:rPr>
                <w:rFonts w:cs="Arial" w:ascii="Arial" w:hAnsi="Arial"/>
                <w:sz w:val="22"/>
                <w:szCs w:val="22"/>
              </w:rPr>
              <w:t>Proton magnetic resonance spectroscopy (MRS) requires a 3T or higher field-strength magnetic resonance (MR) scanner.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Complex instrumentation-based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Requirements:</w:t>
            </w:r>
          </w:p>
        </w:tc>
        <w:tc>
          <w:tcPr>
            <w:tcW w:w="7056"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rFonts w:ascii="Arial" w:hAnsi="Arial" w:cs="Arial"/>
                <w:b/>
                <w:b/>
                <w:sz w:val="22"/>
                <w:szCs w:val="22"/>
                <w:highlight w:val="yellow"/>
              </w:rPr>
            </w:pPr>
            <w:r>
              <w:rPr>
                <w:rFonts w:cs="Arial" w:ascii="Arial" w:hAnsi="Arial"/>
                <w:b/>
                <w:sz w:val="22"/>
                <w:szCs w:val="22"/>
                <w:highlight w:val="yellow"/>
              </w:rPr>
            </w:r>
          </w:p>
          <w:tbl>
            <w:tblPr>
              <w:tblW w:w="6697" w:type="dxa"/>
              <w:jc w:val="left"/>
              <w:tblInd w:w="0" w:type="dxa"/>
              <w:tblLayout w:type="fixed"/>
              <w:tblCellMar>
                <w:top w:w="0" w:type="dxa"/>
                <w:left w:w="10" w:type="dxa"/>
                <w:bottom w:w="0" w:type="dxa"/>
                <w:right w:w="10" w:type="dxa"/>
              </w:tblCellMar>
            </w:tblPr>
            <w:tblGrid>
              <w:gridCol w:w="4537"/>
              <w:gridCol w:w="2160"/>
            </w:tblGrid>
            <w:tr>
              <w:trPr>
                <w:trHeight w:val="574" w:hRule="atLeast"/>
              </w:trPr>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16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537"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16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537"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16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537"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16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537"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16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bl>
          <w:p>
            <w:pPr>
              <w:pStyle w:val="Normal"/>
              <w:spacing w:before="0" w:after="0"/>
              <w:contextualSpacing/>
              <w:rPr>
                <w:rFonts w:ascii="Arial" w:hAnsi="Arial" w:cs="Arial"/>
                <w:sz w:val="22"/>
                <w:szCs w:val="22"/>
                <w:highlight w:val="yellow"/>
              </w:rPr>
            </w:pPr>
            <w:r>
              <w:rPr>
                <w:rFonts w:cs="Arial" w:ascii="Arial" w:hAnsi="Arial"/>
                <w:sz w:val="22"/>
                <w:szCs w:val="22"/>
                <w:highlight w:val="yellow"/>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ListParagraph"/>
              <w:spacing w:before="0" w:after="0"/>
              <w:ind w:left="0" w:hanging="0"/>
              <w:contextualSpacing w:val="false"/>
              <w:rPr>
                <w:rFonts w:ascii="Arial" w:hAnsi="Arial" w:cs="Arial"/>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N/A – for External Review Panel</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Calibri">
    <w:charset w:val="00"/>
    <w:family w:val="swiss"/>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Chemical Brain Imaging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2"/>
        <w:szCs w:val="22"/>
      </w:rPr>
    </w:pPr>
    <w:r>
      <w:rPr>
        <w:rFonts w:cs="Arial" w:ascii="Arial" w:hAnsi="Arial"/>
        <w:b/>
        <w:sz w:val="22"/>
        <w:szCs w:val="22"/>
      </w:rPr>
      <w:t>PhenX Toolkit Supplemental Information</w:t>
      <w:tab/>
      <w:tab/>
      <w:tab/>
      <w:tab/>
    </w:r>
  </w:p>
  <w:p>
    <w:pPr>
      <w:pStyle w:val="Normal"/>
      <w:rPr>
        <w:rFonts w:ascii="Arial" w:hAnsi="Arial" w:cs="Arial"/>
        <w:b/>
        <w:b/>
        <w:sz w:val="22"/>
        <w:szCs w:val="22"/>
      </w:rPr>
    </w:pPr>
    <w:r>
      <w:rPr>
        <w:rFonts w:cs="Arial" w:ascii="Arial" w:hAnsi="Arial"/>
        <w:b/>
        <w:sz w:val="22"/>
        <w:szCs w:val="22"/>
      </w:rPr>
      <w:t xml:space="preserve">Domain: </w:t>
    </w:r>
    <w:r>
      <w:rPr>
        <w:rFonts w:cs="Arial" w:ascii="Arial" w:hAnsi="Arial"/>
        <w:sz w:val="22"/>
        <w:szCs w:val="22"/>
      </w:rPr>
      <w:t>Early Psychosis</w:t>
    </w:r>
  </w:p>
  <w:p>
    <w:pPr>
      <w:pStyle w:val="Normal"/>
      <w:rPr>
        <w:rFonts w:ascii="Arial" w:hAnsi="Arial" w:cs="Arial"/>
        <w:b/>
        <w:b/>
        <w:sz w:val="22"/>
        <w:szCs w:val="22"/>
      </w:rPr>
    </w:pPr>
    <w:r>
      <w:rPr>
        <w:rFonts w:cs="Arial" w:ascii="Arial" w:hAnsi="Arial"/>
        <w:b/>
        <w:sz w:val="22"/>
        <w:szCs w:val="22"/>
      </w:rPr>
      <w:t>Release Date:</w:t>
      <w:tab/>
    </w:r>
  </w:p>
  <w:p>
    <w:pPr>
      <w:pStyle w:val="Normal"/>
      <w:rPr/>
    </w:pPr>
    <w:r>
      <w:rPr>
        <w:rFonts w:cs="Arial" w:ascii="Arial" w:hAnsi="Arial"/>
        <w:sz w:val="22"/>
        <w:szCs w:val="22"/>
      </w:rPr>
      <w:t>Chemical Brain Imaging</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TextBody"/>
    <w:qFormat/>
    <w:pPr>
      <w:numPr>
        <w:ilvl w:val="0"/>
        <w:numId w:val="1"/>
      </w:numPr>
      <w:spacing w:before="280" w:after="280"/>
      <w:outlineLvl w:val="0"/>
    </w:pPr>
    <w:rPr>
      <w:b/>
      <w:bCs/>
      <w:kern w:val="2"/>
      <w:sz w:val="48"/>
      <w:szCs w:val="48"/>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6z0">
    <w:name w:val="WW8Num6z0"/>
    <w:qFormat/>
    <w:rPr>
      <w:rFonts w:ascii="Calibri" w:hAnsi="Calibri" w:eastAsia="Calibri" w:cs="Times New Roman"/>
    </w:rPr>
  </w:style>
  <w:style w:type="character" w:styleId="WW8Num6z1">
    <w:name w:val="WW8Num6z1"/>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Appleconvertedspace">
    <w:name w:val="apple-converted-space"/>
    <w:qFormat/>
    <w:rPr/>
  </w:style>
  <w:style w:type="character" w:styleId="Jrnl">
    <w:name w:val="jrnl"/>
    <w:qFormat/>
    <w:rPr/>
  </w:style>
  <w:style w:type="character" w:styleId="Heading1Char">
    <w:name w:val="Heading 1 Char"/>
    <w:qFormat/>
    <w:rPr>
      <w:b/>
      <w:bCs/>
      <w:kern w:val="2"/>
      <w:sz w:val="48"/>
      <w:szCs w:val="48"/>
    </w:rPr>
  </w:style>
  <w:style w:type="character" w:styleId="Highlight">
    <w:name w:val="highlight"/>
    <w:qFormat/>
    <w:rPr/>
  </w:style>
  <w:style w:type="character" w:styleId="Onlinepublicationdate">
    <w:name w:val="onlinepublicationdate"/>
    <w:qFormat/>
    <w:rPr/>
  </w:style>
  <w:style w:type="character" w:styleId="Printisbn">
    <w:name w:val="printisbn"/>
    <w:qFormat/>
    <w:rPr/>
  </w:style>
  <w:style w:type="character" w:styleId="Onlineisbn">
    <w:name w:val="onlineisbn"/>
    <w:qFormat/>
    <w:rPr/>
  </w:style>
  <w:style w:type="character" w:styleId="Doi">
    <w:name w:val="doi"/>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lang w:val="en-US"/>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itle">
    <w:name w:val="title"/>
    <w:basedOn w:val="Normal"/>
    <w:qFormat/>
    <w:pPr>
      <w:spacing w:before="280" w:after="280"/>
    </w:pPr>
    <w:rPr/>
  </w:style>
  <w:style w:type="paragraph" w:styleId="Desc">
    <w:name w:val="desc"/>
    <w:basedOn w:val="Normal"/>
    <w:qFormat/>
    <w:pPr>
      <w:spacing w:before="280" w:after="280"/>
    </w:pPr>
    <w:rPr/>
  </w:style>
  <w:style w:type="paragraph" w:styleId="Details">
    <w:name w:val="details"/>
    <w:basedOn w:val="Normal"/>
    <w:qFormat/>
    <w:pPr>
      <w:spacing w:before="280" w:after="280"/>
    </w:pPr>
    <w:rPr/>
  </w:style>
  <w:style w:type="paragraph" w:styleId="Copyright">
    <w:name w:val="copyright"/>
    <w:basedOn w:val="Normal"/>
    <w:qFormat/>
    <w:pPr>
      <w:spacing w:before="280" w:after="280"/>
    </w:pPr>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2016-07-12T13:41:00Z</dcterms:created>
  <dc:creator>whuggins</dc:creator>
  <dc:description/>
  <cp:keywords/>
  <dc:language>en-US</dc:language>
  <cp:lastModifiedBy>Rathbun, Marcie</cp:lastModifiedBy>
  <cp:lastPrinted>2009-03-24T15:13:00Z</cp:lastPrinted>
  <dcterms:modified xsi:type="dcterms:W3CDTF">2016-07-20T19:57:00Z</dcterms:modified>
  <cp:revision>4</cp:revision>
  <dc:subject/>
  <dc:title/>
</cp:coreProperties>
</file>