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rHeight w:val="469" w:hRule="atLeast"/>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Early Psychosis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Glutathione</w:t>
            </w:r>
          </w:p>
        </w:tc>
      </w:tr>
      <w:tr>
        <w:trPr>
          <w:trHeight w:val="577"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A measure for the major tissue antioxidant, glutathione, in research and clinical efforts. </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protocol includes basic instructions for measuring the total glutathione (GSH) (the sum of GSH and glutathione disulfide [GSSG]) in plasma using glutathione reductase (Tieze, 1969). </w:t>
            </w:r>
            <w:r>
              <w:rPr/>
              <w:t xml:space="preserve"> </w:t>
            </w:r>
            <w:r>
              <w:rPr>
                <w:rFonts w:cs="Arial" w:ascii="Arial" w:hAnsi="Arial"/>
                <w:sz w:val="22"/>
                <w:szCs w:val="22"/>
              </w:rPr>
              <w:t>Because there are many comparable assays based on the Tieze method for measuring total GSH, the protocol also provides basic guidelines to aid comparability among different studies.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color w:val="000000"/>
                <w:sz w:val="22"/>
                <w:szCs w:val="22"/>
              </w:rPr>
            </w:pPr>
            <w:r>
              <w:rPr>
                <w:rFonts w:cs="Arial" w:ascii="Arial" w:hAnsi="Arial"/>
                <w:b/>
                <w:bCs/>
                <w:color w:val="000000"/>
                <w:sz w:val="22"/>
                <w:szCs w:val="22"/>
              </w:rPr>
              <w:t>Sample Preparation</w:t>
            </w:r>
          </w:p>
          <w:p>
            <w:pPr>
              <w:pStyle w:val="Normal"/>
              <w:spacing w:before="0" w:after="0"/>
              <w:contextualSpacing/>
              <w:rPr>
                <w:rFonts w:ascii="Arial" w:hAnsi="Arial" w:cs="Arial"/>
                <w:sz w:val="22"/>
                <w:szCs w:val="22"/>
              </w:rPr>
            </w:pPr>
            <w:r>
              <w:rPr>
                <w:rFonts w:cs="Arial" w:ascii="Arial" w:hAnsi="Arial"/>
                <w:sz w:val="22"/>
                <w:szCs w:val="22"/>
              </w:rPr>
              <w:t>Peripheral whole blood samples are collected from each participant. Plasma is isolated by centrifugation at 20000 x g for 15 min. Deproteination of samples maybe needed.</w:t>
            </w:r>
          </w:p>
          <w:p>
            <w:pPr>
              <w:pStyle w:val="Normal"/>
              <w:spacing w:before="0" w:after="0"/>
              <w:contextualSpacing/>
              <w:rPr>
                <w:rFonts w:ascii="Arial" w:hAnsi="Arial" w:cs="Arial"/>
                <w:sz w:val="22"/>
                <w:szCs w:val="22"/>
              </w:rPr>
            </w:pPr>
            <w:r>
              <w:rPr>
                <w:rFonts w:cs="Calibri" w:ascii="Calibri" w:hAnsi="Calibri"/>
                <w:b/>
                <w:bCs/>
              </w:rPr>
              <w:br/>
            </w:r>
            <w:r>
              <w:rPr>
                <w:rFonts w:cs="Arial" w:ascii="Arial" w:hAnsi="Arial"/>
                <w:sz w:val="22"/>
                <w:szCs w:val="22"/>
              </w:rPr>
              <w:t>GSH can be measured from frozen samples (old samples). However, in such studies, one needs to pay attention to degradation by freeze-thaw processes and long-term storage.</w:t>
            </w:r>
          </w:p>
          <w:p>
            <w:pPr>
              <w:pStyle w:val="Normal"/>
              <w:spacing w:before="0" w:after="0"/>
              <w:contextualSpacing/>
              <w:rPr>
                <w:rFonts w:ascii="Arial" w:hAnsi="Arial" w:cs="Arial"/>
                <w:sz w:val="22"/>
                <w:szCs w:val="22"/>
              </w:rPr>
            </w:pPr>
            <w:r>
              <w:rPr>
                <w:rFonts w:cs="Arial" w:ascii="Arial" w:hAnsi="Arial"/>
                <w:sz w:val="22"/>
                <w:szCs w:val="22"/>
              </w:rPr>
            </w:r>
          </w:p>
          <w:p>
            <w:pPr>
              <w:pStyle w:val="Normal"/>
              <w:autoSpaceDE w:val="false"/>
              <w:rPr>
                <w:rFonts w:ascii="Arial" w:hAnsi="Arial" w:cs="Arial"/>
                <w:b/>
                <w:b/>
                <w:bCs/>
                <w:color w:val="000000"/>
                <w:sz w:val="22"/>
                <w:szCs w:val="22"/>
              </w:rPr>
            </w:pPr>
            <w:r>
              <w:rPr>
                <w:rFonts w:cs="Arial" w:ascii="Arial" w:hAnsi="Arial"/>
                <w:b/>
                <w:bCs/>
                <w:color w:val="000000"/>
                <w:sz w:val="22"/>
                <w:szCs w:val="22"/>
              </w:rPr>
              <w:t>Measurement of total glutathione (GSH + GSSG)</w:t>
            </w:r>
          </w:p>
          <w:p>
            <w:pPr>
              <w:pStyle w:val="Normal"/>
              <w:spacing w:before="0" w:after="0"/>
              <w:contextualSpacing/>
              <w:rPr>
                <w:rFonts w:ascii="Arial" w:hAnsi="Arial" w:cs="Arial"/>
                <w:sz w:val="22"/>
                <w:szCs w:val="22"/>
              </w:rPr>
            </w:pPr>
            <w:r>
              <w:rPr>
                <w:rFonts w:cs="Arial" w:ascii="Arial" w:hAnsi="Arial"/>
                <w:sz w:val="22"/>
                <w:szCs w:val="22"/>
              </w:rPr>
              <w:t>The Early Psychosis Working Group notes that there are many different Glutathione assay kits, reagents, and instruments that are suitable for the quantification of GSH utilizing glutathione reductase. In these assays, the rate of increase in absorbance at 415 nm measures the reduction of 5-5’-dithiobis (2-nitrobenzoic acid) by GSH, reflecting the total GSH content. Sample absorbance should be compared to the values of experimental standards. The concentration of total GSH in plasma is measured relative to plasma volume (nmol /ml) and is calculated from the linear equation or regression curve generated from the standards.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Once an assay is chosen for a particular study, the Working Group recommends that no changes in the protocol be made over the course of the study. To aid comparability, the Working Group recommends that the investigator record the make and manufacturer of equipment and reagents used and the repeatability and coefficients of variation for the assay.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Style w:val="DefaultChar"/>
                <w:sz w:val="22"/>
                <w:szCs w:val="22"/>
                <w:highlight w:val="yellow"/>
              </w:rPr>
            </w:pPr>
            <w:r>
              <w:rPr>
                <w:rFonts w:cs="Arial" w:ascii="Arial" w:hAnsi="Arial"/>
                <w:sz w:val="22"/>
                <w:szCs w:val="22"/>
              </w:rPr>
              <w:t>Children, ages 3 and older; adolescents and adults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Rationale for Inclusion in Supplemental Information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measurement of total GSH is included as supplementary information with the following reasons:</w:t>
            </w:r>
          </w:p>
          <w:p>
            <w:pPr>
              <w:pStyle w:val="Normal"/>
              <w:autoSpaceDE w:val="false"/>
              <w:rPr>
                <w:rFonts w:ascii="Calibri" w:hAnsi="Calibri" w:cs="Calibri"/>
              </w:rPr>
            </w:pPr>
            <w:r>
              <w:rPr>
                <w:rFonts w:cs="Arial" w:ascii="Arial" w:hAnsi="Arial"/>
                <w:sz w:val="22"/>
                <w:szCs w:val="22"/>
              </w:rPr>
              <w:t>Total GSH in plasma is a simple assay to estimate the status of GSH. The Early Psychosis Working Group recommends this GSH measure as a complement to GSH estimated by magnetic resonance spectroscopy (MRS), also proposed in supplementary information. Investigation into the role of GSH metabolism in early psychosis is underway, but the relationship is still unclear. Therefore, this measure is more appropriate for inclusion as Supplemental Information instead of in the PhenX Toolkit.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 xml:space="preserve">Baker, M. A., Cerniglia, G. J., &amp; Zaman, A. (1990). Microtiter plate assay for the measurement of glutathione and glutathione disulfide in large numbers of biological samples. </w:t>
            </w:r>
            <w:r>
              <w:rPr>
                <w:rFonts w:cs="Arial" w:ascii="Arial" w:hAnsi="Arial"/>
                <w:i/>
                <w:sz w:val="22"/>
                <w:szCs w:val="22"/>
              </w:rPr>
              <w:t>Analytical Biochemistry, 190</w:t>
            </w:r>
            <w:r>
              <w:rPr>
                <w:rFonts w:cs="Arial" w:ascii="Arial" w:hAnsi="Arial"/>
                <w:sz w:val="22"/>
                <w:szCs w:val="22"/>
              </w:rPr>
              <w:t>(2), 360–365.</w:t>
              <w:br/>
            </w:r>
          </w:p>
          <w:p>
            <w:pPr>
              <w:pStyle w:val="Normal"/>
              <w:autoSpaceDE w:val="false"/>
              <w:rPr/>
            </w:pPr>
            <w:r>
              <w:rPr>
                <w:rFonts w:cs="Arial" w:ascii="Arial" w:hAnsi="Arial"/>
                <w:sz w:val="22"/>
                <w:szCs w:val="22"/>
              </w:rPr>
              <w:t xml:space="preserve">Eyer, P., &amp; Podhradsky, D. (1986). Evaluation of the micromethod for determination of glutathione using enzymatic cycling and Ellman’s reagent. </w:t>
            </w:r>
            <w:r>
              <w:rPr>
                <w:rFonts w:cs="Arial" w:ascii="Arial" w:hAnsi="Arial"/>
                <w:i/>
                <w:sz w:val="22"/>
                <w:szCs w:val="22"/>
              </w:rPr>
              <w:t>Analytical Biochemistry, 153</w:t>
            </w:r>
            <w:r>
              <w:rPr>
                <w:rFonts w:cs="Arial" w:ascii="Arial" w:hAnsi="Arial"/>
                <w:sz w:val="22"/>
                <w:szCs w:val="22"/>
              </w:rPr>
              <w:t>(1), 57–66.</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highlight w:val="yellow"/>
              </w:rPr>
            </w:pPr>
            <w:r>
              <w:rPr>
                <w:rFonts w:cs="Arial" w:ascii="Arial" w:hAnsi="Arial"/>
                <w:sz w:val="22"/>
                <w:szCs w:val="22"/>
              </w:rPr>
              <w:t xml:space="preserve">Tietze, F. (1969). Enzymic method for quantitative determination of nanogram amounts of total and oxidized glutathione: Applications to mammalian blood and other tissues. </w:t>
            </w:r>
            <w:r>
              <w:rPr>
                <w:rFonts w:cs="Arial" w:ascii="Arial" w:hAnsi="Arial"/>
                <w:i/>
                <w:sz w:val="22"/>
                <w:szCs w:val="22"/>
              </w:rPr>
              <w:t>Analytical Biochemistry, 27</w:t>
            </w:r>
            <w:r>
              <w:rPr>
                <w:rFonts w:cs="Arial" w:ascii="Arial" w:hAnsi="Arial"/>
                <w:sz w:val="22"/>
                <w:szCs w:val="22"/>
              </w:rPr>
              <w:t>(3), 502–522.</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The individual drawing, processing, and storing the blood used in the GSH bioassay must be a trained phlebotomist.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 xml:space="preserve">The phlebotomist performing the GSH must be in a laboratory </w:t>
            </w:r>
            <w:r>
              <w:rPr>
                <w:rStyle w:val="DefaultChar"/>
                <w:sz w:val="22"/>
                <w:szCs w:val="22"/>
              </w:rPr>
              <w:t>equipped to perform a microplate or spectrophotometer bioassay.</w:t>
            </w:r>
          </w:p>
          <w:p>
            <w:pPr>
              <w:pStyle w:val="Normal"/>
              <w:spacing w:before="0" w:after="0"/>
              <w:contextualSpacing/>
              <w:rPr>
                <w:rStyle w:val="DefaultChar"/>
                <w:sz w:val="22"/>
                <w:szCs w:val="22"/>
              </w:rPr>
            </w:pPr>
            <w:r>
              <w:rPr>
                <w:rStyle w:val="DefaultChar"/>
                <w:sz w:val="22"/>
                <w:szCs w:val="22"/>
              </w:rPr>
              <w:t xml:space="preserve">Microplate reader with kinetics capability at 405–415 nm </w:t>
            </w:r>
            <w:r>
              <w:rPr>
                <w:rFonts w:cs="Arial" w:ascii="Arial" w:hAnsi="Arial"/>
                <w:sz w:val="22"/>
                <w:szCs w:val="22"/>
              </w:rPr>
              <w:t>absorbance filter or any general purpose ultraviolet/visible spectrophotometer is also required</w:t>
            </w:r>
            <w:r>
              <w:rPr>
                <w:rStyle w:val="DefaultChar"/>
                <w:sz w:val="22"/>
                <w:szCs w:val="22"/>
              </w:rPr>
              <w:t xml:space="preserv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Bioassay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 xml:space="preserve">Emiliani, F. E., Sedlak, T. W., &amp; Sawa, A. (2014). Oxidative stress and schizophrenia: Recent breakthroughs from an old story. </w:t>
            </w:r>
            <w:r>
              <w:rPr>
                <w:rFonts w:cs="Arial" w:ascii="Arial" w:hAnsi="Arial"/>
                <w:i/>
                <w:sz w:val="22"/>
                <w:szCs w:val="22"/>
              </w:rPr>
              <w:t>Current Opinion in Psychiatry, 27</w:t>
            </w:r>
            <w:r>
              <w:rPr>
                <w:rFonts w:cs="Arial" w:ascii="Arial" w:hAnsi="Arial"/>
                <w:sz w:val="22"/>
                <w:szCs w:val="22"/>
              </w:rPr>
              <w:t>(3), 185–190.</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xml:space="preserve">Flatow, J., Buckley, P., &amp; Miller, B. J. (2013). Meta-analysis of oxidative stress in schizophrenia. </w:t>
            </w:r>
            <w:r>
              <w:rPr>
                <w:rFonts w:cs="Arial" w:ascii="Arial" w:hAnsi="Arial"/>
                <w:i/>
                <w:sz w:val="22"/>
                <w:szCs w:val="22"/>
              </w:rPr>
              <w:t>Biological Psychiatry, 74</w:t>
            </w:r>
            <w:r>
              <w:rPr>
                <w:rFonts w:cs="Arial" w:ascii="Arial" w:hAnsi="Arial"/>
                <w:sz w:val="22"/>
                <w:szCs w:val="22"/>
              </w:rPr>
              <w:t>(6), 400–409.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External Review Panel has not reviewed this measure yet. </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Glutathione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Early Psychosis</w:t>
    </w:r>
  </w:p>
  <w:p>
    <w:pPr>
      <w:pStyle w:val="Normal"/>
      <w:rPr>
        <w:rFonts w:ascii="Arial" w:hAnsi="Arial" w:cs="Arial"/>
        <w:b/>
        <w:b/>
        <w:sz w:val="20"/>
        <w:szCs w:val="20"/>
      </w:rPr>
    </w:pPr>
    <w:r>
      <w:rPr>
        <w:rFonts w:cs="Arial" w:ascii="Arial" w:hAnsi="Arial"/>
        <w:b/>
        <w:sz w:val="20"/>
        <w:szCs w:val="20"/>
      </w:rPr>
      <w:t>Release Date:</w:t>
      <w:tab/>
    </w:r>
  </w:p>
  <w:p>
    <w:pPr>
      <w:pStyle w:val="Normal"/>
      <w:rPr>
        <w:rFonts w:ascii="Arial" w:hAnsi="Arial" w:cs="Arial"/>
        <w:b/>
        <w:b/>
        <w:sz w:val="20"/>
        <w:szCs w:val="20"/>
      </w:rPr>
    </w:pPr>
    <w:r>
      <w:rPr>
        <w:rFonts w:cs="Arial" w:ascii="Arial" w:hAnsi="Arial"/>
        <w:b/>
        <w:bCs/>
        <w:sz w:val="20"/>
        <w:szCs w:val="20"/>
      </w:rPr>
      <w:t>Glutathione</w:t>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rFonts w:ascii="Trebuchet MS" w:hAnsi="Trebuchet MS" w:eastAsia="SimSun;宋体" w:cs="Trebuchet MS"/>
      <w:color w:val="444444"/>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2016-07-22T19:04:00Z</dcterms:created>
  <dc:creator>whuggins</dc:creator>
  <dc:description/>
  <cp:keywords/>
  <dc:language>en-US</dc:language>
  <cp:lastModifiedBy>Rathbun, Marcie</cp:lastModifiedBy>
  <cp:lastPrinted>2009-03-24T15:13:00Z</cp:lastPrinted>
  <dcterms:modified xsi:type="dcterms:W3CDTF">2016-07-22T19:04:00Z</dcterms:modified>
  <cp:revision>2</cp:revision>
  <dc:subject/>
  <dc:title/>
</cp:coreProperties>
</file>