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Environmental Exposures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Lifetime Farm Exposure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Questions about whether or not the respondent ever lived or worked on a farm and, if so, how long.</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respondent is asked if he or she ever lived or worked on a farm. If the respondent answers yes, he or she is asked how many years.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1.  Did you ever live or work on a farm?</w:t>
            </w:r>
          </w:p>
          <w:p>
            <w:pPr>
              <w:pStyle w:val="Normal"/>
              <w:rPr/>
            </w:pPr>
            <w:r>
              <w:rPr>
                <w:rFonts w:eastAsia="Arial" w:cs="Arial" w:ascii="Arial" w:hAnsi="Arial"/>
                <w:sz w:val="22"/>
                <w:szCs w:val="22"/>
              </w:rPr>
              <w:t xml:space="preserve">     </w:t>
            </w:r>
            <w:r>
              <w:rPr>
                <w:rFonts w:cs="Arial" w:ascii="Arial" w:hAnsi="Arial"/>
                <w:sz w:val="22"/>
                <w:szCs w:val="22"/>
              </w:rPr>
              <w:t>0 [ ] No</w:t>
            </w:r>
          </w:p>
          <w:p>
            <w:pPr>
              <w:pStyle w:val="Normal"/>
              <w:rPr/>
            </w:pPr>
            <w:r>
              <w:rPr>
                <w:rFonts w:eastAsia="Arial" w:cs="Arial" w:ascii="Arial" w:hAnsi="Arial"/>
                <w:sz w:val="22"/>
                <w:szCs w:val="22"/>
              </w:rPr>
              <w:t xml:space="preserve">     </w:t>
            </w:r>
            <w:r>
              <w:rPr>
                <w:rFonts w:cs="Arial" w:ascii="Arial" w:hAnsi="Arial"/>
                <w:sz w:val="22"/>
                <w:szCs w:val="22"/>
              </w:rPr>
              <w:t>1 [ ] Yes—continue</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1a. For how many years?</w:t>
            </w:r>
          </w:p>
          <w:p>
            <w:pPr>
              <w:pStyle w:val="Normal"/>
              <w:rPr/>
            </w:pPr>
            <w:r>
              <w:rPr>
                <w:rFonts w:eastAsia="Arial" w:cs="Arial" w:ascii="Arial" w:hAnsi="Arial"/>
                <w:sz w:val="22"/>
                <w:szCs w:val="22"/>
              </w:rPr>
              <w:t xml:space="preserve">     </w:t>
            </w:r>
            <w:r>
              <w:rPr>
                <w:rFonts w:cs="Arial" w:ascii="Arial" w:hAnsi="Arial"/>
                <w:sz w:val="22"/>
                <w:szCs w:val="22"/>
              </w:rPr>
              <w:t>1 [ ] Less than 5 years</w:t>
            </w:r>
          </w:p>
          <w:p>
            <w:pPr>
              <w:pStyle w:val="Normal"/>
              <w:rPr/>
            </w:pPr>
            <w:r>
              <w:rPr>
                <w:rFonts w:eastAsia="Arial" w:cs="Arial" w:ascii="Arial" w:hAnsi="Arial"/>
                <w:sz w:val="22"/>
                <w:szCs w:val="22"/>
              </w:rPr>
              <w:t xml:space="preserve">     </w:t>
            </w:r>
            <w:r>
              <w:rPr>
                <w:rFonts w:cs="Arial" w:ascii="Arial" w:hAnsi="Arial"/>
                <w:sz w:val="22"/>
                <w:szCs w:val="22"/>
              </w:rPr>
              <w:t>2 [ ] 5 to 9 years</w:t>
            </w:r>
          </w:p>
          <w:p>
            <w:pPr>
              <w:pStyle w:val="Normal"/>
              <w:rPr/>
            </w:pPr>
            <w:r>
              <w:rPr>
                <w:rFonts w:eastAsia="Arial" w:cs="Arial" w:ascii="Arial" w:hAnsi="Arial"/>
                <w:sz w:val="22"/>
                <w:szCs w:val="22"/>
              </w:rPr>
              <w:t xml:space="preserve">     </w:t>
            </w:r>
            <w:r>
              <w:rPr>
                <w:rFonts w:cs="Arial" w:ascii="Arial" w:hAnsi="Arial"/>
                <w:sz w:val="22"/>
                <w:szCs w:val="22"/>
              </w:rPr>
              <w:t>3 [ ] 10 to 14 years</w:t>
            </w:r>
          </w:p>
          <w:p>
            <w:pPr>
              <w:pStyle w:val="Normal"/>
              <w:rPr/>
            </w:pPr>
            <w:r>
              <w:rPr>
                <w:rFonts w:eastAsia="Arial" w:cs="Arial" w:ascii="Arial" w:hAnsi="Arial"/>
                <w:sz w:val="22"/>
                <w:szCs w:val="22"/>
              </w:rPr>
              <w:t xml:space="preserve">     </w:t>
            </w:r>
            <w:r>
              <w:rPr>
                <w:rFonts w:cs="Arial" w:ascii="Arial" w:hAnsi="Arial"/>
                <w:sz w:val="22"/>
                <w:szCs w:val="22"/>
              </w:rPr>
              <w:t>4 [ ] 15 to 19 years</w:t>
            </w:r>
          </w:p>
          <w:p>
            <w:pPr>
              <w:pStyle w:val="Normal"/>
              <w:spacing w:before="0" w:after="0"/>
              <w:contextualSpacing/>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5 [ ] 20 or more years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 18+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highlight w:val="yellow"/>
              </w:rPr>
            </w:pPr>
            <w:r>
              <w:rPr>
                <w:rFonts w:cs="Arial" w:ascii="Arial" w:hAnsi="Arial"/>
                <w:sz w:val="22"/>
                <w:szCs w:val="22"/>
              </w:rPr>
              <w:t>Women’s Health Initiative. Observational Study. Baseline Questionnaire. Seattle, WA: Author. Question numbers 24, 24.1 (source for Questions 1 and 1a in Protocol Text).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This question may be self-administered (as in the source protocol) or administered by an interviewer with a paper-and-pencil or computer-assisted interview.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Either a paper-and-pencil or computer-assisted instrument may be used. If a computer-assisted instrument is used, computer software may be necessary to develop the instrument.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or 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2"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
              <w:spacing w:before="0" w:after="0"/>
              <w:ind w:left="720" w:hanging="0"/>
              <w:contextualSpacing/>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No significant changes to measure</w:t>
            </w:r>
          </w:p>
        </w:tc>
      </w:tr>
    </w:tbl>
    <w:p>
      <w:pPr>
        <w:pStyle w:val="Normal"/>
        <w:spacing w:before="0" w:after="0"/>
        <w:contextualSpacing/>
        <w:rPr/>
      </w:pPr>
      <w:r>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Lifetime Farm Exposure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Environmental Exposures</w:t>
    </w:r>
  </w:p>
  <w:p>
    <w:pPr>
      <w:pStyle w:val="Normal"/>
      <w:rPr/>
    </w:pPr>
    <w:r>
      <w:rPr>
        <w:rFonts w:cs="Arial" w:ascii="Arial" w:hAnsi="Arial"/>
        <w:b/>
        <w:sz w:val="20"/>
        <w:szCs w:val="20"/>
      </w:rPr>
      <w:t>Release Date: May 31, 2016</w:t>
    </w:r>
  </w:p>
  <w:p>
    <w:pPr>
      <w:pStyle w:val="Normal"/>
      <w:rPr/>
    </w:pPr>
    <w:r>
      <w:rPr>
        <w:rFonts w:cs="Arial" w:ascii="Arial" w:hAnsi="Arial"/>
        <w:b/>
        <w:sz w:val="20"/>
        <w:szCs w:val="20"/>
      </w:rPr>
      <w:t>Lifetime Farm Exposure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henx.org/Default.aspx?tabid=101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2016-02-11T15:59:00Z</dcterms:created>
  <dc:creator>whuggins</dc:creator>
  <dc:description/>
  <cp:keywords/>
  <dc:language>en-US</dc:language>
  <cp:lastModifiedBy>Hwang, Stephen</cp:lastModifiedBy>
  <cp:lastPrinted>2009-03-24T15:13:00Z</cp:lastPrinted>
  <dcterms:modified xsi:type="dcterms:W3CDTF">2016-05-11T20:00:00Z</dcterms:modified>
  <cp:revision>7</cp:revision>
  <dc:subject/>
  <dc:title/>
</cp:coreProperties>
</file>