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bookmarkStart w:id="0" w:name="_GoBack"/>
      <w:bookmarkStart w:id="1" w:name="_GoBack"/>
      <w:bookmarkEnd w:id="1"/>
    </w:p>
    <w:tbl>
      <w:tblPr>
        <w:tblW w:w="10940" w:type="dxa"/>
        <w:jc w:val="left"/>
        <w:tblInd w:w="-6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244"/>
        <w:gridCol w:w="8695"/>
      </w:tblGrid>
      <w:tr>
        <w:trPr>
          <w:trHeight w:val="479" w:hRule="atLeast"/>
        </w:trPr>
        <w:tc>
          <w:tcPr>
            <w:tcW w:w="10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Measure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905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ab/>
            </w:r>
          </w:p>
        </w:tc>
      </w:tr>
      <w:tr>
        <w:trPr>
          <w:trHeight w:val="571" w:hRule="atLeast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Domain: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Eating Disorders  </w:t>
            </w:r>
          </w:p>
        </w:tc>
      </w:tr>
      <w:tr>
        <w:trPr>
          <w:trHeight w:val="432" w:hRule="atLeast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Measure:</w:t>
              <w:br/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Male Body Checking Behaviors</w:t>
            </w:r>
          </w:p>
        </w:tc>
      </w:tr>
      <w:tr>
        <w:trPr>
          <w:trHeight w:val="339" w:hRule="atLeast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Definition:</w:t>
              <w:br/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outlineLvl w:val="0"/>
              <w:rPr>
                <w:rFonts w:ascii="Arial" w:hAnsi="Arial" w:cs="Arial"/>
                <w:bCs/>
                <w:kern w:val="2"/>
                <w:sz w:val="22"/>
                <w:szCs w:val="22"/>
              </w:rPr>
            </w:pPr>
            <w:r>
              <w:rPr>
                <w:rFonts w:cs="Arial" w:ascii="Arial" w:hAnsi="Arial"/>
                <w:bCs/>
                <w:kern w:val="2"/>
                <w:sz w:val="22"/>
                <w:szCs w:val="22"/>
              </w:rPr>
              <w:t xml:space="preserve">A questionnaire to measure body checking behaviors in men, such as monitoring changes in muscles and muscle mass.  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108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280"/>
        <w:gridCol w:w="8615"/>
      </w:tblGrid>
      <w:tr>
        <w:trPr>
          <w:trHeight w:val="420" w:hRule="atLeast"/>
        </w:trPr>
        <w:tc>
          <w:tcPr>
            <w:tcW w:w="10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2222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Protocol:</w:t>
              <w:br/>
              <w:br/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2"/>
                <w:szCs w:val="22"/>
              </w:rPr>
              <w:t>The Male Body Checking Questionnaire (MBCQ) is a 19–item, self-report questionnaire that measures male body checking behaviors.</w:t>
            </w:r>
            <w:r>
              <w:rPr>
                <w:rFonts w:cs="Arial" w:ascii="Arial" w:hAnsi="Arial" w:asciiTheme="minorBidi" w:cstheme="minorBidi" w:hAnsiTheme="minorBidi"/>
                <w:sz w:val="22"/>
                <w:szCs w:val="22"/>
              </w:rPr>
              <w:t xml:space="preserve"> The scale consists of four subscales; participants rate the frequency of each behavior on a 5-point, Likert-type scale from 1 (never) to 5 (very often). Responses from each question are added together to yield a total score, ranging from 19 to 95, with higher scores reflecting greater frequency of body checking behavior.</w:t>
            </w:r>
          </w:p>
        </w:tc>
      </w:tr>
      <w:tr>
        <w:trPr>
          <w:trHeight w:val="525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Text:</w:t>
              <w:br/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Male Body Checking Questionnaire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Please rate to what extent the following items apply to you. Circle one number per item: (1 = never; 5 = always)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 I check the hardness of my biceps to ensure I have not lost any muscle mass.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2. I look at my abdominal muscle (6-pack) in the mirror.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3. I flex my biceps when looking in the mirror to ensure symmetry of my muscles.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4. I compare the size of my muscles to others.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5. I compare my overall leanness and muscle definition to others.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6. I compare my overall muscle mass to athletes or celebrities.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7. I compare my overall leanness mass to athletes or celebrities.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8. I ask others to feel my muscles to ensure their size or density.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9. I ask others to comment on my muscle definition or size.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10. I pinch the fat around my abdomen and back (e.g., love handles) to determine my leanness.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11. I compare the leanness or definition of my chest muscle with others.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12. I compare the size of my chest muscles with others.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13. I compare the broadness of my shoulder with others.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14. I flex my chest muscles in the mirror to find lines or striation in the muscle.</w:t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15. I flex my muscles when looking in the mirror to find lines or striation in the muscle.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16. I take measurements of my muscle with a tape measure.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17. I push the fat around or pull my skin back to accentuate the muscles underneath.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18. I will check the size and shape of my muscles in most reflective surfaces (e.g., car windows, shopping store windows, mirrors, etc.).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19. I pinch or grab my muscles to check their size and density.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Style w:val="TableGrid"/>
              <w:tblW w:w="80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08"/>
              <w:gridCol w:w="1608"/>
              <w:gridCol w:w="1609"/>
              <w:gridCol w:w="1608"/>
              <w:gridCol w:w="1609"/>
            </w:tblGrid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pacing w:val="-1"/>
                      <w:kern w:val="0"/>
                      <w:sz w:val="22"/>
                      <w:szCs w:val="22"/>
                      <w:lang w:val="en-US" w:eastAsia="en-US" w:bidi="ar-SA"/>
                    </w:rPr>
                    <w:t>Never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Sometimes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Often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Very Often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en-US" w:eastAsia="en-US" w:bidi="ar-SA"/>
                    </w:rPr>
                    <w:t>Always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eastAsia="Book Antiqua"/>
              </w:rPr>
            </w:pPr>
            <w:r>
              <w:rPr>
                <w:rFonts w:eastAsia="Book Antiqua"/>
              </w:rPr>
            </w:r>
          </w:p>
          <w:p>
            <w:pPr>
              <w:pStyle w:val="TableParagraph"/>
              <w:widowControl w:val="false"/>
              <w:spacing w:lineRule="exact" w:line="181"/>
              <w:rPr>
                <w:rFonts w:ascii="Book Antiqua" w:hAnsi="Book Antiqua" w:eastAsia="Book Antiqua" w:cs="Book Antiqua"/>
              </w:rPr>
            </w:pPr>
            <w:r>
              <w:rPr>
                <w:rFonts w:eastAsia="Book Antiqua" w:cs="Book Antiqua" w:ascii="Book Antiqua" w:hAnsi="Book Antiqua"/>
              </w:rPr>
            </w:r>
          </w:p>
        </w:tc>
      </w:tr>
      <w:tr>
        <w:trPr>
          <w:trHeight w:val="525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Participant:</w:t>
              <w:br/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DefaultChar"/>
                <w:sz w:val="22"/>
                <w:szCs w:val="22"/>
              </w:rPr>
              <w:t>Males ages 18 and up.</w:t>
            </w:r>
          </w:p>
        </w:tc>
      </w:tr>
      <w:tr>
        <w:trPr>
          <w:trHeight w:val="1095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Source: </w:t>
              <w:br/>
              <w:br/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65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Hildebrandt, T., Walker, C., Alfano, L., Delinsky, S., &amp; Bannon, K. (2010). Development and validation of a male specific body checking questionnaire. </w:t>
            </w:r>
            <w:r>
              <w:rPr>
                <w:rFonts w:cs="Arial" w:ascii="Arial" w:hAnsi="Arial"/>
                <w:i/>
                <w:sz w:val="22"/>
                <w:szCs w:val="22"/>
              </w:rPr>
              <w:t>International Journal of Eating Disorders, 43</w:t>
            </w:r>
            <w:r>
              <w:rPr>
                <w:rFonts w:cs="Arial" w:ascii="Arial" w:hAnsi="Arial"/>
                <w:sz w:val="22"/>
                <w:szCs w:val="22"/>
              </w:rPr>
              <w:t>(1), 77–87. doi:10.1002/eat.20669</w:t>
            </w:r>
          </w:p>
        </w:tc>
      </w:tr>
      <w:tr>
        <w:trPr>
          <w:trHeight w:val="960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Personnel and Training Required: 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>
          <w:trHeight w:val="377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Needs: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>
          <w:trHeight w:val="521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General References: 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 w:asciiTheme="minorBidi" w:cstheme="minorBidi" w:hAnsiTheme="minorBidi"/>
                <w:sz w:val="22"/>
                <w:szCs w:val="22"/>
              </w:rPr>
            </w:pPr>
            <w:r>
              <w:rPr>
                <w:rFonts w:cs="Arial" w:ascii="Arial" w:hAnsi="Arial" w:asciiTheme="minorBidi" w:cstheme="minorBidi" w:hAnsiTheme="minorBidi"/>
                <w:sz w:val="22"/>
                <w:szCs w:val="22"/>
              </w:rPr>
              <w:t xml:space="preserve">Calugi, S., Dalle Grave, R., Ghisi, M., &amp; Sanavio, E. (2006). Validation of the Body Checking Questionnaire (BCQ) in an eating disorders population. </w:t>
            </w:r>
            <w:r>
              <w:rPr>
                <w:rFonts w:cs="Arial" w:ascii="Arial" w:hAnsi="Arial" w:asciiTheme="minorBidi" w:cstheme="minorBidi" w:hAnsiTheme="minorBidi"/>
                <w:i/>
                <w:sz w:val="22"/>
                <w:szCs w:val="22"/>
              </w:rPr>
              <w:t>Behavioral and Cognitive Psychotherapy, 34,</w:t>
            </w:r>
            <w:r>
              <w:rPr>
                <w:rFonts w:cs="Arial" w:ascii="Arial" w:hAnsi="Arial" w:asciiTheme="minorBidi" w:cstheme="minorBidi" w:hAnsiTheme="minorBidi"/>
                <w:sz w:val="22"/>
                <w:szCs w:val="22"/>
              </w:rPr>
              <w:t xml:space="preserve"> 233–242.</w:t>
            </w:r>
          </w:p>
          <w:p>
            <w:pPr>
              <w:pStyle w:val="Normal"/>
              <w:widowControl w:val="false"/>
              <w:rPr>
                <w:rFonts w:ascii="Arial" w:hAnsi="Arial" w:cs="Arial" w:asciiTheme="minorBidi" w:cstheme="minorBidi" w:hAnsiTheme="minorBidi"/>
                <w:sz w:val="22"/>
                <w:szCs w:val="22"/>
              </w:rPr>
            </w:pPr>
            <w:r>
              <w:rPr>
                <w:rFonts w:cs="Arial" w:cstheme="minorBidi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 w:asciiTheme="minorBidi" w:cstheme="minorBidi" w:hAnsiTheme="minorBidi"/>
                <w:sz w:val="22"/>
                <w:szCs w:val="22"/>
              </w:rPr>
            </w:pPr>
            <w:r>
              <w:rPr>
                <w:rFonts w:cs="Arial" w:ascii="Arial" w:hAnsi="Arial" w:asciiTheme="minorBidi" w:cstheme="minorBidi" w:hAnsiTheme="minorBidi"/>
                <w:sz w:val="22"/>
                <w:szCs w:val="22"/>
              </w:rPr>
              <w:t xml:space="preserve">Haase, A. M., Mountford, V., &amp; Waller, G. (2007). Understanding the link between body checking cognitions and behaviors: The role of social physique anxiety. </w:t>
            </w:r>
            <w:r>
              <w:rPr>
                <w:rFonts w:cs="Arial" w:ascii="Arial" w:hAnsi="Arial" w:asciiTheme="minorBidi" w:cstheme="minorBidi" w:hAnsiTheme="minorBidi"/>
                <w:i/>
                <w:sz w:val="22"/>
                <w:szCs w:val="22"/>
              </w:rPr>
              <w:t>International Journal of Eating Disorders, 40,</w:t>
            </w:r>
            <w:r>
              <w:rPr>
                <w:rFonts w:cs="Arial" w:ascii="Arial" w:hAnsi="Arial" w:asciiTheme="minorBidi" w:cstheme="minorBidi" w:hAnsiTheme="minorBidi"/>
                <w:sz w:val="22"/>
                <w:szCs w:val="22"/>
              </w:rPr>
              <w:t xml:space="preserve"> 241–246. </w:t>
            </w:r>
          </w:p>
          <w:p>
            <w:pPr>
              <w:pStyle w:val="Normal"/>
              <w:widowControl w:val="false"/>
              <w:rPr>
                <w:rFonts w:ascii="Arial" w:hAnsi="Arial" w:cs="Arial" w:asciiTheme="minorBidi" w:cstheme="minorBidi" w:hAnsiTheme="minorBidi"/>
                <w:sz w:val="22"/>
                <w:szCs w:val="22"/>
              </w:rPr>
            </w:pPr>
            <w:r>
              <w:rPr>
                <w:rFonts w:cs="Arial" w:cstheme="minorBidi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 w:asciiTheme="minorBidi" w:cstheme="minorBidi" w:hAnsiTheme="minorBidi"/>
                <w:sz w:val="22"/>
                <w:szCs w:val="22"/>
              </w:rPr>
            </w:pPr>
            <w:r>
              <w:rPr>
                <w:rFonts w:cs="Arial" w:ascii="Arial" w:hAnsi="Arial" w:asciiTheme="minorBidi" w:cstheme="minorBidi" w:hAnsiTheme="minorBidi"/>
                <w:sz w:val="22"/>
                <w:szCs w:val="22"/>
              </w:rPr>
              <w:t xml:space="preserve">Latner, J. D. (2008). Body checking and avoidance among behavioral weight-loss participants. </w:t>
            </w:r>
            <w:r>
              <w:rPr>
                <w:rFonts w:cs="Arial" w:ascii="Arial" w:hAnsi="Arial" w:asciiTheme="minorBidi" w:cstheme="minorBidi" w:hAnsiTheme="minorBidi"/>
                <w:i/>
                <w:sz w:val="22"/>
                <w:szCs w:val="22"/>
              </w:rPr>
              <w:t>Body Image, 5,</w:t>
            </w:r>
            <w:r>
              <w:rPr>
                <w:rFonts w:cs="Arial" w:ascii="Arial" w:hAnsi="Arial" w:asciiTheme="minorBidi" w:cstheme="minorBidi" w:hAnsiTheme="minorBidi"/>
                <w:sz w:val="22"/>
                <w:szCs w:val="22"/>
              </w:rPr>
              <w:t xml:space="preserve"> 91–98.</w:t>
            </w:r>
          </w:p>
          <w:p>
            <w:pPr>
              <w:pStyle w:val="Normal"/>
              <w:widowControl w:val="false"/>
              <w:rPr>
                <w:rFonts w:ascii="Arial" w:hAnsi="Arial" w:cs="Arial" w:asciiTheme="minorBidi" w:cstheme="minorBidi" w:hAnsiTheme="minorBidi"/>
                <w:sz w:val="22"/>
                <w:szCs w:val="22"/>
              </w:rPr>
            </w:pPr>
            <w:r>
              <w:rPr>
                <w:rFonts w:cs="Arial" w:cstheme="minorBidi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 w:asciiTheme="minorBidi" w:cstheme="minorBidi" w:hAnsiTheme="minorBidi"/>
                <w:sz w:val="22"/>
                <w:szCs w:val="22"/>
              </w:rPr>
              <w:t xml:space="preserve">Shafran, R., Lee, M., Payne, E., &amp; Fairburn, C. G. (2007). An experimental analysis of body checking. </w:t>
            </w:r>
            <w:r>
              <w:rPr>
                <w:rFonts w:cs="Arial" w:ascii="Arial" w:hAnsi="Arial" w:asciiTheme="minorBidi" w:cstheme="minorBidi" w:hAnsiTheme="minorBidi"/>
                <w:i/>
                <w:sz w:val="22"/>
                <w:szCs w:val="22"/>
              </w:rPr>
              <w:t>Behaviour Research and Therapy, 45,</w:t>
            </w:r>
            <w:r>
              <w:rPr>
                <w:rFonts w:cs="Arial" w:ascii="Arial" w:hAnsi="Arial" w:asciiTheme="minorBidi" w:cstheme="minorBidi" w:hAnsiTheme="minorBidi"/>
                <w:sz w:val="22"/>
                <w:szCs w:val="22"/>
              </w:rPr>
              <w:t xml:space="preserve"> 113–121.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 w:hanging="720"/>
        <w:rPr>
          <w:szCs w:val="22"/>
        </w:rPr>
      </w:pPr>
      <w:r>
        <w:fldChar w:fldCharType="begin"/>
      </w:r>
      <w:r>
        <w:rPr>
          <w:sz w:val="22"/>
          <w:szCs w:val="22"/>
          <w:rFonts w:ascii="Arial" w:hAnsi="Arial"/>
        </w:rPr>
        <w:instrText xml:space="preserve">ADDIN EN.REFLIST</w:instrText>
      </w:r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separate"/>
      </w:r>
      <w:r>
        <w:rPr>
          <w:rFonts w:ascii="Arial" w:hAnsi="Arial"/>
          <w:sz w:val="22"/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</w:p>
    <w:sectPr>
      <w:headerReference w:type="default" r:id="rId2"/>
      <w:footerReference w:type="default" r:id="rId3"/>
      <w:type w:val="nextPage"/>
      <w:pgSz w:w="12240" w:h="15840"/>
      <w:pgMar w:left="1296" w:right="1296" w:gutter="0" w:header="720" w:top="777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Trebuchet MS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Version 1 – 03/20/15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Eating Disorders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Release Date: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 xml:space="preserve">Male Body Checking Behaviors 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 xml:space="preserve">                                                        </w:t>
    </w:r>
    <w:r>
      <w:rPr>
        <w:rFonts w:cs="Arial" w:ascii="Arial" w:hAnsi="Arial"/>
        <w:b/>
        <w:sz w:val="20"/>
        <w:szCs w:val="20"/>
      </w:rPr>
      <w:tab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47b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04565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sid w:val="003c1872"/>
    <w:rPr>
      <w:color w:val="0000FF"/>
      <w:u w:val="single"/>
    </w:rPr>
  </w:style>
  <w:style w:type="character" w:styleId="VisitedInternetLink">
    <w:name w:val="FollowedHyperlink"/>
    <w:rsid w:val="00b87aa2"/>
    <w:rPr>
      <w:color w:val="800080"/>
      <w:u w:val="single"/>
    </w:rPr>
  </w:style>
  <w:style w:type="character" w:styleId="Annotationreference">
    <w:name w:val="annotation reference"/>
    <w:semiHidden/>
    <w:qFormat/>
    <w:rsid w:val="00f7031a"/>
    <w:rPr>
      <w:sz w:val="16"/>
      <w:szCs w:val="16"/>
    </w:rPr>
  </w:style>
  <w:style w:type="character" w:styleId="Whuggins" w:customStyle="1">
    <w:name w:val="whuggins"/>
    <w:semiHidden/>
    <w:qFormat/>
    <w:rsid w:val="005443ef"/>
    <w:rPr>
      <w:rFonts w:ascii="Arial" w:hAnsi="Arial" w:cs="Arial"/>
      <w:color w:val="000080"/>
      <w:sz w:val="20"/>
      <w:szCs w:val="20"/>
    </w:rPr>
  </w:style>
  <w:style w:type="character" w:styleId="Strong">
    <w:name w:val="Strong"/>
    <w:qFormat/>
    <w:rsid w:val="0014724b"/>
    <w:rPr>
      <w:b/>
      <w:bCs/>
    </w:rPr>
  </w:style>
  <w:style w:type="character" w:styleId="BodyTextChar" w:customStyle="1">
    <w:name w:val="Body Text Char"/>
    <w:uiPriority w:val="1"/>
    <w:qFormat/>
    <w:rsid w:val="009c2c62"/>
    <w:rPr>
      <w:rFonts w:ascii="Book Antiqua" w:hAnsi="Book Antiqua" w:eastAsia="Book Antiqua"/>
    </w:rPr>
  </w:style>
  <w:style w:type="character" w:styleId="Heading1Char" w:customStyle="1">
    <w:name w:val="Heading 1 Char"/>
    <w:link w:val="Heading1"/>
    <w:uiPriority w:val="9"/>
    <w:qFormat/>
    <w:rsid w:val="0004565e"/>
    <w:rPr>
      <w:b/>
      <w:bCs/>
      <w:kern w:val="2"/>
      <w:sz w:val="48"/>
      <w:szCs w:val="48"/>
    </w:rPr>
  </w:style>
  <w:style w:type="character" w:styleId="Maintitle" w:customStyle="1">
    <w:name w:val="maintitle"/>
    <w:qFormat/>
    <w:rsid w:val="0004565e"/>
    <w:rPr/>
  </w:style>
  <w:style w:type="character" w:styleId="DefaultChar" w:customStyle="1">
    <w:name w:val="Default Char"/>
    <w:link w:val="Default"/>
    <w:qFormat/>
    <w:locked/>
    <w:rsid w:val="008705a0"/>
    <w:rPr>
      <w:rFonts w:ascii="Arial" w:hAnsi="Arial" w:cs="Arial"/>
      <w:color w:val="000000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9c2c62"/>
    <w:pPr>
      <w:widowControl w:val="false"/>
      <w:ind w:left="105" w:hanging="0"/>
    </w:pPr>
    <w:rPr>
      <w:rFonts w:ascii="Book Antiqua" w:hAnsi="Book Antiqua" w:eastAsia="Book Antiqua"/>
      <w:sz w:val="20"/>
      <w:szCs w:val="20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3f496e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rsid w:val="003f496e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Annotationtext">
    <w:name w:val="annotation text"/>
    <w:basedOn w:val="Normal"/>
    <w:semiHidden/>
    <w:qFormat/>
    <w:rsid w:val="00f7031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f7031a"/>
    <w:pPr/>
    <w:rPr>
      <w:b/>
      <w:bCs/>
    </w:rPr>
  </w:style>
  <w:style w:type="paragraph" w:styleId="BalloonText">
    <w:name w:val="Balloon Text"/>
    <w:basedOn w:val="Normal"/>
    <w:semiHidden/>
    <w:qFormat/>
    <w:rsid w:val="00f7031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9042f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rsid w:val="00192529"/>
    <w:pPr>
      <w:spacing w:beforeAutospacing="1" w:afterAutospacing="1"/>
    </w:pPr>
    <w:rPr>
      <w:rFonts w:ascii="Trebuchet MS" w:hAnsi="Trebuchet MS"/>
      <w:color w:val="444444"/>
      <w:sz w:val="20"/>
      <w:szCs w:val="20"/>
    </w:rPr>
  </w:style>
  <w:style w:type="paragraph" w:styleId="TableParagraph" w:customStyle="1">
    <w:name w:val="Table Paragraph"/>
    <w:basedOn w:val="Normal"/>
    <w:uiPriority w:val="1"/>
    <w:qFormat/>
    <w:rsid w:val="009c2c62"/>
    <w:pPr>
      <w:widowControl w:val="false"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387d26"/>
    <w:pPr>
      <w:widowControl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paragraph" w:styleId="Revision">
    <w:name w:val="Revision"/>
    <w:uiPriority w:val="99"/>
    <w:semiHidden/>
    <w:qFormat/>
    <w:rsid w:val="00f4233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Default" w:customStyle="1">
    <w:name w:val="Default"/>
    <w:link w:val="DefaultChar"/>
    <w:qFormat/>
    <w:rsid w:val="008705a0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d138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BC92-8AD7-47ED-9A89-D0BF51A8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  <Pages>4</Pages>
  <Words>756</Words>
  <Characters>3648</Characters>
  <CharactersWithSpaces>4396</CharactersWithSpaces>
  <Paragraphs>8</Paragraphs>
  <Company>RTI International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2015-09-16T17:44:00Z</dcterms:created>
  <dc:creator>mjp</dc:creator>
  <dc:description/>
  <dc:language>en-US</dc:language>
  <cp:lastModifiedBy>Qin, Ying</cp:lastModifiedBy>
  <cp:lastPrinted>2015-08-27T20:12:00Z</cp:lastPrinted>
  <dcterms:modified xsi:type="dcterms:W3CDTF">2015-09-16T17:44:00Z</dcterms:modified>
  <cp:revision>2</cp:revision>
  <dc:subject/>
  <dc:title>Birthplace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