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Eating Disorders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Somatosensory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Multidimensional performance-based clinical assessments to assess a participant’s range of sensory and somatosensory functioning.   </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protocol includes summaries of the National Institutes of Health (NIH) Toolbox® multidimensional objective measures for Olfaction (NIH Toolbox Odor Identification Test), Taste (NIH Toolbox Regional Taste Intensity Test), and Somatosensation, which includes the Wrist Position Sense Test and the Functional Tactile Object Recognition Test (fTORT). NIH Toolbox measures are relatively brief, performance-based tests that are applicable across all ages (typically ages 3 and older) and cover the full range of normal function (rather than disease states).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rFonts w:ascii="Arial" w:hAnsi="Arial" w:cs="Arial"/>
                <w:b/>
                <w:b/>
                <w:bCs/>
                <w:sz w:val="22"/>
                <w:szCs w:val="22"/>
              </w:rPr>
            </w:pPr>
            <w:r>
              <w:rPr>
                <w:rFonts w:cs="Arial" w:ascii="Arial" w:hAnsi="Arial"/>
                <w:b/>
                <w:bCs/>
                <w:sz w:val="22"/>
                <w:szCs w:val="22"/>
              </w:rPr>
              <w:t>Summary of the NIH Toolbox Taste Measure</w:t>
            </w:r>
          </w:p>
          <w:p>
            <w:pPr>
              <w:pStyle w:val="NormalWeb"/>
              <w:numPr>
                <w:ilvl w:val="0"/>
                <w:numId w:val="2"/>
              </w:numPr>
              <w:spacing w:before="280" w:after="280"/>
              <w:rPr>
                <w:rFonts w:ascii="Arial" w:hAnsi="Arial" w:cs="Arial"/>
                <w:sz w:val="22"/>
                <w:szCs w:val="22"/>
                <w:u w:val="single"/>
              </w:rPr>
            </w:pPr>
            <w:r>
              <w:rPr>
                <w:rFonts w:cs="Arial" w:ascii="Arial" w:hAnsi="Arial"/>
                <w:sz w:val="22"/>
                <w:szCs w:val="22"/>
                <w:u w:val="single"/>
              </w:rPr>
              <w:t>NIH Toolbox Regional Taste Intensity Test</w:t>
            </w:r>
            <w:r>
              <w:rPr>
                <w:rFonts w:cs="Arial" w:ascii="Arial" w:hAnsi="Arial"/>
                <w:sz w:val="22"/>
                <w:szCs w:val="22"/>
              </w:rPr>
              <w:t xml:space="preserve"> - This test measures the perceived intensity of quinine (a bitter tastant) and salt administered in liquid solutions. The tastants are applied to the tip of the tongue as well as the whole mouth and rated on a generalized labeled magnitude scale (ranging from “no sensation at all” to “strongest sensation of any kind”).</w:t>
            </w:r>
          </w:p>
          <w:p>
            <w:pPr>
              <w:pStyle w:val="NormalWeb"/>
              <w:rPr>
                <w:rFonts w:ascii="Arial" w:hAnsi="Arial" w:cs="Arial"/>
                <w:b/>
                <w:b/>
                <w:bCs/>
                <w:sz w:val="22"/>
                <w:szCs w:val="22"/>
              </w:rPr>
            </w:pPr>
            <w:r>
              <w:rPr>
                <w:rFonts w:cs="Arial" w:ascii="Arial" w:hAnsi="Arial"/>
                <w:b/>
                <w:bCs/>
                <w:sz w:val="22"/>
                <w:szCs w:val="22"/>
              </w:rPr>
              <w:t>Summary of the NIH Toolbox Olfaction Measure</w:t>
            </w:r>
          </w:p>
          <w:p>
            <w:pPr>
              <w:pStyle w:val="NormalWeb"/>
              <w:numPr>
                <w:ilvl w:val="0"/>
                <w:numId w:val="1"/>
              </w:numPr>
              <w:spacing w:before="280" w:after="280"/>
              <w:rPr>
                <w:rFonts w:ascii="Arial" w:hAnsi="Arial" w:cs="Arial"/>
                <w:sz w:val="22"/>
                <w:szCs w:val="22"/>
              </w:rPr>
            </w:pPr>
            <w:r>
              <w:rPr>
                <w:rFonts w:cs="Arial" w:ascii="Arial" w:hAnsi="Arial"/>
                <w:sz w:val="22"/>
                <w:szCs w:val="22"/>
                <w:u w:val="single"/>
              </w:rPr>
              <w:t>NIH Toolbox Odor Identification Test</w:t>
            </w:r>
            <w:r>
              <w:rPr>
                <w:rFonts w:cs="Arial" w:ascii="Arial" w:hAnsi="Arial"/>
                <w:sz w:val="22"/>
                <w:szCs w:val="22"/>
              </w:rPr>
              <w:t xml:space="preserve"> - This test assesses a person’s ability to identify various odors. Participants use scratch ’n’ sniff cards and after scratching them one at a time, are asked to identify which of four pictures on the computer screen matches the odor they have just smelled.</w:t>
            </w:r>
          </w:p>
          <w:p>
            <w:pPr>
              <w:pStyle w:val="NormalWeb"/>
              <w:rPr>
                <w:rFonts w:ascii="Arial" w:hAnsi="Arial" w:cs="Arial"/>
                <w:b/>
                <w:b/>
                <w:bCs/>
                <w:sz w:val="22"/>
                <w:szCs w:val="22"/>
              </w:rPr>
            </w:pPr>
            <w:r>
              <w:rPr>
                <w:rFonts w:cs="Arial" w:ascii="Arial" w:hAnsi="Arial"/>
                <w:b/>
                <w:bCs/>
                <w:sz w:val="22"/>
                <w:szCs w:val="22"/>
              </w:rPr>
              <w:t>Summary of the NIH Toolbox Somatosensation Measures (experimental)</w:t>
            </w:r>
          </w:p>
          <w:p>
            <w:pPr>
              <w:pStyle w:val="NormalWeb"/>
              <w:numPr>
                <w:ilvl w:val="0"/>
                <w:numId w:val="3"/>
              </w:numPr>
              <w:spacing w:before="280" w:after="280"/>
              <w:ind w:left="317" w:hanging="360"/>
              <w:rPr>
                <w:rFonts w:ascii="Arial" w:hAnsi="Arial" w:cs="Arial"/>
                <w:sz w:val="22"/>
                <w:szCs w:val="22"/>
              </w:rPr>
            </w:pPr>
            <w:r>
              <w:rPr>
                <w:rFonts w:cs="Arial" w:ascii="Arial" w:hAnsi="Arial"/>
                <w:sz w:val="22"/>
                <w:szCs w:val="22"/>
                <w:u w:val="single"/>
              </w:rPr>
              <w:t>Wrist Position Sense Test</w:t>
            </w:r>
            <w:r>
              <w:rPr>
                <w:rFonts w:cs="Arial" w:ascii="Arial" w:hAnsi="Arial"/>
                <w:sz w:val="22"/>
                <w:szCs w:val="22"/>
              </w:rPr>
              <w:t xml:space="preserve"> - This somatosensory test measures a person's ability to recreate a limb position without vision; muscle, joint, and tendon receptors guide the movement.</w:t>
            </w:r>
          </w:p>
          <w:p>
            <w:pPr>
              <w:pStyle w:val="NormalWeb"/>
              <w:numPr>
                <w:ilvl w:val="0"/>
                <w:numId w:val="3"/>
              </w:numPr>
              <w:spacing w:before="280" w:after="0"/>
              <w:ind w:left="317" w:hanging="360"/>
              <w:rPr>
                <w:rFonts w:ascii="Arial" w:hAnsi="Arial" w:cs="Arial"/>
                <w:sz w:val="22"/>
                <w:szCs w:val="22"/>
              </w:rPr>
            </w:pPr>
            <w:r>
              <w:rPr>
                <w:rFonts w:cs="Arial" w:ascii="Arial" w:hAnsi="Arial"/>
                <w:sz w:val="22"/>
                <w:szCs w:val="22"/>
                <w:u w:val="single"/>
              </w:rPr>
              <w:t>Functional Tactile Object Recognition Test (fTORT)</w:t>
            </w:r>
            <w:r>
              <w:rPr>
                <w:rFonts w:cs="Arial" w:ascii="Arial" w:hAnsi="Arial"/>
                <w:sz w:val="22"/>
                <w:szCs w:val="22"/>
              </w:rPr>
              <w:t xml:space="preserve"> - Participants are asked to match everyday objects through the sense of touch. Participants touch an object without looking and then identify the object using a poster.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Olfaction: children, adolescents, and adults, ages 3 and older</w:t>
            </w:r>
          </w:p>
          <w:p>
            <w:pPr>
              <w:pStyle w:val="Normal"/>
              <w:spacing w:before="0" w:after="0"/>
              <w:contextualSpacing/>
              <w:rPr>
                <w:rStyle w:val="DefaultChar"/>
                <w:sz w:val="22"/>
                <w:szCs w:val="22"/>
                <w:highlight w:val="yellow"/>
              </w:rPr>
            </w:pPr>
            <w:r>
              <w:rPr>
                <w:rStyle w:val="DefaultChar"/>
                <w:sz w:val="22"/>
                <w:szCs w:val="22"/>
              </w:rPr>
              <w:t>Taste: adolescents and adults, ages 12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National Institutes of Health (NIH) Toolbox measures for olfaction and taste are available from the Assessment Center website: </w:t>
            </w:r>
            <w:hyperlink r:id="rId2">
              <w:r>
                <w:rPr>
                  <w:rStyle w:val="InternetLink"/>
                  <w:rFonts w:cs="Arial" w:ascii="Arial" w:hAnsi="Arial"/>
                  <w:sz w:val="22"/>
                  <w:szCs w:val="22"/>
                </w:rPr>
                <w:t>http://www.assessmentcenter.net/</w:t>
              </w:r>
            </w:hyperlink>
            <w:r>
              <w:rPr>
                <w:rFonts w:cs="Arial" w:ascii="Arial" w:hAnsi="Arial"/>
                <w:sz w:val="22"/>
                <w:szCs w:val="22"/>
              </w:rPr>
              <w:t xml:space="preserve"> </w:t>
            </w:r>
          </w:p>
          <w:p>
            <w:pPr>
              <w:pStyle w:val="NormalWeb"/>
              <w:spacing w:before="280" w:after="0"/>
              <w:rPr>
                <w:rFonts w:ascii="Arial" w:hAnsi="Arial" w:cs="Arial"/>
                <w:sz w:val="22"/>
                <w:szCs w:val="22"/>
                <w:highlight w:val="yellow"/>
              </w:rPr>
            </w:pPr>
            <w:r>
              <w:rPr>
                <w:rFonts w:cs="Arial" w:ascii="Arial" w:hAnsi="Arial"/>
                <w:sz w:val="22"/>
                <w:szCs w:val="22"/>
              </w:rPr>
              <w:t xml:space="preserve">NIH Toolbox measures for somatosensation are available from the NIH Toolbox website: </w:t>
            </w:r>
            <w:hyperlink r:id="rId3">
              <w:r>
                <w:rPr>
                  <w:rStyle w:val="InternetLink"/>
                  <w:rFonts w:cs="Arial" w:ascii="Arial" w:hAnsi="Arial"/>
                  <w:sz w:val="22"/>
                  <w:szCs w:val="22"/>
                </w:rPr>
                <w:t>http://www.nihtoolbox.org/WhatAndWhy/Sensation/Pages/Somatosensation-Experimental%20Measures.aspx</w:t>
              </w:r>
            </w:hyperlink>
            <w:r>
              <w:rPr>
                <w:rFonts w:cs="Arial" w:ascii="Arial" w:hAnsi="Arial"/>
                <w:sz w:val="22"/>
                <w:szCs w:val="22"/>
              </w:rPr>
              <w:t xml:space="preserv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 xml:space="preserve">Personnel and training requirements are available from the NIH Toolbox website here: </w:t>
            </w:r>
            <w:hyperlink r:id="rId4">
              <w:r>
                <w:rPr>
                  <w:rStyle w:val="InternetLink"/>
                  <w:rFonts w:cs="Arial" w:ascii="Arial" w:hAnsi="Arial"/>
                  <w:sz w:val="22"/>
                  <w:szCs w:val="22"/>
                </w:rPr>
                <w:t>http://www.nihtoolbox.org/WhatAndWhy/Sensation/Pages/default.aspx</w:t>
              </w:r>
            </w:hyperlink>
            <w:r>
              <w:rPr>
                <w:rStyle w:val="DefaultChar"/>
                <w:sz w:val="22"/>
                <w:szCs w:val="22"/>
              </w:rPr>
              <w:t xml:space="preserv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 xml:space="preserve">Equipment requirements are available from the NIH Toolbox website here: </w:t>
            </w:r>
            <w:hyperlink r:id="rId5">
              <w:r>
                <w:rPr>
                  <w:rStyle w:val="InternetLink"/>
                  <w:rFonts w:cs="Arial" w:ascii="Arial" w:hAnsi="Arial"/>
                  <w:sz w:val="22"/>
                  <w:szCs w:val="22"/>
                </w:rPr>
                <w:t>http://www.nihtoolbox.org/WhatAndWhy/Sensation/Pages/default.aspx</w:t>
              </w:r>
            </w:hyperlink>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Performance-based laboratory assessment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Coldwell, S. E., Mennella, J. A., Duffy, V. B., Pelchat, M. L., Griffith, J. W., Smutzer, G., Cowart, B. J., Breslin, P. A. S., Bartoshuk, L. M., Hastings, L., Victorson, D., &amp; Hoffman, H. J. (2013). Gustation assessment using the NIH Toolbox. </w:t>
            </w:r>
            <w:r>
              <w:rPr>
                <w:rFonts w:cs="Arial" w:ascii="Arial" w:hAnsi="Arial"/>
                <w:i/>
                <w:sz w:val="22"/>
                <w:szCs w:val="22"/>
              </w:rPr>
              <w:t>Neurology, 80</w:t>
            </w:r>
            <w:r>
              <w:rPr>
                <w:rFonts w:cs="Arial" w:ascii="Arial" w:hAnsi="Arial"/>
                <w:sz w:val="22"/>
                <w:szCs w:val="22"/>
              </w:rPr>
              <w:t>(11 Suppl. 3), S20–S24.</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 xml:space="preserve">Dalton, P., Mennella, J. A., Doty, R. L., Murphy, H., Hoffman, J., Maute, C., Kallen, M. A., &amp; Slotkin, J. (2013). Olfactory assessment using the NIH Toolbox. </w:t>
            </w:r>
            <w:r>
              <w:rPr>
                <w:rFonts w:cs="Arial" w:ascii="Arial" w:hAnsi="Arial"/>
                <w:i/>
                <w:sz w:val="22"/>
                <w:szCs w:val="22"/>
              </w:rPr>
              <w:t>Neurology, 80</w:t>
            </w:r>
            <w:r>
              <w:rPr>
                <w:rFonts w:cs="Arial" w:ascii="Arial" w:hAnsi="Arial"/>
                <w:sz w:val="22"/>
                <w:szCs w:val="22"/>
              </w:rPr>
              <w:t xml:space="preserve"> (11 Suppl. 3), S32–S36.</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Dunn, W., Griffith, J. W., Morrison, M. T., Tanquary, J., Sabata, D., Victorson, D., Carey, L. M., &amp; Gershon, R. C. (2013). Somatosensation assessment using the NIH Toolbox. </w:t>
            </w:r>
            <w:r>
              <w:rPr>
                <w:rFonts w:cs="Arial" w:ascii="Arial" w:hAnsi="Arial"/>
                <w:i/>
                <w:sz w:val="22"/>
                <w:szCs w:val="22"/>
              </w:rPr>
              <w:t>Neurology, 80</w:t>
            </w:r>
            <w:r>
              <w:rPr>
                <w:rFonts w:cs="Arial" w:ascii="Arial" w:hAnsi="Arial"/>
                <w:sz w:val="22"/>
                <w:szCs w:val="22"/>
              </w:rPr>
              <w:t>(11 Suppl. 3), S41–S44.</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Dunn, W., Griffith, J. W., Sabata, D., Morrison, T., MacDermid, J. C., Darragh, A., Schaff, R., Dudgeon, B., Conor, L. T., Carey, L., &amp; Tanquary, J. (2015). Measuring change in somatosensation across the lifespan.</w:t>
            </w:r>
            <w:r>
              <w:rPr/>
              <w:t xml:space="preserve"> </w:t>
            </w:r>
            <w:r>
              <w:rPr>
                <w:rFonts w:cs="Arial" w:ascii="Arial" w:hAnsi="Arial"/>
                <w:i/>
                <w:sz w:val="22"/>
                <w:szCs w:val="22"/>
              </w:rPr>
              <w:t>American Journal of Occupational Therapy, 69</w:t>
            </w:r>
            <w:r>
              <w:rPr>
                <w:rFonts w:cs="Arial" w:ascii="Arial" w:hAnsi="Arial"/>
                <w:sz w:val="22"/>
                <w:szCs w:val="22"/>
              </w:rPr>
              <w:t xml:space="preserve">, 6903290020p1–6903290020p9. </w:t>
            </w:r>
          </w:p>
          <w:p>
            <w:pPr>
              <w:pStyle w:val="Normal"/>
              <w:spacing w:before="0" w:after="0"/>
              <w:contextualSpacing/>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tabs>
          <w:tab w:val="clear" w:pos="720"/>
          <w:tab w:val="left" w:pos="3330" w:leader="none"/>
        </w:tabs>
        <w:rPr>
          <w:rFonts w:ascii="Arial" w:hAnsi="Arial" w:cs="Arial"/>
          <w:sz w:val="22"/>
          <w:szCs w:val="22"/>
        </w:rPr>
      </w:pPr>
      <w:r>
        <w:rPr>
          <w:rFonts w:cs="Arial" w:ascii="Arial" w:hAnsi="Arial"/>
          <w:sz w:val="22"/>
          <w:szCs w:val="22"/>
        </w:rPr>
        <w:tab/>
      </w:r>
    </w:p>
    <w:sectPr>
      <w:headerReference w:type="default" r:id="rId6"/>
      <w:footerReference w:type="default" r:id="rId7"/>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Somatosensory</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pPr>
    <w:r>
      <w:rPr>
        <w:rFonts w:cs="Arial" w:ascii="Arial" w:hAnsi="Arial"/>
        <w:b/>
        <w:sz w:val="20"/>
        <w:szCs w:val="20"/>
      </w:rPr>
      <w:t xml:space="preserve">Domain: Eating Disorders  </w:t>
    </w:r>
  </w:p>
  <w:p>
    <w:pPr>
      <w:pStyle w:val="Normal"/>
      <w:rPr>
        <w:rFonts w:ascii="Arial" w:hAnsi="Arial" w:cs="Arial"/>
        <w:b/>
        <w:b/>
        <w:sz w:val="20"/>
        <w:szCs w:val="20"/>
      </w:rPr>
    </w:pPr>
    <w:r>
      <w:rPr>
        <w:rFonts w:cs="Arial" w:ascii="Arial" w:hAnsi="Arial"/>
        <w:b/>
        <w:sz w:val="20"/>
        <w:szCs w:val="20"/>
      </w:rPr>
      <w:t xml:space="preserve">Release Date:  </w:t>
    </w:r>
  </w:p>
  <w:p>
    <w:pPr>
      <w:pStyle w:val="Normal"/>
      <w:rPr/>
    </w:pPr>
    <w:r>
      <w:rPr>
        <w:rFonts w:cs="Arial" w:ascii="Arial" w:hAnsi="Arial"/>
        <w:b/>
        <w:sz w:val="20"/>
        <w:szCs w:val="20"/>
      </w:rPr>
      <w:t>Somatosensory</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abstractNum>
  <w:abstractNum w:abstractNumId="2">
    <w:lvl w:ilvl="0">
      <w:start w:val="1"/>
      <w:numFmt w:val="bullet"/>
      <w:lvlText w:val=""/>
      <w:lvlJc w:val="left"/>
      <w:pPr>
        <w:tabs>
          <w:tab w:val="num" w:pos="0"/>
        </w:tabs>
        <w:ind w:left="360" w:hanging="360"/>
      </w:pPr>
      <w:rPr>
        <w:rFonts w:ascii="Symbol" w:hAnsi="Symbol" w:cs="Symbol"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Maintitle">
    <w:name w:val="maintitle"/>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ssessmentcenter.net/" TargetMode="External"/><Relationship Id="rId3" Type="http://schemas.openxmlformats.org/officeDocument/2006/relationships/hyperlink" Target="http://www.nihtoolbox.org/WhatAndWhy/Sensation/Pages/Somatosensation-Experimental Measures.aspx" TargetMode="External"/><Relationship Id="rId4" Type="http://schemas.openxmlformats.org/officeDocument/2006/relationships/hyperlink" Target="http://www.nihtoolbox.org/WhatAndWhy/Sensation/Pages/default.aspx" TargetMode="External"/><Relationship Id="rId5" Type="http://schemas.openxmlformats.org/officeDocument/2006/relationships/hyperlink" Target="http://www.nihtoolbox.org/WhatAndWhy/Sensation/Pages/default.aspx"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27</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2015-06-11T13:31:00Z</dcterms:created>
  <dc:creator>whuggins</dc:creator>
  <dc:description/>
  <cp:keywords/>
  <dc:language>en-US</dc:language>
  <cp:lastModifiedBy>Huggins, Wayne</cp:lastModifiedBy>
  <cp:lastPrinted>2009-03-24T15:13:00Z</cp:lastPrinted>
  <dcterms:modified xsi:type="dcterms:W3CDTF">2015-07-01T12:45:00Z</dcterms:modified>
  <cp:revision>6</cp:revision>
  <dc:subject/>
  <dc:title/>
</cp:coreProperties>
</file>