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21"/>
        <w:tblW w:w="9639" w:type="dxa"/>
        <w:tblLayout w:type="fixed"/>
        <w:tblLook w:val="04A0" w:firstRow="1" w:lastRow="0" w:firstColumn="1" w:lastColumn="0" w:noHBand="0" w:noVBand="1"/>
      </w:tblPr>
      <w:tblGrid>
        <w:gridCol w:w="793"/>
        <w:gridCol w:w="934"/>
        <w:gridCol w:w="929"/>
        <w:gridCol w:w="1586"/>
        <w:gridCol w:w="748"/>
        <w:gridCol w:w="797"/>
        <w:gridCol w:w="698"/>
        <w:gridCol w:w="996"/>
        <w:gridCol w:w="1079"/>
        <w:gridCol w:w="1079"/>
        <w:tblGridChange w:id="0">
          <w:tblGrid>
            <w:gridCol w:w="793"/>
            <w:gridCol w:w="934"/>
            <w:gridCol w:w="929"/>
            <w:gridCol w:w="1586"/>
            <w:gridCol w:w="748"/>
            <w:gridCol w:w="797"/>
            <w:gridCol w:w="698"/>
            <w:gridCol w:w="996"/>
            <w:gridCol w:w="1079"/>
            <w:gridCol w:w="1079"/>
          </w:tblGrid>
        </w:tblGridChange>
      </w:tblGrid>
      <w:tr w:rsidR="00E33887" w:rsidRPr="002A6C25" w14:paraId="6E317A65" w14:textId="77777777" w:rsidTr="00E33887">
        <w:trPr>
          <w:trHeight w:val="204"/>
          <w:tblHeader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FDD901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57ADB6B" w14:textId="77777777" w:rsidR="00A6299D" w:rsidRPr="002A6C25" w:rsidRDefault="00A6299D" w:rsidP="00A6299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Food Description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54092D4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CSFII Foodcode Link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4DABA1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CSFII Foodcode description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3BE0673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size of small serving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C0A1DC7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 xml:space="preserve">size of medium serving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B253762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size of large serving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DCA6724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Milligrams of CALCIUM per SMALL serving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8E3C74A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Milligrams of</w:t>
            </w:r>
            <w:r w:rsidR="00B54EBD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CALCIUM per</w:t>
            </w:r>
            <w:r w:rsidR="00B54EBD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MEDIUM serving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5613B6C" w14:textId="77777777" w:rsidR="00A6299D" w:rsidRPr="002A6C25" w:rsidRDefault="00A6299D" w:rsidP="00A6299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Milli</w:t>
            </w:r>
            <w:r w:rsidRPr="002A6C25">
              <w:rPr>
                <w:rFonts w:eastAsia="Times New Roman"/>
                <w:b/>
                <w:bCs/>
                <w:sz w:val="16"/>
                <w:szCs w:val="16"/>
              </w:rPr>
              <w:t>grams of CALCIUM per LARGE serving</w:t>
            </w:r>
          </w:p>
        </w:tc>
      </w:tr>
      <w:tr w:rsidR="00E33887" w:rsidRPr="002A6C25" w14:paraId="0B4CB25C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5E90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Orange juice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AD7B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Non-calcium fortified orange juice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0233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61210220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596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ORANGE JUICE, CANNED/BOTTLED/CARTON, ...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E6C9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9E77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EED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272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6DC4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19.920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3ED8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29.920</w:t>
            </w:r>
          </w:p>
        </w:tc>
      </w:tr>
      <w:tr w:rsidR="00E33887" w:rsidRPr="002A6C25" w14:paraId="535EB3F2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242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BC03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Calcium fortified orange juice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29781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61210250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B1698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ORANGE JUICE, W/ CALCIUM, CAN/BOTTLE/...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79D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3466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EEF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5A1E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150.026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148E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300.053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5564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450.079</w:t>
            </w:r>
          </w:p>
        </w:tc>
      </w:tr>
      <w:tr w:rsidR="00E33887" w:rsidRPr="002A6C25" w14:paraId="3DB93085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D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 as a beverage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5357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Whole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FEEDE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11111000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B8A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COWS, FLUID, WHOLE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B29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3536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1BF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2AFA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145.668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7489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291.336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1A30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437.004</w:t>
            </w:r>
          </w:p>
        </w:tc>
      </w:tr>
      <w:tr w:rsidR="00E33887" w:rsidRPr="002A6C25" w14:paraId="3EE5D667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2F78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B734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2% fat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30F6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11112110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3CD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COWS, FLUID, 2% FAT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A88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00E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F23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C59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148.352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B509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296.704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D922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445.056</w:t>
            </w:r>
          </w:p>
        </w:tc>
      </w:tr>
      <w:tr w:rsidR="00E33887" w:rsidRPr="002A6C25" w14:paraId="71CA6BD6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FA39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1726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1% fat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F00B8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11112210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6C9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COWS, FLUID, 1% FAT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676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AB6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C2D0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9B33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150.060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D41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300.120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152F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450.180</w:t>
            </w:r>
          </w:p>
        </w:tc>
      </w:tr>
      <w:tr w:rsidR="00E33887" w:rsidRPr="002A6C25" w14:paraId="154F236B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E0A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81CD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Skim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626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11113000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B7F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COWS, FLUID, SKIM OR NONFAT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DD7D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055D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8B6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380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151.782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1CB2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302.330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A79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454.112</w:t>
            </w:r>
          </w:p>
        </w:tc>
      </w:tr>
      <w:tr w:rsidR="00E33887" w:rsidRPr="002A6C25" w14:paraId="50ED5E74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8D20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C285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Chocolate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1D24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11511100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CA17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CHOCOLATE, WHOLE MILK BASED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BBC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CE6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1A6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4727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140.125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5332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280.250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8F9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420.375</w:t>
            </w:r>
          </w:p>
        </w:tc>
      </w:tr>
      <w:tr w:rsidR="00E33887" w:rsidRPr="002A6C25" w14:paraId="05555BDE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6B7F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BB6E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Soy or Rice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521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92205000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074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RICE BEVERAGE (INCL RICE TEA)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217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2F7F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8 fl oz.=1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DD6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753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7.544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2B9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15.087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BB9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22.631</w:t>
            </w:r>
          </w:p>
        </w:tc>
      </w:tr>
      <w:tr w:rsidR="00E33887" w:rsidRPr="002A6C25" w14:paraId="402D2A7F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016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Yogurt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B220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Yogurt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554E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11432000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8FD0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YOGURT, FRUIT VARIETY, LOWFAT MILK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0FC7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30B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18oz container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AEA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4CE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06E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344.813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1B2C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0.000</w:t>
            </w:r>
          </w:p>
        </w:tc>
      </w:tr>
      <w:tr w:rsidR="00E33887" w:rsidRPr="002A6C25" w14:paraId="53A74274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416D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Cold Cereal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F620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Cold Cereal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FB4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57100100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06C00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CEREAL, READY-TO-EAT, NFS</w:t>
            </w:r>
            <w:r w:rsidR="00B142FB">
              <w:rPr>
                <w:rFonts w:eastAsia="Times New Roman"/>
                <w:sz w:val="16"/>
                <w:szCs w:val="16"/>
              </w:rPr>
              <w:t>*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0A4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FEB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 cups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BA8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6193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24.682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1567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49.364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D175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74.046</w:t>
            </w:r>
          </w:p>
        </w:tc>
      </w:tr>
      <w:tr w:rsidR="00E33887" w:rsidRPr="002A6C25" w14:paraId="614AC0DB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4AE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ABC6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Whole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A571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11111000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CA14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COWS, FLUID, WHOLE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15A4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1/4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0D24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412B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3/4 cup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D5D2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72.834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A81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145.668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3DA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218.502</w:t>
            </w:r>
          </w:p>
        </w:tc>
      </w:tr>
      <w:tr w:rsidR="00E33887" w:rsidRPr="002A6C25" w14:paraId="7F8ED77F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5757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2866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2% fat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9B5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11112110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FFC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COWS, FLUID, 2% FAT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C26B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1/4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4FE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F9E8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3/4 cup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AFA79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74.176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A87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148.352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5D3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222.528</w:t>
            </w:r>
          </w:p>
        </w:tc>
      </w:tr>
      <w:tr w:rsidR="00E33887" w:rsidRPr="002A6C25" w14:paraId="3C0D8BBB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13E8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6CFE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1% fat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83194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11112210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C46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COWS, FLUID, 1% FAT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2BE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1/4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913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CED4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3/4 cup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868A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75.030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28B6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150.060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9A05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225.090</w:t>
            </w:r>
          </w:p>
        </w:tc>
      </w:tr>
      <w:tr w:rsidR="00E33887" w:rsidRPr="002A6C25" w14:paraId="71C6A7BF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5D9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A5AB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Skim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863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11113000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81F7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COWS, FLUID, SKIM OR NONFAT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B63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1/4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8C3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D5D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3/4 cup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C4C4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75.274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725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151.782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277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227.056</w:t>
            </w:r>
          </w:p>
        </w:tc>
      </w:tr>
      <w:tr w:rsidR="00E33887" w:rsidRPr="002A6C25" w14:paraId="1275C055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333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7CF4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Chocolate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96A7F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11511100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330D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CHOCOLATE, WHOLE MILK BASED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33F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1/4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838F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EB1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3/4 cup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27E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70.623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516A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140.125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30B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210.748</w:t>
            </w:r>
          </w:p>
        </w:tc>
      </w:tr>
      <w:tr w:rsidR="00E33887" w:rsidRPr="002A6C25" w14:paraId="125B8E9D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420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4635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Soy or Rice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C5185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92205000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353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RICE BEVERAGE (INCL RICE TEA)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F11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1/4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B3B2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D596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3/4 cup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A3BA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3.772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CDF2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7.544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794E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11.315</w:t>
            </w:r>
          </w:p>
        </w:tc>
      </w:tr>
      <w:tr w:rsidR="00E33887" w:rsidRPr="002A6C25" w14:paraId="4EC6AB36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D860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D5AF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Don't know type of milk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694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11100000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F8B7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MILK, NFS</w:t>
            </w:r>
            <w:r w:rsidR="00B142FB">
              <w:rPr>
                <w:rFonts w:eastAsia="Times New Roman"/>
                <w:sz w:val="16"/>
                <w:szCs w:val="16"/>
              </w:rPr>
              <w:t>*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946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1/4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A37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A54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3/4 cup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A213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73.961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AF96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147.921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CA8E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221.882</w:t>
            </w:r>
          </w:p>
        </w:tc>
      </w:tr>
      <w:tr w:rsidR="00E33887" w:rsidRPr="002A6C25" w14:paraId="3BE1797E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19C0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Mexican foods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9A24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Mexican foods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242F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58101320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CF07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TACO / TOSTADA W/ BEEF</w:t>
            </w:r>
            <w:r w:rsidR="00D40F74" w:rsidRPr="002A6C25">
              <w:rPr>
                <w:rFonts w:eastAsia="Times New Roman"/>
                <w:sz w:val="16"/>
                <w:szCs w:val="16"/>
              </w:rPr>
              <w:t>, CHEESE, LETTUCE</w:t>
            </w:r>
            <w:r w:rsidRPr="002A6C25">
              <w:rPr>
                <w:rFonts w:eastAsia="Times New Roman"/>
                <w:sz w:val="16"/>
                <w:szCs w:val="16"/>
              </w:rPr>
              <w:t>...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22F9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taco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85CC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taco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A6B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 tacos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CE5B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42.939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7525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84.856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1B82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169.712</w:t>
            </w:r>
          </w:p>
        </w:tc>
      </w:tr>
      <w:tr w:rsidR="00E33887" w:rsidRPr="002A6C25" w14:paraId="46F3F4B8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B6C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Pizza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5FE1A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Pizza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20C2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58106520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075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PIZZA W/ MEAT, THIN CRUST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861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piece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7A8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 pieces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FE36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 pieces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1271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147.613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551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295.225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22C0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442.838</w:t>
            </w:r>
          </w:p>
        </w:tc>
      </w:tr>
      <w:tr w:rsidR="00E33887" w:rsidRPr="002A6C25" w14:paraId="3D66C58E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0FF0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Macaroni and cheese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1C8A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Macaroni and cheese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B65F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58145114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24FE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MACARONI/NOODLES W/ CHEESE, MADE FROM...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ECE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4DF4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57C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CB88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74.814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F082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148.848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655F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223.662</w:t>
            </w:r>
          </w:p>
        </w:tc>
      </w:tr>
      <w:tr w:rsidR="00E33887" w:rsidRPr="002A6C25" w14:paraId="577A11D1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9C79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Bread, toast, or dinner rolls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972A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White bread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EB7F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51101000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145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BREAD, WHITE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559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regular slice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9C5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 regular slices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B17A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3 regular slices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88E1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F03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249B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E33887" w:rsidRPr="002A6C25" w14:paraId="52EB2615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7205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Ice cream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DD4C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Ice cream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57EC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13110100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B744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ICE CREAM, REGULAR, NOT CHOCOLATE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6237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cup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A424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cup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FE9A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1.5 cups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27CC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85.760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A8C63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170.240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6C2E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256.000</w:t>
            </w:r>
          </w:p>
        </w:tc>
      </w:tr>
      <w:tr w:rsidR="00E33887" w:rsidRPr="002A6C25" w14:paraId="63457E10" w14:textId="77777777" w:rsidTr="00E33887">
        <w:trPr>
          <w:trHeight w:val="7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D9C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lastRenderedPageBreak/>
              <w:t>Cheese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B10E" w14:textId="77777777" w:rsidR="00A6299D" w:rsidRPr="002A6C25" w:rsidRDefault="00A6299D" w:rsidP="00A6299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Cheese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4E2A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14410200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6033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CHEESE, PROCESSED, AMERICAN/CHEDDAR  ...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4E2F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1/2 slice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29C2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 slice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B24B" w14:textId="77777777" w:rsidR="00A6299D" w:rsidRPr="002A6C25" w:rsidRDefault="00A6299D" w:rsidP="00A6299D">
            <w:pPr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 slices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D7A3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63.812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73BD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121.822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E63C" w14:textId="77777777" w:rsidR="00A6299D" w:rsidRPr="002A6C25" w:rsidRDefault="00A6299D" w:rsidP="00A6299D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2A6C25">
              <w:rPr>
                <w:rFonts w:eastAsia="Times New Roman"/>
                <w:sz w:val="16"/>
                <w:szCs w:val="16"/>
              </w:rPr>
              <w:t>243.645</w:t>
            </w:r>
          </w:p>
        </w:tc>
      </w:tr>
    </w:tbl>
    <w:p w14:paraId="7C0205CC" w14:textId="77777777" w:rsidR="002A6C25" w:rsidRPr="00A6299D" w:rsidRDefault="00A6299D" w:rsidP="00A6299D">
      <w:pPr>
        <w:jc w:val="center"/>
        <w:rPr>
          <w:b/>
        </w:rPr>
      </w:pPr>
      <w:r w:rsidRPr="00A6299D">
        <w:rPr>
          <w:b/>
        </w:rPr>
        <w:t>Scoring Procedures for Children’s Calcium Intake Questionnaire</w:t>
      </w:r>
    </w:p>
    <w:p w14:paraId="74A56914" w14:textId="77777777" w:rsidR="00A6299D" w:rsidRDefault="00A6299D"/>
    <w:p w14:paraId="08BD1BC8" w14:textId="77777777" w:rsidR="002A6C25" w:rsidRDefault="002A6C25" w:rsidP="002A6C25">
      <w:pPr>
        <w:jc w:val="right"/>
      </w:pPr>
    </w:p>
    <w:p w14:paraId="59DF7057" w14:textId="77777777" w:rsidR="00827FE7" w:rsidRDefault="00827FE7" w:rsidP="002A6C25">
      <w:pPr>
        <w:jc w:val="right"/>
      </w:pPr>
    </w:p>
    <w:p w14:paraId="6BE5ABA5" w14:textId="77777777" w:rsidR="001922FC" w:rsidRDefault="00B142FB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*NFS = Not Further Specified</w:t>
      </w:r>
    </w:p>
    <w:p w14:paraId="64F6C450" w14:textId="77777777" w:rsidR="001922FC" w:rsidRDefault="001922FC" w:rsidP="00827FE7">
      <w:pPr>
        <w:pStyle w:val="PlainText"/>
        <w:rPr>
          <w:rFonts w:ascii="Arial" w:hAnsi="Arial" w:cs="Arial"/>
        </w:rPr>
      </w:pPr>
    </w:p>
    <w:p w14:paraId="69D61623" w14:textId="77777777" w:rsidR="001922FC" w:rsidRDefault="001922FC" w:rsidP="00827FE7">
      <w:pPr>
        <w:pStyle w:val="PlainText"/>
        <w:rPr>
          <w:rFonts w:ascii="Arial" w:hAnsi="Arial" w:cs="Arial"/>
        </w:rPr>
      </w:pPr>
    </w:p>
    <w:p w14:paraId="551C3E31" w14:textId="77777777" w:rsidR="001922FC" w:rsidRDefault="001922FC" w:rsidP="00827FE7">
      <w:pPr>
        <w:pStyle w:val="PlainText"/>
        <w:rPr>
          <w:rFonts w:ascii="Arial" w:hAnsi="Arial" w:cs="Arial"/>
        </w:rPr>
      </w:pPr>
    </w:p>
    <w:p w14:paraId="378AB2D8" w14:textId="77777777" w:rsidR="00631941" w:rsidRDefault="008E0F9B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Please follow the steps below to </w:t>
      </w:r>
      <w:r w:rsidR="005D675C" w:rsidRPr="00827FE7">
        <w:rPr>
          <w:rFonts w:ascii="Arial" w:hAnsi="Arial" w:cs="Arial"/>
        </w:rPr>
        <w:t xml:space="preserve">estimate total daily calcium intake </w:t>
      </w:r>
      <w:r w:rsidR="005D675C">
        <w:rPr>
          <w:rFonts w:ascii="Arial" w:hAnsi="Arial" w:cs="Arial"/>
        </w:rPr>
        <w:t xml:space="preserve">for </w:t>
      </w:r>
      <w:r w:rsidR="00631941" w:rsidRPr="00827FE7">
        <w:rPr>
          <w:rFonts w:ascii="Arial" w:hAnsi="Arial" w:cs="Arial"/>
        </w:rPr>
        <w:t>each food on the</w:t>
      </w:r>
      <w:r w:rsidR="005D675C">
        <w:rPr>
          <w:rFonts w:ascii="Arial" w:hAnsi="Arial" w:cs="Arial"/>
        </w:rPr>
        <w:t xml:space="preserve"> questionnaire:</w:t>
      </w:r>
    </w:p>
    <w:p w14:paraId="5EFBE886" w14:textId="77777777" w:rsidR="008E0F9B" w:rsidRDefault="008E0F9B" w:rsidP="00827FE7">
      <w:pPr>
        <w:pStyle w:val="PlainText"/>
        <w:rPr>
          <w:rFonts w:ascii="Arial" w:hAnsi="Arial" w:cs="Arial"/>
        </w:rPr>
      </w:pPr>
    </w:p>
    <w:p w14:paraId="011457A4" w14:textId="77777777" w:rsidR="00C03F9F" w:rsidRDefault="00B142FB" w:rsidP="00B142FB">
      <w:pPr>
        <w:pStyle w:val="PlainTex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524B98">
        <w:rPr>
          <w:rFonts w:ascii="Arial" w:hAnsi="Arial" w:cs="Arial"/>
        </w:rPr>
        <w:t>The first phase</w:t>
      </w:r>
      <w:r w:rsidR="005F3F4D">
        <w:rPr>
          <w:rFonts w:ascii="Arial" w:hAnsi="Arial" w:cs="Arial"/>
        </w:rPr>
        <w:t xml:space="preserve"> of </w:t>
      </w:r>
      <w:r w:rsidR="008E0F9B">
        <w:rPr>
          <w:rFonts w:ascii="Arial" w:hAnsi="Arial" w:cs="Arial"/>
        </w:rPr>
        <w:t xml:space="preserve">processing is </w:t>
      </w:r>
      <w:r w:rsidR="00C03F9F">
        <w:rPr>
          <w:rFonts w:ascii="Arial" w:hAnsi="Arial" w:cs="Arial"/>
        </w:rPr>
        <w:t xml:space="preserve">calculating the frequency per day for each item using the following </w:t>
      </w:r>
      <w:r w:rsidR="005541CD">
        <w:rPr>
          <w:rFonts w:ascii="Arial" w:hAnsi="Arial" w:cs="Arial"/>
        </w:rPr>
        <w:t>conversion chart</w:t>
      </w:r>
      <w:r w:rsidR="00C03F9F">
        <w:rPr>
          <w:rFonts w:ascii="Arial" w:hAnsi="Arial" w:cs="Arial"/>
        </w:rPr>
        <w:t>:</w:t>
      </w:r>
    </w:p>
    <w:p w14:paraId="0472E4D5" w14:textId="77777777" w:rsidR="005541CD" w:rsidRDefault="005541CD" w:rsidP="005541CD">
      <w:pPr>
        <w:pStyle w:val="PlainText"/>
        <w:ind w:left="360"/>
        <w:rPr>
          <w:rFonts w:ascii="Arial" w:hAnsi="Arial" w:cs="Arial"/>
        </w:rPr>
      </w:pPr>
    </w:p>
    <w:p w14:paraId="46C15FF9" w14:textId="77777777" w:rsidR="00C03F9F" w:rsidRP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03F9F">
        <w:rPr>
          <w:rFonts w:ascii="Arial" w:hAnsi="Arial" w:cs="Arial"/>
          <w:u w:val="single"/>
        </w:rPr>
        <w:t>Response option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03F9F">
        <w:rPr>
          <w:rFonts w:ascii="Arial" w:hAnsi="Arial" w:cs="Arial"/>
          <w:u w:val="single"/>
        </w:rPr>
        <w:t>Frequency per day</w:t>
      </w:r>
      <w:r w:rsidR="005541CD">
        <w:rPr>
          <w:rFonts w:ascii="Arial" w:hAnsi="Arial" w:cs="Arial"/>
          <w:u w:val="single"/>
        </w:rPr>
        <w:t xml:space="preserve"> conversion</w:t>
      </w:r>
    </w:p>
    <w:p w14:paraId="038BB952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Never or less than 1 time per month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</w:p>
    <w:p w14:paraId="22513B8F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1 time per month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0.03</w:t>
      </w:r>
    </w:p>
    <w:p w14:paraId="21669C57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2-3 times per month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0.08</w:t>
      </w:r>
    </w:p>
    <w:p w14:paraId="788882B4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1-2 times per week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0.21</w:t>
      </w:r>
    </w:p>
    <w:p w14:paraId="280B3013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3-4 times per week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0.50</w:t>
      </w:r>
    </w:p>
    <w:p w14:paraId="504005F8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5-6 times per week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0.79</w:t>
      </w:r>
    </w:p>
    <w:p w14:paraId="4331D65B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1 time per 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1.00</w:t>
      </w:r>
    </w:p>
    <w:p w14:paraId="69F94409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1 or more times per 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1.00</w:t>
      </w:r>
    </w:p>
    <w:p w14:paraId="1AB40B74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2 times per 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2.00</w:t>
      </w:r>
    </w:p>
    <w:p w14:paraId="08281020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 or more times per day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2.00</w:t>
      </w:r>
    </w:p>
    <w:p w14:paraId="03FF4AD5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3 or more times per 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3.00</w:t>
      </w:r>
    </w:p>
    <w:p w14:paraId="73E6917C" w14:textId="77777777" w:rsidR="00C03F9F" w:rsidRDefault="00C03F9F" w:rsidP="00827FE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684684" w14:textId="77777777" w:rsidR="00C03F9F" w:rsidRDefault="00C03F9F" w:rsidP="00827FE7">
      <w:pPr>
        <w:pStyle w:val="PlainText"/>
        <w:rPr>
          <w:rFonts w:ascii="Arial" w:hAnsi="Arial" w:cs="Arial"/>
        </w:rPr>
      </w:pPr>
    </w:p>
    <w:p w14:paraId="0E663B8E" w14:textId="77777777" w:rsidR="00C03F9F" w:rsidRDefault="00C03F9F" w:rsidP="00B142FB">
      <w:pPr>
        <w:pStyle w:val="PlainTex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142FB">
        <w:rPr>
          <w:rFonts w:ascii="Arial" w:hAnsi="Arial" w:cs="Arial"/>
        </w:rPr>
        <w:tab/>
        <w:t>Th</w:t>
      </w:r>
      <w:r>
        <w:rPr>
          <w:rFonts w:ascii="Arial" w:hAnsi="Arial" w:cs="Arial"/>
        </w:rPr>
        <w:t>e second step is to multiply the frequency per day estimate for each food by the amount of calcium per reported portion</w:t>
      </w:r>
      <w:r w:rsidR="005541CD">
        <w:rPr>
          <w:rFonts w:ascii="Arial" w:hAnsi="Arial" w:cs="Arial"/>
        </w:rPr>
        <w:t xml:space="preserve"> as specified in the calcium database.  Be sure to use the appropriate food in the database based on the food detail specified by the participant for orange juice, milk, and cereal.    </w:t>
      </w:r>
      <w:r>
        <w:rPr>
          <w:rFonts w:ascii="Arial" w:hAnsi="Arial" w:cs="Arial"/>
        </w:rPr>
        <w:t>.</w:t>
      </w:r>
    </w:p>
    <w:p w14:paraId="030764F8" w14:textId="77777777" w:rsidR="00D51C8B" w:rsidRPr="009E0563" w:rsidRDefault="00D51C8B" w:rsidP="00827FE7">
      <w:pPr>
        <w:pStyle w:val="PlainText"/>
        <w:rPr>
          <w:rFonts w:ascii="Arial" w:hAnsi="Arial" w:cs="Arial"/>
          <w:b/>
          <w:color w:val="000000"/>
        </w:rPr>
      </w:pPr>
    </w:p>
    <w:p w14:paraId="4DB94247" w14:textId="77777777" w:rsidR="00631941" w:rsidRDefault="00721CAE" w:rsidP="005541CD">
      <w:pPr>
        <w:pStyle w:val="PlainTex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example, when calculating </w:t>
      </w:r>
      <w:r w:rsidR="005D675C">
        <w:rPr>
          <w:rFonts w:ascii="Arial" w:hAnsi="Arial" w:cs="Arial"/>
        </w:rPr>
        <w:t>daily calcium intake</w:t>
      </w:r>
      <w:r>
        <w:rPr>
          <w:rFonts w:ascii="Arial" w:hAnsi="Arial" w:cs="Arial"/>
        </w:rPr>
        <w:t xml:space="preserve"> f</w:t>
      </w:r>
      <w:r w:rsidR="005541CD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r w:rsidR="005541CD">
        <w:rPr>
          <w:rFonts w:ascii="Arial" w:hAnsi="Arial" w:cs="Arial"/>
        </w:rPr>
        <w:t xml:space="preserve">milk as a beverage, multiply the frequency per day (e.g. 0.21 times per day) by the calcium content per reported portion (e.g. 1 cup) for the type of milk specified (e.g. chocolate milk).  </w:t>
      </w:r>
    </w:p>
    <w:p w14:paraId="573082DF" w14:textId="77777777" w:rsidR="00827FE7" w:rsidRPr="00827FE7" w:rsidRDefault="00827FE7" w:rsidP="00827FE7">
      <w:pPr>
        <w:pStyle w:val="PlainText"/>
        <w:rPr>
          <w:rFonts w:ascii="Arial" w:hAnsi="Arial" w:cs="Arial"/>
        </w:rPr>
      </w:pPr>
    </w:p>
    <w:p w14:paraId="7B199720" w14:textId="77777777" w:rsidR="00827FE7" w:rsidRDefault="000338AC" w:rsidP="005541CD">
      <w:pPr>
        <w:autoSpaceDE w:val="0"/>
        <w:autoSpaceDN w:val="0"/>
        <w:adjustRightInd w:val="0"/>
        <w:ind w:left="720"/>
        <w:rPr>
          <w:szCs w:val="20"/>
        </w:rPr>
      </w:pPr>
      <w:r>
        <w:rPr>
          <w:szCs w:val="20"/>
        </w:rPr>
        <w:t xml:space="preserve">Please Note: </w:t>
      </w:r>
      <w:r w:rsidR="00827FE7" w:rsidRPr="00827FE7">
        <w:rPr>
          <w:szCs w:val="20"/>
        </w:rPr>
        <w:t>The second set of milk values</w:t>
      </w:r>
      <w:r w:rsidR="005541CD">
        <w:rPr>
          <w:szCs w:val="20"/>
        </w:rPr>
        <w:t xml:space="preserve"> in the database</w:t>
      </w:r>
      <w:r w:rsidR="00827FE7" w:rsidRPr="00827FE7">
        <w:rPr>
          <w:szCs w:val="20"/>
        </w:rPr>
        <w:t xml:space="preserve"> go</w:t>
      </w:r>
      <w:r w:rsidR="00B142FB">
        <w:rPr>
          <w:szCs w:val="20"/>
        </w:rPr>
        <w:t>es</w:t>
      </w:r>
      <w:r w:rsidR="00827FE7" w:rsidRPr="00827FE7">
        <w:rPr>
          <w:szCs w:val="20"/>
        </w:rPr>
        <w:t xml:space="preserve"> with the ready-to-eat cereal question. If a participant reports eating ready-to-eat cereal it is to be assumed they added milk to the cereal in varying amounts based on the amount of cereal they report consuming. The type of milk to </w:t>
      </w:r>
      <w:r w:rsidR="00250485" w:rsidRPr="00827FE7">
        <w:rPr>
          <w:szCs w:val="20"/>
        </w:rPr>
        <w:t>assign</w:t>
      </w:r>
      <w:r w:rsidR="00827FE7" w:rsidRPr="00827FE7">
        <w:rPr>
          <w:szCs w:val="20"/>
        </w:rPr>
        <w:t xml:space="preserve"> for the ready-to-eat cereal question is to be based on the response to the 'milk as a beverage' question. If they report not consuming milk as a beverage, the 'milk NFS (not further specified)' values should be used.</w:t>
      </w:r>
    </w:p>
    <w:p w14:paraId="1FC798F8" w14:textId="77777777" w:rsidR="005541CD" w:rsidRDefault="005541CD" w:rsidP="00827FE7">
      <w:pPr>
        <w:autoSpaceDE w:val="0"/>
        <w:autoSpaceDN w:val="0"/>
        <w:adjustRightInd w:val="0"/>
        <w:rPr>
          <w:szCs w:val="20"/>
        </w:rPr>
      </w:pPr>
    </w:p>
    <w:p w14:paraId="47441CC3" w14:textId="77777777" w:rsidR="005541CD" w:rsidRPr="00827FE7" w:rsidRDefault="005541CD" w:rsidP="005541CD">
      <w:pPr>
        <w:autoSpaceDE w:val="0"/>
        <w:autoSpaceDN w:val="0"/>
        <w:adjustRightInd w:val="0"/>
        <w:ind w:left="720" w:hanging="720"/>
        <w:rPr>
          <w:szCs w:val="20"/>
        </w:rPr>
      </w:pPr>
      <w:r>
        <w:rPr>
          <w:szCs w:val="20"/>
        </w:rPr>
        <w:t>3.</w:t>
      </w:r>
      <w:r>
        <w:rPr>
          <w:szCs w:val="20"/>
        </w:rPr>
        <w:tab/>
        <w:t>The final step is to sum the daily calcium intake estimates for each food item to generate total daily calcium intake estimates.</w:t>
      </w:r>
    </w:p>
    <w:p w14:paraId="1B10474C" w14:textId="77777777" w:rsidR="00827FE7" w:rsidRDefault="00827FE7" w:rsidP="00B142FB"/>
    <w:sectPr w:rsidR="00827FE7" w:rsidSect="00827FE7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F7E"/>
    <w:multiLevelType w:val="hybridMultilevel"/>
    <w:tmpl w:val="66483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3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F"/>
    <w:rsid w:val="000268AA"/>
    <w:rsid w:val="000338AC"/>
    <w:rsid w:val="001922FC"/>
    <w:rsid w:val="00250485"/>
    <w:rsid w:val="00253360"/>
    <w:rsid w:val="002A6C25"/>
    <w:rsid w:val="00450D41"/>
    <w:rsid w:val="00524B98"/>
    <w:rsid w:val="005541CD"/>
    <w:rsid w:val="005D675C"/>
    <w:rsid w:val="005F3F4D"/>
    <w:rsid w:val="005F4A8B"/>
    <w:rsid w:val="00631941"/>
    <w:rsid w:val="006846C6"/>
    <w:rsid w:val="0070320E"/>
    <w:rsid w:val="00721CAE"/>
    <w:rsid w:val="007F61A0"/>
    <w:rsid w:val="00827FE7"/>
    <w:rsid w:val="00864E32"/>
    <w:rsid w:val="008E0F9B"/>
    <w:rsid w:val="00994568"/>
    <w:rsid w:val="009A3D5D"/>
    <w:rsid w:val="009B4642"/>
    <w:rsid w:val="009E0563"/>
    <w:rsid w:val="00A6299D"/>
    <w:rsid w:val="00B12D11"/>
    <w:rsid w:val="00B142FB"/>
    <w:rsid w:val="00B54EBD"/>
    <w:rsid w:val="00BF381F"/>
    <w:rsid w:val="00C03F9F"/>
    <w:rsid w:val="00CD096C"/>
    <w:rsid w:val="00D06BB6"/>
    <w:rsid w:val="00D40F74"/>
    <w:rsid w:val="00D51C8B"/>
    <w:rsid w:val="00D57C9F"/>
    <w:rsid w:val="00D67CC1"/>
    <w:rsid w:val="00DD4176"/>
    <w:rsid w:val="00DF5E66"/>
    <w:rsid w:val="00E33887"/>
    <w:rsid w:val="00F33EDC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D255"/>
  <w15:chartTrackingRefBased/>
  <w15:docId w15:val="{541085C3-819D-4388-8370-63E2BA15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6C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27FE7"/>
    <w:rPr>
      <w:rFonts w:ascii="Courier New" w:eastAsia="Times New Roman" w:hAnsi="Courier New" w:cs="Courier New"/>
      <w:szCs w:val="20"/>
    </w:rPr>
  </w:style>
  <w:style w:type="character" w:customStyle="1" w:styleId="PlainTextChar">
    <w:name w:val="Plain Text Char"/>
    <w:link w:val="PlainText"/>
    <w:semiHidden/>
    <w:locked/>
    <w:rsid w:val="00827FE7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semiHidden/>
    <w:rsid w:val="00C03F9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142FB"/>
    <w:rPr>
      <w:sz w:val="16"/>
      <w:szCs w:val="16"/>
    </w:rPr>
  </w:style>
  <w:style w:type="paragraph" w:styleId="CommentText">
    <w:name w:val="annotation text"/>
    <w:basedOn w:val="Normal"/>
    <w:semiHidden/>
    <w:rsid w:val="00B142F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142FB"/>
    <w:rPr>
      <w:b/>
      <w:bCs/>
    </w:rPr>
  </w:style>
  <w:style w:type="paragraph" w:styleId="Revision">
    <w:name w:val="Revision"/>
    <w:hidden/>
    <w:uiPriority w:val="99"/>
    <w:semiHidden/>
    <w:rsid w:val="0099456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</vt:lpstr>
    </vt:vector>
  </TitlesOfParts>
  <Company>RTI International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</dc:title>
  <dc:subject/>
  <dc:creator>rwebb</dc:creator>
  <cp:keywords/>
  <dc:description/>
  <cp:lastModifiedBy>Williams, David</cp:lastModifiedBy>
  <cp:revision>2</cp:revision>
  <dcterms:created xsi:type="dcterms:W3CDTF">2026-02-27T16:24:00Z</dcterms:created>
  <dcterms:modified xsi:type="dcterms:W3CDTF">2026-02-27T16:24:00Z</dcterms:modified>
</cp:coreProperties>
</file>