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Nutrition and Dietary Supplements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Plasma Fatty Acid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 bioassay of plasma and erythrocyte membrane fatty acid.</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analytical method for fatty acid detection and quantitation is based on gas chromatography. In this method, Omega-3 and Omega-6 fatty acids are extracted from erythrocyte membranes and plasma using chloroform and methanol and quantitated using gas chromatography.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before="0" w:after="0"/>
              <w:contextualSpacing/>
              <w:rPr>
                <w:rFonts w:ascii="Arial" w:hAnsi="Arial" w:cs="Arial"/>
                <w:sz w:val="22"/>
                <w:szCs w:val="22"/>
              </w:rPr>
            </w:pPr>
            <w:r>
              <w:rPr>
                <w:rFonts w:cs="Arial" w:ascii="Arial" w:hAnsi="Arial"/>
                <w:b/>
                <w:bCs/>
                <w:sz w:val="22"/>
                <w:szCs w:val="22"/>
                <w:u w:val="single"/>
              </w:rPr>
              <w:t>Specimen Collection, Storage, and Handling Procedures; Criteria for Specimen Rejection</w:t>
            </w:r>
          </w:p>
          <w:p>
            <w:pPr>
              <w:pStyle w:val="Normal"/>
              <w:numPr>
                <w:ilvl w:val="1"/>
                <w:numId w:val="2"/>
              </w:numPr>
              <w:spacing w:before="0" w:after="0"/>
              <w:contextualSpacing/>
              <w:rPr>
                <w:rFonts w:ascii="Arial" w:hAnsi="Arial" w:cs="Arial"/>
                <w:sz w:val="22"/>
                <w:szCs w:val="22"/>
              </w:rPr>
            </w:pPr>
            <w:r>
              <w:rPr>
                <w:rFonts w:cs="Arial" w:ascii="Arial" w:hAnsi="Arial"/>
                <w:sz w:val="22"/>
                <w:szCs w:val="22"/>
              </w:rPr>
              <w:t>Analysis is performed on plasma and erythrocytes collected following overnight fast</w:t>
            </w:r>
          </w:p>
          <w:p>
            <w:pPr>
              <w:pStyle w:val="Normal"/>
              <w:numPr>
                <w:ilvl w:val="2"/>
                <w:numId w:val="2"/>
              </w:numPr>
              <w:spacing w:before="0" w:after="0"/>
              <w:contextualSpacing/>
              <w:rPr>
                <w:rFonts w:ascii="Arial" w:hAnsi="Arial" w:cs="Arial"/>
                <w:sz w:val="22"/>
                <w:szCs w:val="22"/>
              </w:rPr>
            </w:pPr>
            <w:r>
              <w:rPr>
                <w:rFonts w:cs="Arial" w:ascii="Arial" w:hAnsi="Arial"/>
                <w:color w:val="000000"/>
                <w:sz w:val="22"/>
                <w:szCs w:val="22"/>
              </w:rPr>
              <w:t>RBC membrane fatty acids may be determined in whole blood collected with EDTA or Na citrate as anticoagulant.  If not assayed within 24 hours, the blood should be frozen at -70°C.  The blood is stable indefinitely.  A minimum sample size of 1.0 mL of whole blood is preferred.  Alternatively, the whole blood may be centrifuged and the packed cells frozen at -70°C.  Frozen packed cells are also stable indefinitely.  A minimum sample size of 0.5 mL of packed cells is preferred.  Blood may be obtained from fasting or nonfasting individuals.</w:t>
            </w:r>
          </w:p>
          <w:p>
            <w:pPr>
              <w:pStyle w:val="Normal"/>
              <w:numPr>
                <w:ilvl w:val="2"/>
                <w:numId w:val="2"/>
              </w:numPr>
              <w:spacing w:before="0" w:after="0"/>
              <w:contextualSpacing/>
              <w:rPr>
                <w:rFonts w:ascii="Arial" w:hAnsi="Arial" w:cs="Arial"/>
                <w:sz w:val="22"/>
                <w:szCs w:val="22"/>
              </w:rPr>
            </w:pPr>
            <w:r>
              <w:rPr>
                <w:rFonts w:cs="Arial" w:ascii="Arial" w:hAnsi="Arial"/>
                <w:color w:val="000000"/>
                <w:sz w:val="22"/>
                <w:szCs w:val="22"/>
              </w:rPr>
              <w:t>Plasma phospholipid fatty acids Plasma phospholipid fatty acids may be determined in plasma obtained from whole blood collected with EDTA or Na citrate as anticoagulant.  The blood should be centrifuged within 30 minutes of collection at room temperature at about 2500 rpm for 15 minutes.  Using a plastic transfer pipette, remove the plasma from the cells and aliquot the plasma into vials.  A 500 uL plasma aliquot is used for determination of plasma fatty acids.  This aliquot should be frozen at –70°C and is stable indefinitely.  Blood may be obtained from fasting or nonfasting individuals.</w:t>
            </w:r>
          </w:p>
          <w:p>
            <w:pPr>
              <w:pStyle w:val="Normal"/>
              <w:numPr>
                <w:ilvl w:val="1"/>
                <w:numId w:val="2"/>
              </w:numPr>
              <w:spacing w:before="0" w:after="0"/>
              <w:contextualSpacing/>
              <w:rPr>
                <w:rFonts w:ascii="Arial" w:hAnsi="Arial" w:cs="Arial"/>
                <w:sz w:val="22"/>
                <w:szCs w:val="22"/>
              </w:rPr>
            </w:pPr>
            <w:r>
              <w:rPr>
                <w:rFonts w:cs="Arial" w:ascii="Arial" w:hAnsi="Arial"/>
                <w:sz w:val="22"/>
                <w:szCs w:val="22"/>
              </w:rPr>
              <w:t>Analysis should be performed within one week of collection</w:t>
            </w:r>
          </w:p>
          <w:p>
            <w:pPr>
              <w:pStyle w:val="Normal"/>
              <w:numPr>
                <w:ilvl w:val="1"/>
                <w:numId w:val="2"/>
              </w:numPr>
              <w:spacing w:before="0" w:after="0"/>
              <w:contextualSpacing/>
              <w:rPr>
                <w:rFonts w:ascii="Arial" w:hAnsi="Arial" w:cs="Arial"/>
                <w:sz w:val="22"/>
                <w:szCs w:val="22"/>
              </w:rPr>
            </w:pPr>
            <w:r>
              <w:rPr>
                <w:rFonts w:cs="Arial" w:ascii="Arial" w:hAnsi="Arial"/>
                <w:sz w:val="22"/>
                <w:szCs w:val="22"/>
              </w:rPr>
              <w:t>An internal standard such as diheneicosanoyl- or diheptadecanoyl- phosphatidylcholine should be used to monitor extraction efficiencies.  Samples should be rejected if extraction efficiencies are less than 60%</w:t>
            </w:r>
          </w:p>
          <w:p>
            <w:pPr>
              <w:pStyle w:val="Normal"/>
              <w:numPr>
                <w:ilvl w:val="0"/>
                <w:numId w:val="2"/>
              </w:numPr>
              <w:spacing w:before="0" w:after="0"/>
              <w:contextualSpacing/>
              <w:rPr>
                <w:rFonts w:ascii="Arial" w:hAnsi="Arial" w:cs="Arial"/>
                <w:sz w:val="22"/>
                <w:szCs w:val="22"/>
              </w:rPr>
            </w:pPr>
            <w:r>
              <w:rPr>
                <w:rFonts w:cs="Arial" w:ascii="Arial" w:hAnsi="Arial"/>
                <w:b/>
                <w:bCs/>
                <w:sz w:val="22"/>
                <w:szCs w:val="22"/>
                <w:u w:val="single"/>
              </w:rPr>
              <w:t>Procedure Overview:</w:t>
            </w:r>
          </w:p>
          <w:p>
            <w:pPr>
              <w:pStyle w:val="Normal"/>
              <w:numPr>
                <w:ilvl w:val="1"/>
                <w:numId w:val="2"/>
              </w:numPr>
              <w:spacing w:before="0" w:after="0"/>
              <w:contextualSpacing/>
              <w:rPr/>
            </w:pPr>
            <w:r>
              <w:rPr>
                <w:rFonts w:cs="Arial" w:ascii="Arial" w:hAnsi="Arial"/>
                <w:sz w:val="22"/>
                <w:szCs w:val="22"/>
              </w:rPr>
              <w:t>A gas chromatography instrument and gas and thin-layer chromatography expertise is required.</w:t>
            </w:r>
          </w:p>
          <w:p>
            <w:pPr>
              <w:pStyle w:val="Normal"/>
              <w:numPr>
                <w:ilvl w:val="1"/>
                <w:numId w:val="2"/>
              </w:numPr>
              <w:spacing w:before="0" w:after="0"/>
              <w:contextualSpacing/>
              <w:rPr>
                <w:rFonts w:ascii="Arial" w:hAnsi="Arial" w:cs="Arial"/>
                <w:sz w:val="22"/>
                <w:szCs w:val="22"/>
              </w:rPr>
            </w:pPr>
            <w:r>
              <w:rPr>
                <w:rFonts w:cs="Arial" w:ascii="Arial" w:hAnsi="Arial"/>
                <w:sz w:val="22"/>
                <w:szCs w:val="22"/>
              </w:rPr>
              <w:t>Erythrocyte membrane fatty acids are extracted from pelleted erythrocytes with chloroform: methanol and evaporated to dryness.</w:t>
            </w:r>
          </w:p>
          <w:p>
            <w:pPr>
              <w:pStyle w:val="Normal"/>
              <w:numPr>
                <w:ilvl w:val="1"/>
                <w:numId w:val="2"/>
              </w:numPr>
              <w:spacing w:before="0" w:after="0"/>
              <w:contextualSpacing/>
              <w:rPr/>
            </w:pPr>
            <w:r>
              <w:rPr>
                <w:rFonts w:cs="Arial" w:ascii="Arial" w:hAnsi="Arial"/>
                <w:sz w:val="22"/>
                <w:szCs w:val="22"/>
              </w:rPr>
              <w:t>Plasma fatty acids are extracted with chloroform:methanol and phospholipids are harvested following thin-layer chromatography.</w:t>
            </w:r>
          </w:p>
          <w:p>
            <w:pPr>
              <w:pStyle w:val="Normal"/>
              <w:numPr>
                <w:ilvl w:val="1"/>
                <w:numId w:val="2"/>
              </w:numPr>
              <w:spacing w:before="0" w:after="0"/>
              <w:contextualSpacing/>
              <w:rPr/>
            </w:pPr>
            <w:r>
              <w:rPr>
                <w:rFonts w:cs="Arial" w:ascii="Arial" w:hAnsi="Arial"/>
                <w:sz w:val="22"/>
                <w:szCs w:val="22"/>
              </w:rPr>
              <w:t>For both erythrocyte membrane and plasma fatty acids, methyl esters are generated by incubating in boron trifluoride and extracting with heptanes.</w:t>
            </w:r>
          </w:p>
          <w:p>
            <w:pPr>
              <w:pStyle w:val="Normal"/>
              <w:numPr>
                <w:ilvl w:val="1"/>
                <w:numId w:val="2"/>
              </w:numPr>
              <w:spacing w:before="0" w:after="0"/>
              <w:contextualSpacing/>
              <w:rPr/>
            </w:pPr>
            <w:r>
              <w:rPr>
                <w:rFonts w:cs="Arial" w:ascii="Arial" w:hAnsi="Arial"/>
                <w:sz w:val="22"/>
                <w:szCs w:val="22"/>
              </w:rPr>
              <w:t>Detection and quantitation are performed using gas chromatography.</w:t>
            </w:r>
          </w:p>
          <w:p>
            <w:pPr>
              <w:pStyle w:val="Normal"/>
              <w:numPr>
                <w:ilvl w:val="1"/>
                <w:numId w:val="2"/>
              </w:numPr>
              <w:spacing w:before="0" w:after="0"/>
              <w:contextualSpacing/>
              <w:rPr>
                <w:rFonts w:ascii="Arial" w:hAnsi="Arial" w:cs="Arial"/>
                <w:sz w:val="22"/>
                <w:szCs w:val="22"/>
              </w:rPr>
            </w:pPr>
            <w:r>
              <w:rPr>
                <w:rFonts w:cs="Arial" w:ascii="Arial" w:hAnsi="Arial"/>
                <w:sz w:val="22"/>
                <w:szCs w:val="22"/>
              </w:rPr>
              <w:t>Fatty acid methyl esters from 12:0 through 24:1n9 can be detected using a 50min gradient from 190</w:t>
            </w:r>
            <w:r>
              <w:rPr>
                <w:rFonts w:cs="Arial" w:ascii="Arial" w:hAnsi="Arial"/>
                <w:sz w:val="22"/>
                <w:szCs w:val="22"/>
                <w:vertAlign w:val="superscript"/>
              </w:rPr>
              <w:t>o</w:t>
            </w:r>
            <w:r>
              <w:rPr>
                <w:rFonts w:cs="Arial" w:ascii="Arial" w:hAnsi="Arial"/>
                <w:sz w:val="22"/>
                <w:szCs w:val="22"/>
              </w:rPr>
              <w:t>C to 240</w:t>
            </w:r>
            <w:r>
              <w:rPr>
                <w:rFonts w:cs="Arial" w:ascii="Arial" w:hAnsi="Arial"/>
                <w:sz w:val="22"/>
                <w:szCs w:val="22"/>
                <w:vertAlign w:val="superscript"/>
              </w:rPr>
              <w:t>o</w:t>
            </w:r>
            <w:r>
              <w:rPr>
                <w:rFonts w:cs="Arial" w:ascii="Arial" w:hAnsi="Arial"/>
                <w:sz w:val="22"/>
                <w:szCs w:val="22"/>
              </w:rPr>
              <w:t>C</w:t>
            </w:r>
          </w:p>
          <w:p>
            <w:pPr>
              <w:pStyle w:val="Normal"/>
              <w:numPr>
                <w:ilvl w:val="0"/>
                <w:numId w:val="2"/>
              </w:numPr>
              <w:spacing w:before="0" w:after="0"/>
              <w:contextualSpacing/>
              <w:rPr>
                <w:rFonts w:ascii="Arial" w:hAnsi="Arial" w:cs="Arial"/>
                <w:sz w:val="22"/>
                <w:szCs w:val="22"/>
              </w:rPr>
            </w:pPr>
            <w:r>
              <w:rPr>
                <w:rFonts w:cs="Arial" w:ascii="Arial" w:hAnsi="Arial"/>
                <w:b/>
                <w:bCs/>
                <w:sz w:val="22"/>
                <w:szCs w:val="22"/>
                <w:u w:val="single"/>
              </w:rPr>
              <w:t>Detection ranges:</w:t>
            </w:r>
          </w:p>
          <w:p>
            <w:pPr>
              <w:pStyle w:val="Normal"/>
              <w:numPr>
                <w:ilvl w:val="1"/>
                <w:numId w:val="2"/>
              </w:numPr>
              <w:spacing w:before="0" w:after="0"/>
              <w:contextualSpacing/>
              <w:rPr>
                <w:rFonts w:ascii="Arial" w:hAnsi="Arial" w:cs="Arial"/>
                <w:sz w:val="22"/>
                <w:szCs w:val="22"/>
              </w:rPr>
            </w:pPr>
            <w:r>
              <w:rPr>
                <w:rFonts w:cs="Arial" w:ascii="Arial" w:hAnsi="Arial"/>
                <w:sz w:val="22"/>
                <w:szCs w:val="22"/>
              </w:rPr>
              <w:t>Quantitation of each individual fatty acid is expressed as a percentage of the total.</w:t>
            </w:r>
          </w:p>
          <w:p>
            <w:pPr>
              <w:pStyle w:val="Normal"/>
              <w:numPr>
                <w:ilvl w:val="1"/>
                <w:numId w:val="2"/>
              </w:numPr>
              <w:spacing w:before="0" w:after="0"/>
              <w:contextualSpacing/>
              <w:rPr>
                <w:rFonts w:ascii="Arial" w:hAnsi="Arial" w:cs="Arial"/>
                <w:sz w:val="22"/>
                <w:szCs w:val="22"/>
              </w:rPr>
            </w:pPr>
            <w:r>
              <w:rPr>
                <w:rFonts w:cs="Arial" w:ascii="Arial" w:hAnsi="Arial"/>
                <w:sz w:val="22"/>
                <w:szCs w:val="22"/>
              </w:rPr>
              <w:t>Average baseline % for total omega -3 fatty acids (DHA +EPA+DPA)</w:t>
            </w:r>
          </w:p>
          <w:p>
            <w:pPr>
              <w:pStyle w:val="Normal"/>
              <w:numPr>
                <w:ilvl w:val="2"/>
                <w:numId w:val="2"/>
              </w:numPr>
              <w:spacing w:before="0" w:after="0"/>
              <w:contextualSpacing/>
              <w:rPr>
                <w:rFonts w:ascii="Arial" w:hAnsi="Arial" w:cs="Arial"/>
                <w:sz w:val="22"/>
                <w:szCs w:val="22"/>
              </w:rPr>
            </w:pPr>
            <w:r>
              <w:rPr>
                <w:rFonts w:cs="Arial" w:ascii="Arial" w:hAnsi="Arial"/>
                <w:sz w:val="22"/>
                <w:szCs w:val="22"/>
              </w:rPr>
              <w:t>Erythrocyte membranes: ~6.2%</w:t>
            </w:r>
          </w:p>
          <w:p>
            <w:pPr>
              <w:pStyle w:val="Normal"/>
              <w:numPr>
                <w:ilvl w:val="2"/>
                <w:numId w:val="2"/>
              </w:numPr>
              <w:spacing w:before="0" w:after="0"/>
              <w:contextualSpacing/>
              <w:rPr>
                <w:rFonts w:ascii="Arial" w:hAnsi="Arial" w:cs="Arial"/>
                <w:sz w:val="22"/>
                <w:szCs w:val="22"/>
              </w:rPr>
            </w:pPr>
            <w:r>
              <w:rPr>
                <w:rFonts w:cs="Arial" w:ascii="Arial" w:hAnsi="Arial"/>
                <w:sz w:val="22"/>
                <w:szCs w:val="22"/>
              </w:rPr>
              <w:t>Plasma: ~5.2%</w:t>
            </w:r>
          </w:p>
          <w:p>
            <w:pPr>
              <w:pStyle w:val="Normal"/>
              <w:numPr>
                <w:ilvl w:val="1"/>
                <w:numId w:val="2"/>
              </w:numPr>
              <w:spacing w:before="0" w:after="0"/>
              <w:contextualSpacing/>
              <w:rPr>
                <w:rFonts w:ascii="Arial" w:hAnsi="Arial" w:cs="Arial"/>
                <w:sz w:val="22"/>
                <w:szCs w:val="22"/>
              </w:rPr>
            </w:pPr>
            <w:r>
              <w:rPr>
                <w:rFonts w:cs="Arial" w:ascii="Arial" w:hAnsi="Arial"/>
                <w:sz w:val="22"/>
                <w:szCs w:val="22"/>
              </w:rPr>
              <w:t>Average baseline % for total omega -6 fatty acids (LA + AA)</w:t>
            </w:r>
          </w:p>
          <w:p>
            <w:pPr>
              <w:pStyle w:val="Normal"/>
              <w:numPr>
                <w:ilvl w:val="2"/>
                <w:numId w:val="2"/>
              </w:numPr>
              <w:spacing w:before="0" w:after="0"/>
              <w:contextualSpacing/>
              <w:rPr>
                <w:rFonts w:ascii="Arial" w:hAnsi="Arial" w:cs="Arial"/>
                <w:sz w:val="22"/>
                <w:szCs w:val="22"/>
              </w:rPr>
            </w:pPr>
            <w:r>
              <w:rPr>
                <w:rFonts w:cs="Arial" w:ascii="Arial" w:hAnsi="Arial"/>
                <w:sz w:val="22"/>
                <w:szCs w:val="22"/>
              </w:rPr>
              <w:t>Erythrocyte membranes: ~29%</w:t>
            </w:r>
          </w:p>
          <w:p>
            <w:pPr>
              <w:pStyle w:val="Normal"/>
              <w:numPr>
                <w:ilvl w:val="2"/>
                <w:numId w:val="2"/>
              </w:numPr>
              <w:spacing w:before="0" w:after="0"/>
              <w:contextualSpacing/>
              <w:rPr>
                <w:rFonts w:ascii="Arial" w:hAnsi="Arial" w:cs="Arial"/>
                <w:sz w:val="22"/>
                <w:szCs w:val="22"/>
              </w:rPr>
            </w:pPr>
            <w:r>
              <w:rPr>
                <w:rFonts w:cs="Arial" w:ascii="Arial" w:hAnsi="Arial"/>
                <w:sz w:val="22"/>
                <w:szCs w:val="22"/>
              </w:rPr>
              <w:t>Plasma: ~36%</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All ages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Cao J, Schwichtenberg KA, Hanson NQ, Tsai MY. Incorporation and clearance of omega-3 fatty acids in erythrocyte membranes and plasma phospholipids. Clin Chem.2006 Dec; 52(12):2265-72.</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Gas and thin-layer chromatography expertise is required to perform the analysis.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A gas chromatography instrument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Bioassay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
              <w:ind w:hanging="4"/>
              <w:rPr/>
            </w:pPr>
            <w:r>
              <w:rPr>
                <w:rFonts w:cs="Arial" w:ascii="Arial" w:hAnsi="Arial"/>
                <w:sz w:val="22"/>
                <w:szCs w:val="22"/>
              </w:rPr>
              <w:t xml:space="preserve">The </w:t>
            </w:r>
            <w:hyperlink r:id="rId2">
              <w:r>
                <w:rPr>
                  <w:rStyle w:val="InternetLink"/>
                  <w:rFonts w:cs="Arial" w:ascii="Arial" w:hAnsi="Arial"/>
                  <w:sz w:val="22"/>
                  <w:szCs w:val="22"/>
                </w:rPr>
                <w:t>Expert Review Panel #1</w:t>
              </w:r>
            </w:hyperlink>
            <w:r>
              <w:rPr>
                <w:rFonts w:cs="Arial" w:ascii="Arial" w:hAnsi="Arial"/>
                <w:sz w:val="22"/>
                <w:szCs w:val="22"/>
              </w:rPr>
              <w:t xml:space="preserve"> reviewed the measures in the Anthropometrics, Diabetes, Physical Activity and Physical Fitness, and Nutrition and Dietary Supplements domains. </w:t>
            </w:r>
          </w:p>
          <w:p>
            <w:pPr>
              <w:pStyle w:val="Normal"/>
              <w:ind w:firstLine="1076"/>
              <w:rPr>
                <w:rFonts w:ascii="Arial" w:hAnsi="Arial" w:cs="Arial"/>
                <w:sz w:val="22"/>
                <w:szCs w:val="22"/>
              </w:rPr>
            </w:pPr>
            <w:r>
              <w:rPr>
                <w:rFonts w:cs="Arial" w:ascii="Arial" w:hAnsi="Arial"/>
                <w:sz w:val="22"/>
                <w:szCs w:val="22"/>
              </w:rPr>
            </w:r>
          </w:p>
          <w:p>
            <w:pPr>
              <w:pStyle w:val="Normal"/>
              <w:ind w:firstLine="266"/>
              <w:rPr>
                <w:rFonts w:ascii="Arial" w:hAnsi="Arial" w:cs="Arial"/>
                <w:sz w:val="22"/>
                <w:szCs w:val="22"/>
              </w:rPr>
            </w:pPr>
            <w:r>
              <w:rPr>
                <w:rFonts w:cs="Arial" w:ascii="Arial" w:hAnsi="Arial"/>
                <w:sz w:val="22"/>
                <w:szCs w:val="22"/>
              </w:rPr>
              <w:t>Guidance from the ERP includes:</w:t>
            </w:r>
          </w:p>
          <w:p>
            <w:pPr>
              <w:pStyle w:val="Normal"/>
              <w:numPr>
                <w:ilvl w:val="0"/>
                <w:numId w:val="1"/>
              </w:numP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 significant changes to measure</w:t>
            </w:r>
          </w:p>
          <w:p>
            <w:pPr>
              <w:pStyle w:val="Normal"/>
              <w:spacing w:before="0" w:after="0"/>
              <w:contextualSpacing/>
              <w:rPr>
                <w:rFonts w:ascii="Arial" w:hAnsi="Arial" w:cs="Arial"/>
                <w:sz w:val="22"/>
                <w:szCs w:val="22"/>
              </w:rPr>
            </w:pPr>
            <w:r>
              <w:rPr>
                <w:rFonts w:cs="Arial" w:ascii="Arial" w:hAnsi="Arial"/>
                <w:sz w:val="22"/>
                <w:szCs w:val="22"/>
              </w:rPr>
            </w:r>
          </w:p>
        </w:tc>
      </w:tr>
    </w:tbl>
    <w:p>
      <w:pPr>
        <w:pStyle w:val="Normal"/>
        <w:spacing w:before="0" w:after="0"/>
        <w:contextualSpacing/>
        <w:rPr/>
      </w:pPr>
      <w:r>
        <w:rPr/>
      </w:r>
    </w:p>
    <w:sectPr>
      <w:headerReference w:type="default" r:id="rId3"/>
      <w:footerReference w:type="default" r:id="rId4"/>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bCs/>
        <w:sz w:val="20"/>
        <w:szCs w:val="20"/>
      </w:rPr>
      <w:t>Plasma Fatty Acid</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Nutrition and Dietary Supplements </w:t>
    </w:r>
  </w:p>
  <w:p>
    <w:pPr>
      <w:pStyle w:val="Normal"/>
      <w:rPr>
        <w:rFonts w:ascii="Arial" w:hAnsi="Arial" w:cs="Arial"/>
        <w:b/>
        <w:b/>
        <w:sz w:val="20"/>
        <w:szCs w:val="20"/>
      </w:rPr>
    </w:pPr>
    <w:r>
      <w:rPr>
        <w:rFonts w:cs="Arial" w:ascii="Arial" w:hAnsi="Arial"/>
        <w:b/>
        <w:sz w:val="20"/>
        <w:szCs w:val="20"/>
      </w:rPr>
      <w:t>Release Date: 10/1/2015</w:t>
    </w:r>
  </w:p>
  <w:p>
    <w:pPr>
      <w:pStyle w:val="Normal"/>
      <w:rPr/>
    </w:pPr>
    <w:r>
      <w:rPr>
        <w:rFonts w:cs="Arial" w:ascii="Arial" w:hAnsi="Arial"/>
        <w:b/>
        <w:bCs/>
        <w:sz w:val="20"/>
        <w:szCs w:val="20"/>
      </w:rPr>
      <w:t>Plasma Fatty Acid</w:t>
    </w:r>
    <w:r>
      <w:rPr>
        <w:rFonts w:cs="Arial" w:ascii="Arial" w:hAnsi="Arial"/>
        <w:b/>
        <w:sz w:val="20"/>
        <w:szCs w:val="20"/>
      </w:rPr>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86" w:hanging="360"/>
      </w:pPr>
      <w:rPr>
        <w:rFonts w:ascii="Symbol" w:hAnsi="Symbol" w:cs="Symbol" w:hint="default"/>
      </w:rPr>
    </w:lvl>
  </w:abstractNum>
  <w:abstractNum w:abstractNumId="2">
    <w:lvl w:ilvl="0">
      <w:start w:val="1"/>
      <w:numFmt w:val="decimal"/>
      <w:lvlText w:val="%1."/>
      <w:lvlJc w:val="left"/>
      <w:pPr>
        <w:tabs>
          <w:tab w:val="num" w:pos="0"/>
        </w:tabs>
        <w:ind w:left="360" w:hanging="360"/>
      </w:pPr>
      <w:rPr>
        <w:b/>
        <w:bCs/>
      </w:rPr>
    </w:lvl>
    <w:lvl w:ilvl="1">
      <w:start w:val="1"/>
      <w:numFmt w:val="lowerLetter"/>
      <w:lvlText w:val="%2."/>
      <w:lvlJc w:val="left"/>
      <w:pPr>
        <w:tabs>
          <w:tab w:val="num" w:pos="720"/>
        </w:tabs>
        <w:ind w:left="1080" w:hanging="360"/>
      </w:pPr>
      <w:rPr/>
    </w:lvl>
    <w:lvl w:ilvl="2">
      <w:start w:val="1"/>
      <w:numFmt w:val="lowerRoman"/>
      <w:lvlText w:val="%3."/>
      <w:lvlJc w:val="right"/>
      <w:pPr>
        <w:tabs>
          <w:tab w:val="num" w:pos="1800"/>
        </w:tabs>
        <w:ind w:left="1800" w:hanging="360"/>
      </w:pPr>
      <w:rPr/>
    </w:lvl>
    <w:lvl w:ilvl="3">
      <w:start w:val="1"/>
      <w:numFmt w:val="decimal"/>
      <w:lvlText w:val="%4."/>
      <w:lvlJc w:val="left"/>
      <w:pPr>
        <w:tabs>
          <w:tab w:val="num" w:pos="2160"/>
        </w:tabs>
        <w:ind w:left="2520" w:hanging="360"/>
      </w:pPr>
      <w:rPr/>
    </w:lvl>
    <w:lvl w:ilvl="4">
      <w:start w:val="1"/>
      <w:numFmt w:val="lowerLetter"/>
      <w:lvlText w:val="%5."/>
      <w:lvlJc w:val="left"/>
      <w:pPr>
        <w:tabs>
          <w:tab w:val="num" w:pos="2880"/>
        </w:tabs>
        <w:ind w:left="3240" w:hanging="360"/>
      </w:pPr>
      <w:rPr/>
    </w:lvl>
    <w:lvl w:ilvl="5">
      <w:start w:val="1"/>
      <w:numFmt w:val="lowerRoman"/>
      <w:lvlText w:val="%6."/>
      <w:lvlJc w:val="right"/>
      <w:pPr>
        <w:tabs>
          <w:tab w:val="num" w:pos="3600"/>
        </w:tabs>
        <w:ind w:left="3960" w:hanging="360"/>
      </w:pPr>
      <w:rPr/>
    </w:lvl>
    <w:lvl w:ilvl="6">
      <w:start w:val="1"/>
      <w:numFmt w:val="decimal"/>
      <w:lvlText w:val="%7."/>
      <w:lvlJc w:val="left"/>
      <w:pPr>
        <w:tabs>
          <w:tab w:val="num" w:pos="4320"/>
        </w:tabs>
        <w:ind w:left="4680" w:hanging="360"/>
      </w:pPr>
      <w:rPr/>
    </w:lvl>
    <w:lvl w:ilvl="7">
      <w:start w:val="1"/>
      <w:numFmt w:val="lowerLetter"/>
      <w:lvlText w:val="%8."/>
      <w:lvlJc w:val="left"/>
      <w:pPr>
        <w:tabs>
          <w:tab w:val="num" w:pos="5040"/>
        </w:tabs>
        <w:ind w:left="5400" w:hanging="360"/>
      </w:pPr>
      <w:rPr/>
    </w:lvl>
    <w:lvl w:ilvl="8">
      <w:start w:val="1"/>
      <w:numFmt w:val="lowerRoman"/>
      <w:lvlText w:val="%9."/>
      <w:lvlJc w:val="right"/>
      <w:pPr>
        <w:tabs>
          <w:tab w:val="num" w:pos="5760"/>
        </w:tabs>
        <w:ind w:left="612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6z0">
    <w:name w:val="WW8Num6z0"/>
    <w:qFormat/>
    <w:rPr>
      <w:b/>
      <w:bCs/>
    </w:rPr>
  </w:style>
  <w:style w:type="character" w:styleId="WW8Num6z1">
    <w:name w:val="WW8Num6z1"/>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henx.org/Default.aspx?tabid=872"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2015-08-25T19:37:00Z</dcterms:created>
  <dc:creator>whuggins</dc:creator>
  <dc:description/>
  <cp:keywords/>
  <dc:language>en-US</dc:language>
  <cp:lastModifiedBy>Phillips, Michael J.</cp:lastModifiedBy>
  <cp:lastPrinted>2009-03-24T15:13:00Z</cp:lastPrinted>
  <dcterms:modified xsi:type="dcterms:W3CDTF">2015-09-29T18:22:00Z</dcterms:modified>
  <cp:revision>5</cp:revision>
  <dc:subject/>
  <dc:title/>
</cp:coreProperties>
</file>