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Pregnancy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Placental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Histopathologic examination of gross and microscopic placental features.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Explicit instructions on specimen collection and sampling of placental tissues and guidance on definitions, diagnostic criteria, and classification of placental lesions to assist in international comparability of research studies and continued evolution of knowledge regarding the significance of placental lesions associated with adverse pregnancy and later health outcomes</w:t>
            </w:r>
          </w:p>
        </w:tc>
      </w:tr>
      <w:tr>
        <w:trPr>
          <w:trHeight w:val="4258"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lineRule="atLeast" w:line="200" w:before="0" w:after="240"/>
              <w:rPr>
                <w:rFonts w:ascii="Arial" w:hAnsi="Arial" w:cs="Arial"/>
                <w:b/>
                <w:b/>
                <w:sz w:val="22"/>
                <w:szCs w:val="22"/>
              </w:rPr>
            </w:pPr>
            <w:r>
              <w:rPr>
                <w:rFonts w:cs="Arial" w:ascii="Arial" w:hAnsi="Arial"/>
                <w:b/>
                <w:sz w:val="22"/>
                <w:szCs w:val="22"/>
              </w:rPr>
              <w:t>Preparation of Placental Tissue</w:t>
            </w:r>
          </w:p>
          <w:p>
            <w:pPr>
              <w:pStyle w:val="Normal"/>
              <w:rPr>
                <w:rFonts w:ascii="Arial" w:hAnsi="Arial" w:cs="Arial"/>
                <w:bCs/>
                <w:sz w:val="22"/>
                <w:szCs w:val="22"/>
              </w:rPr>
            </w:pPr>
            <w:r>
              <w:rPr>
                <w:rFonts w:cs="Arial" w:ascii="Arial" w:hAnsi="Arial"/>
                <w:bCs/>
                <w:sz w:val="22"/>
                <w:szCs w:val="22"/>
              </w:rPr>
              <w:t>The following description is taken from Langston et al. 1997. “Placentas awaiting examination should initially be stored in individual, labeled containers and refrigerated in the fresh state at 4</w:t>
            </w:r>
            <w:r>
              <w:rPr>
                <w:rFonts w:cs="Arial" w:ascii="Arial" w:hAnsi="Arial"/>
                <w:bCs/>
                <w:sz w:val="22"/>
                <w:szCs w:val="22"/>
                <w:vertAlign w:val="superscript"/>
              </w:rPr>
              <w:t>o</w:t>
            </w:r>
            <w:r>
              <w:rPr>
                <w:rFonts w:cs="Arial" w:ascii="Arial" w:hAnsi="Arial"/>
                <w:bCs/>
                <w:sz w:val="22"/>
                <w:szCs w:val="22"/>
              </w:rPr>
              <w:t>C.</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Any studies requiring fresh tissue should be completed prior to fixation. These include: bacterial cultures, viral cultures, cytogenetic studies, metabolic studies, electron microscopy, and DNA studies.</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If studies requiring fresh tissue are not required, or once samples for such studies have been obtained, the placenta should be fixed according to the institutional protocol for handling of surgical tissue. Fixative volume should be sufficient to completely surround and immerse the placenta, which should be stored in a container that is large and flat, such that the placenta’s shape is preserved. </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Gross examination can be completed in either the fresh or fixed state.</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The fresh placenta may be sectioned for histologic examination using a sharp blade. Alternatively, the placenta may be fixed after initial examination prior to sections being taken.</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When sampling the placenta for histological evaluation: </w:t>
            </w:r>
          </w:p>
          <w:p>
            <w:pPr>
              <w:pStyle w:val="Normal"/>
              <w:rPr>
                <w:rFonts w:ascii="Arial" w:hAnsi="Arial" w:cs="Arial"/>
                <w:bCs/>
                <w:sz w:val="22"/>
                <w:szCs w:val="22"/>
              </w:rPr>
            </w:pPr>
            <w:r>
              <w:rPr>
                <w:rFonts w:cs="Arial" w:ascii="Arial" w:hAnsi="Arial"/>
                <w:bCs/>
                <w:sz w:val="22"/>
                <w:szCs w:val="22"/>
              </w:rPr>
              <w:t>a) membrane roll and two sections of umbilical cord can be placed together</w:t>
            </w:r>
          </w:p>
          <w:p>
            <w:pPr>
              <w:pStyle w:val="Normal"/>
              <w:rPr>
                <w:rFonts w:ascii="Arial" w:hAnsi="Arial" w:cs="Arial"/>
                <w:bCs/>
                <w:sz w:val="22"/>
                <w:szCs w:val="22"/>
              </w:rPr>
            </w:pPr>
            <w:r>
              <w:rPr>
                <w:rFonts w:cs="Arial" w:ascii="Arial" w:hAnsi="Arial"/>
                <w:bCs/>
                <w:sz w:val="22"/>
                <w:szCs w:val="22"/>
              </w:rPr>
              <w:t>b) sections of the villous parenchyma should be taken to include the full thickness of the placenta, from the fetal to the maternal surface, including both amnion and decidua; from the central region rather than the margin</w:t>
            </w:r>
          </w:p>
          <w:p>
            <w:pPr>
              <w:pStyle w:val="Normal"/>
              <w:rPr>
                <w:rFonts w:ascii="Arial" w:hAnsi="Arial" w:cs="Arial"/>
                <w:bCs/>
                <w:sz w:val="22"/>
                <w:szCs w:val="22"/>
              </w:rPr>
            </w:pPr>
            <w:r>
              <w:rPr>
                <w:rFonts w:cs="Arial" w:ascii="Arial" w:hAnsi="Arial"/>
                <w:bCs/>
                <w:sz w:val="22"/>
                <w:szCs w:val="22"/>
              </w:rPr>
              <w:t>- if no focal lesions present – minimum 2 sections from different locations</w:t>
            </w:r>
          </w:p>
          <w:p>
            <w:pPr>
              <w:pStyle w:val="Normal"/>
              <w:rPr>
                <w:rFonts w:ascii="Arial" w:hAnsi="Arial" w:cs="Arial"/>
                <w:bCs/>
                <w:sz w:val="22"/>
                <w:szCs w:val="22"/>
              </w:rPr>
            </w:pPr>
            <w:r>
              <w:rPr>
                <w:rFonts w:cs="Arial" w:ascii="Arial" w:hAnsi="Arial"/>
                <w:bCs/>
                <w:sz w:val="22"/>
                <w:szCs w:val="22"/>
              </w:rPr>
              <w:t>- if focal lesions present – sections of these with margin of uninvolved placenta should be taken in addition to the 2 sections above</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Hematoxylin-eosin staining is routine. Special stains may include ones for organisms (bacteria, fungi, spirochetes), iron, and immunohistochemical stains.</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Investigators may find it helpful to adapt the worksheets included in Langston et al. in order to document the findings.”</w:t>
            </w:r>
          </w:p>
          <w:p>
            <w:pPr>
              <w:pStyle w:val="Normal"/>
              <w:widowControl w:val="false"/>
              <w:autoSpaceDE w:val="false"/>
              <w:spacing w:lineRule="atLeast" w:line="200" w:before="0" w:after="240"/>
              <w:rPr>
                <w:rFonts w:ascii="Arial" w:hAnsi="Arial" w:cs="Arial"/>
                <w:bCs/>
                <w:sz w:val="22"/>
                <w:szCs w:val="22"/>
              </w:rPr>
            </w:pPr>
            <w:r>
              <w:rPr>
                <w:rFonts w:cs="Arial" w:ascii="Arial" w:hAnsi="Arial"/>
                <w:bCs/>
                <w:sz w:val="22"/>
                <w:szCs w:val="22"/>
              </w:rPr>
            </w:r>
          </w:p>
          <w:p>
            <w:pPr>
              <w:pStyle w:val="Normal"/>
              <w:widowControl w:val="false"/>
              <w:autoSpaceDE w:val="false"/>
              <w:spacing w:lineRule="atLeast" w:line="200" w:before="0" w:after="240"/>
              <w:rPr>
                <w:rFonts w:ascii="Arial" w:hAnsi="Arial" w:cs="Arial"/>
                <w:sz w:val="22"/>
                <w:szCs w:val="22"/>
              </w:rPr>
            </w:pPr>
            <w:r>
              <w:rPr>
                <w:rFonts w:cs="Arial" w:ascii="Arial" w:hAnsi="Arial"/>
                <w:sz w:val="22"/>
                <w:szCs w:val="22"/>
              </w:rPr>
              <w:t>The following description was taken from Khong et al. 2016.</w:t>
            </w:r>
          </w:p>
          <w:p>
            <w:pPr>
              <w:pStyle w:val="ListParagraph"/>
              <w:widowControl w:val="false"/>
              <w:numPr>
                <w:ilvl w:val="0"/>
                <w:numId w:val="3"/>
              </w:numPr>
              <w:autoSpaceDE w:val="false"/>
              <w:spacing w:lineRule="atLeast" w:line="200" w:before="0" w:after="240"/>
              <w:contextualSpacing/>
              <w:rPr>
                <w:rFonts w:ascii="Arial" w:hAnsi="Arial" w:cs="Arial"/>
                <w:b/>
                <w:b/>
                <w:sz w:val="22"/>
                <w:szCs w:val="22"/>
              </w:rPr>
            </w:pPr>
            <w:r>
              <w:rPr>
                <w:rFonts w:cs="Arial" w:ascii="Arial" w:hAnsi="Arial"/>
                <w:b/>
                <w:sz w:val="22"/>
                <w:szCs w:val="22"/>
              </w:rPr>
              <w:t>PLACENTAL DESCRIPTION</w:t>
            </w:r>
          </w:p>
          <w:p>
            <w:pPr>
              <w:pStyle w:val="ListParagraph"/>
              <w:widowControl w:val="false"/>
              <w:numPr>
                <w:ilvl w:val="1"/>
                <w:numId w:val="1"/>
              </w:numPr>
              <w:autoSpaceDE w:val="false"/>
              <w:spacing w:lineRule="atLeast" w:line="200" w:before="0" w:after="240"/>
              <w:contextualSpacing/>
              <w:rPr/>
            </w:pPr>
            <w:r>
              <w:rPr>
                <w:rFonts w:cs="Arial" w:ascii="Arial" w:hAnsi="Arial"/>
                <w:sz w:val="22"/>
                <w:szCs w:val="22"/>
              </w:rPr>
              <w:t>Placental Weight (surrogate for placental function; fetoplacental weight ratio possible indicator of adequacy of placental reserve capacity in fetal growth restriction [FGR])</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Placental Disc Dimensions (length and width) – association of shape &amp; size of placenta with FGR, reduced fetal movements, and long-term health</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 xml:space="preserve">Description of Umbilical Cord (thin cords associated with FGR, thick cords with maternal Diabetes Mellitus and fetal hydrops; marginal and velamentous cord insertion associated with adverse pregnancy outcomes. including preterm delivery; hypocoiling and hypercoiling associated with adverse pregnancy outcomes </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 xml:space="preserve">Description of Membranes </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 xml:space="preserve">Description of Lesions </w:t>
            </w:r>
          </w:p>
          <w:p>
            <w:pPr>
              <w:pStyle w:val="ListParagraph"/>
              <w:widowControl w:val="false"/>
              <w:numPr>
                <w:ilvl w:val="0"/>
                <w:numId w:val="1"/>
              </w:numPr>
              <w:autoSpaceDE w:val="false"/>
              <w:spacing w:lineRule="atLeast" w:line="200"/>
              <w:rPr>
                <w:rFonts w:ascii="Arial" w:hAnsi="Arial" w:cs="Arial"/>
                <w:sz w:val="22"/>
                <w:szCs w:val="22"/>
              </w:rPr>
            </w:pPr>
            <w:r>
              <w:rPr>
                <w:rFonts w:cs="Arial" w:ascii="Arial" w:hAnsi="Arial"/>
                <w:b/>
                <w:sz w:val="22"/>
                <w:szCs w:val="22"/>
              </w:rPr>
              <w:t>MATERNAL VASCULAR MALPERFUSOIN OF PLACENTAL BED</w:t>
            </w:r>
            <w:r>
              <w:rPr>
                <w:rFonts w:cs="Arial" w:ascii="Arial" w:hAnsi="Arial"/>
                <w:sz w:val="22"/>
                <w:szCs w:val="22"/>
              </w:rPr>
              <w:t xml:space="preserve"> (instead of maternal vascular underperfusion)</w:t>
            </w:r>
          </w:p>
          <w:p>
            <w:pPr>
              <w:pStyle w:val="Normal"/>
              <w:widowControl w:val="false"/>
              <w:autoSpaceDE w:val="false"/>
              <w:ind w:left="425" w:hanging="0"/>
              <w:rPr>
                <w:rFonts w:ascii="Arial" w:hAnsi="Arial" w:cs="Arial"/>
                <w:sz w:val="22"/>
                <w:szCs w:val="22"/>
              </w:rPr>
            </w:pPr>
            <w:r>
              <w:rPr>
                <w:rFonts w:cs="Arial" w:ascii="Arial" w:hAnsi="Arial"/>
                <w:sz w:val="22"/>
                <w:szCs w:val="22"/>
              </w:rPr>
              <w:t>- owing to inadequate spiral artery remodeling or spiral artery pathology and manifesting on a spectrum including fetal growth restriction and pre-eclampsia</w:t>
            </w:r>
          </w:p>
          <w:p>
            <w:pPr>
              <w:pStyle w:val="Normal"/>
              <w:widowControl w:val="false"/>
              <w:autoSpaceDE w:val="false"/>
              <w:ind w:left="425" w:hanging="0"/>
              <w:rPr>
                <w:rFonts w:ascii="Arial" w:hAnsi="Arial" w:cs="Arial"/>
                <w:sz w:val="22"/>
                <w:szCs w:val="22"/>
              </w:rPr>
            </w:pPr>
            <w:r>
              <w:rPr>
                <w:rFonts w:cs="Arial" w:ascii="Arial" w:hAnsi="Arial"/>
                <w:sz w:val="22"/>
                <w:szCs w:val="22"/>
              </w:rPr>
              <w:t>- owing to high-velocity malperfusion</w:t>
            </w:r>
          </w:p>
          <w:p>
            <w:pPr>
              <w:pStyle w:val="Normal"/>
              <w:widowControl w:val="false"/>
              <w:autoSpaceDE w:val="false"/>
              <w:ind w:left="425" w:hanging="0"/>
              <w:rPr>
                <w:rFonts w:ascii="Arial" w:hAnsi="Arial" w:cs="Arial"/>
                <w:sz w:val="22"/>
                <w:szCs w:val="22"/>
              </w:rPr>
            </w:pPr>
            <w:r>
              <w:rPr>
                <w:rFonts w:cs="Arial" w:ascii="Arial" w:hAnsi="Arial"/>
                <w:sz w:val="22"/>
                <w:szCs w:val="22"/>
              </w:rPr>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Gross Findings</w:t>
            </w:r>
          </w:p>
          <w:p>
            <w:pPr>
              <w:pStyle w:val="ListParagraph"/>
              <w:widowControl w:val="false"/>
              <w:numPr>
                <w:ilvl w:val="2"/>
                <w:numId w:val="1"/>
              </w:numPr>
              <w:autoSpaceDE w:val="false"/>
              <w:spacing w:lineRule="atLeast" w:line="200" w:before="0" w:after="240"/>
              <w:contextualSpacing/>
              <w:rPr>
                <w:rFonts w:ascii="Arial" w:hAnsi="Arial" w:cs="Arial"/>
                <w:sz w:val="22"/>
                <w:szCs w:val="22"/>
              </w:rPr>
            </w:pPr>
            <w:r>
              <w:rPr>
                <w:rFonts w:cs="Arial" w:ascii="Arial" w:hAnsi="Arial"/>
                <w:sz w:val="22"/>
                <w:szCs w:val="22"/>
              </w:rPr>
              <w:t>placental hypoplasia</w:t>
            </w:r>
          </w:p>
          <w:p>
            <w:pPr>
              <w:pStyle w:val="ListParagraph"/>
              <w:widowControl w:val="false"/>
              <w:numPr>
                <w:ilvl w:val="2"/>
                <w:numId w:val="1"/>
              </w:numPr>
              <w:autoSpaceDE w:val="false"/>
              <w:spacing w:lineRule="atLeast" w:line="200" w:before="0" w:after="240"/>
              <w:contextualSpacing/>
              <w:rPr>
                <w:rFonts w:ascii="Arial" w:hAnsi="Arial" w:cs="Arial"/>
                <w:sz w:val="22"/>
                <w:szCs w:val="22"/>
              </w:rPr>
            </w:pPr>
            <w:r>
              <w:rPr>
                <w:rFonts w:cs="Arial" w:ascii="Arial" w:hAnsi="Arial"/>
                <w:sz w:val="22"/>
                <w:szCs w:val="22"/>
              </w:rPr>
              <w:t>infarction</w:t>
            </w:r>
          </w:p>
          <w:p>
            <w:pPr>
              <w:pStyle w:val="ListParagraph"/>
              <w:widowControl w:val="false"/>
              <w:autoSpaceDE w:val="false"/>
              <w:spacing w:lineRule="atLeast" w:line="200" w:before="0" w:after="240"/>
              <w:contextualSpacing/>
              <w:rPr>
                <w:rFonts w:ascii="Arial" w:hAnsi="Arial" w:cs="Arial"/>
                <w:sz w:val="22"/>
                <w:szCs w:val="22"/>
              </w:rPr>
            </w:pPr>
            <w:r>
              <w:rPr>
                <w:rFonts w:cs="Arial" w:ascii="Arial" w:hAnsi="Arial"/>
                <w:sz w:val="22"/>
                <w:szCs w:val="22"/>
              </w:rPr>
              <w:t>iii) retroplacental hemorrhage</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Microscopic Findings</w:t>
            </w:r>
          </w:p>
          <w:p>
            <w:pPr>
              <w:pStyle w:val="ListParagraph"/>
              <w:widowControl w:val="false"/>
              <w:numPr>
                <w:ilvl w:val="2"/>
                <w:numId w:val="1"/>
              </w:numPr>
              <w:autoSpaceDE w:val="false"/>
              <w:spacing w:lineRule="atLeast" w:line="200" w:before="0" w:after="240"/>
              <w:contextualSpacing/>
              <w:rPr>
                <w:rFonts w:ascii="Arial" w:hAnsi="Arial" w:cs="Arial"/>
                <w:sz w:val="22"/>
                <w:szCs w:val="22"/>
              </w:rPr>
            </w:pPr>
            <w:r>
              <w:rPr>
                <w:rFonts w:cs="Arial" w:ascii="Arial" w:hAnsi="Arial"/>
                <w:sz w:val="22"/>
                <w:szCs w:val="22"/>
              </w:rPr>
              <w:t>distal villous hypoplasia</w:t>
            </w:r>
          </w:p>
          <w:p>
            <w:pPr>
              <w:pStyle w:val="ListParagraph"/>
              <w:widowControl w:val="false"/>
              <w:numPr>
                <w:ilvl w:val="2"/>
                <w:numId w:val="1"/>
              </w:numPr>
              <w:autoSpaceDE w:val="false"/>
              <w:spacing w:lineRule="atLeast" w:line="200" w:before="0" w:after="240"/>
              <w:contextualSpacing/>
              <w:rPr>
                <w:rFonts w:ascii="Arial" w:hAnsi="Arial" w:cs="Arial"/>
                <w:sz w:val="22"/>
                <w:szCs w:val="22"/>
              </w:rPr>
            </w:pPr>
            <w:r>
              <w:rPr>
                <w:rFonts w:cs="Arial" w:ascii="Arial" w:hAnsi="Arial"/>
                <w:sz w:val="22"/>
                <w:szCs w:val="22"/>
              </w:rPr>
              <w:t>accelerated villous maturation</w:t>
            </w:r>
          </w:p>
          <w:p>
            <w:pPr>
              <w:pStyle w:val="ListParagraph"/>
              <w:widowControl w:val="false"/>
              <w:numPr>
                <w:ilvl w:val="2"/>
                <w:numId w:val="1"/>
              </w:numPr>
              <w:autoSpaceDE w:val="false"/>
              <w:spacing w:lineRule="atLeast" w:line="200" w:before="0" w:after="240"/>
              <w:contextualSpacing/>
              <w:rPr>
                <w:rFonts w:ascii="Arial" w:hAnsi="Arial" w:cs="Arial"/>
                <w:sz w:val="22"/>
                <w:szCs w:val="22"/>
              </w:rPr>
            </w:pPr>
            <w:r>
              <w:rPr>
                <w:rFonts w:cs="Arial" w:ascii="Arial" w:hAnsi="Arial"/>
                <w:sz w:val="22"/>
                <w:szCs w:val="22"/>
              </w:rPr>
              <w:t>decidual arteriopathy (fibrinoid necrosis with/without foam cells, mural hypertrophy, chronic perivasculitis, absence of spiral artery remodeling, arterial thrombosis, persistence of intramural endovascular trophoblast in the third trimester)</w:t>
            </w:r>
          </w:p>
          <w:p>
            <w:pPr>
              <w:pStyle w:val="ListParagraph"/>
              <w:widowControl w:val="false"/>
              <w:numPr>
                <w:ilvl w:val="0"/>
                <w:numId w:val="1"/>
              </w:numPr>
              <w:autoSpaceDE w:val="false"/>
              <w:spacing w:lineRule="atLeast" w:line="200"/>
              <w:rPr/>
            </w:pPr>
            <w:r>
              <w:rPr>
                <w:rFonts w:cs="Arial" w:ascii="Arial" w:hAnsi="Arial"/>
                <w:b/>
                <w:sz w:val="22"/>
                <w:szCs w:val="22"/>
              </w:rPr>
              <w:t>FETAL VASCULAR MALPERFUSION</w:t>
            </w:r>
            <w:r>
              <w:rPr>
                <w:rFonts w:cs="Arial" w:ascii="Arial" w:hAnsi="Arial"/>
                <w:sz w:val="22"/>
                <w:szCs w:val="22"/>
              </w:rPr>
              <w:t xml:space="preserve"> (instead of fetal thrombotic vasculopathy)</w:t>
            </w:r>
          </w:p>
          <w:p>
            <w:pPr>
              <w:pStyle w:val="Normal"/>
              <w:widowControl w:val="false"/>
              <w:autoSpaceDE w:val="false"/>
              <w:spacing w:lineRule="atLeast" w:line="200"/>
              <w:rPr>
                <w:rFonts w:ascii="Arial" w:hAnsi="Arial" w:cs="Arial"/>
                <w:sz w:val="22"/>
                <w:szCs w:val="22"/>
              </w:rPr>
            </w:pPr>
            <w:r>
              <w:rPr>
                <w:rFonts w:cs="Arial" w:ascii="Arial" w:hAnsi="Arial"/>
                <w:sz w:val="22"/>
                <w:szCs w:val="22"/>
              </w:rPr>
              <w:t>- lesions likely due to obstruction in fetal blood flow that could result from a number of conditions (i.e. umbilical cord lesions, hypercoagulability, complications of fetal cardiac dysfunction such as hypoxia, etc.)</w:t>
            </w:r>
          </w:p>
          <w:p>
            <w:pPr>
              <w:pStyle w:val="Normal"/>
              <w:widowControl w:val="false"/>
              <w:autoSpaceDE w:val="false"/>
              <w:spacing w:lineRule="atLeast" w:line="200"/>
              <w:rPr>
                <w:rFonts w:ascii="Arial" w:hAnsi="Arial" w:cs="Arial"/>
                <w:sz w:val="22"/>
                <w:szCs w:val="22"/>
              </w:rPr>
            </w:pPr>
            <w:r>
              <w:rPr>
                <w:rFonts w:cs="Arial" w:ascii="Arial" w:hAnsi="Arial"/>
                <w:sz w:val="22"/>
                <w:szCs w:val="22"/>
              </w:rPr>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Thrombosis</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Segmental Avascular Villi</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Villous Stromal Vascular Karyorrhexis</w:t>
            </w:r>
          </w:p>
          <w:p>
            <w:pPr>
              <w:pStyle w:val="ListParagraph"/>
              <w:widowControl w:val="false"/>
              <w:numPr>
                <w:ilvl w:val="1"/>
                <w:numId w:val="1"/>
              </w:numPr>
              <w:autoSpaceDE w:val="false"/>
              <w:spacing w:lineRule="atLeast" w:line="200" w:before="0" w:after="240"/>
              <w:contextualSpacing/>
              <w:rPr>
                <w:rFonts w:ascii="Arial" w:hAnsi="Arial" w:cs="Arial"/>
                <w:sz w:val="22"/>
                <w:szCs w:val="22"/>
              </w:rPr>
            </w:pPr>
            <w:r>
              <w:rPr>
                <w:rFonts w:cs="Arial" w:ascii="Arial" w:hAnsi="Arial"/>
                <w:sz w:val="22"/>
                <w:szCs w:val="22"/>
              </w:rPr>
              <w:t>Other: vascular intramural fibrin deposition, stem vessel obliteration/fibromuscular sclerosis, vascular ectasia</w:t>
            </w:r>
          </w:p>
          <w:p>
            <w:pPr>
              <w:pStyle w:val="ListParagraph"/>
              <w:widowControl w:val="false"/>
              <w:numPr>
                <w:ilvl w:val="0"/>
                <w:numId w:val="1"/>
              </w:numPr>
              <w:autoSpaceDE w:val="false"/>
              <w:spacing w:lineRule="atLeast" w:line="200"/>
              <w:rPr>
                <w:rFonts w:ascii="Arial" w:hAnsi="Arial" w:cs="Arial"/>
                <w:sz w:val="22"/>
                <w:szCs w:val="22"/>
              </w:rPr>
            </w:pPr>
            <w:r>
              <w:rPr>
                <w:rFonts w:cs="Arial" w:ascii="Arial" w:hAnsi="Arial"/>
                <w:b/>
                <w:sz w:val="22"/>
                <w:szCs w:val="22"/>
              </w:rPr>
              <w:t>DELAYED VILLOUS MATURATION</w:t>
            </w:r>
            <w:r>
              <w:rPr>
                <w:rFonts w:cs="Arial" w:ascii="Arial" w:hAnsi="Arial"/>
                <w:sz w:val="22"/>
                <w:szCs w:val="22"/>
              </w:rPr>
              <w:t xml:space="preserve"> (instead of villous maturation defect, variable villous maturation, or dysmaturity)</w:t>
            </w:r>
          </w:p>
          <w:p>
            <w:pPr>
              <w:pStyle w:val="Normal"/>
              <w:widowControl w:val="false"/>
              <w:autoSpaceDE w:val="false"/>
              <w:spacing w:lineRule="atLeast" w:line="200"/>
              <w:ind w:left="426" w:hanging="0"/>
              <w:rPr>
                <w:rFonts w:ascii="Arial" w:hAnsi="Arial" w:cs="Arial"/>
                <w:sz w:val="22"/>
                <w:szCs w:val="22"/>
              </w:rPr>
            </w:pPr>
            <w:r>
              <w:rPr>
                <w:rFonts w:cs="Arial" w:ascii="Arial" w:hAnsi="Arial"/>
                <w:sz w:val="22"/>
                <w:szCs w:val="22"/>
              </w:rPr>
              <w:t>- usually seen after 36 wks and rarely before 34 wks; characterized by monotonous villous population with reduced numbers of vasculosyncytial membranes for the period for gestation, as well as continuous cytotrophoblast layer and centrally placed capillaries</w:t>
            </w:r>
          </w:p>
          <w:p>
            <w:pPr>
              <w:pStyle w:val="Normal"/>
              <w:widowControl w:val="false"/>
              <w:autoSpaceDE w:val="false"/>
              <w:spacing w:lineRule="atLeast" w:line="200"/>
              <w:ind w:left="426" w:hanging="0"/>
              <w:rPr>
                <w:rFonts w:ascii="Arial" w:hAnsi="Arial" w:cs="Arial"/>
                <w:sz w:val="22"/>
                <w:szCs w:val="22"/>
              </w:rPr>
            </w:pPr>
            <w:r>
              <w:rPr>
                <w:rFonts w:cs="Arial" w:ascii="Arial" w:hAnsi="Arial"/>
                <w:sz w:val="22"/>
                <w:szCs w:val="22"/>
              </w:rPr>
              <w:t>- focal vs. diffuse; thresholds for significance of this lesion are unclear at present</w:t>
            </w:r>
          </w:p>
          <w:p>
            <w:pPr>
              <w:pStyle w:val="Normal"/>
              <w:widowControl w:val="false"/>
              <w:autoSpaceDE w:val="false"/>
              <w:spacing w:lineRule="atLeast" w:line="200"/>
              <w:rPr>
                <w:rFonts w:ascii="Arial" w:hAnsi="Arial" w:cs="Arial"/>
                <w:sz w:val="22"/>
                <w:szCs w:val="22"/>
              </w:rPr>
            </w:pPr>
            <w:r>
              <w:rPr>
                <w:rFonts w:cs="Arial" w:ascii="Arial" w:hAnsi="Arial"/>
                <w:sz w:val="22"/>
                <w:szCs w:val="22"/>
              </w:rPr>
            </w:r>
          </w:p>
          <w:p>
            <w:pPr>
              <w:pStyle w:val="ListParagraph"/>
              <w:widowControl w:val="false"/>
              <w:numPr>
                <w:ilvl w:val="0"/>
                <w:numId w:val="1"/>
              </w:numPr>
              <w:autoSpaceDE w:val="false"/>
              <w:spacing w:lineRule="atLeast" w:line="200"/>
              <w:rPr>
                <w:rFonts w:ascii="Arial" w:hAnsi="Arial" w:cs="Arial"/>
                <w:b/>
                <w:b/>
                <w:sz w:val="22"/>
                <w:szCs w:val="22"/>
              </w:rPr>
            </w:pPr>
            <w:r>
              <w:rPr>
                <w:rFonts w:cs="Arial" w:ascii="Arial" w:hAnsi="Arial"/>
                <w:b/>
                <w:sz w:val="22"/>
                <w:szCs w:val="22"/>
              </w:rPr>
              <w:t>ASCENDING UTERINE INFECTION</w:t>
            </w:r>
          </w:p>
          <w:p>
            <w:pPr>
              <w:pStyle w:val="ListParagraph"/>
              <w:widowControl w:val="false"/>
              <w:autoSpaceDE w:val="false"/>
              <w:spacing w:lineRule="atLeast" w:line="200"/>
              <w:ind w:left="360" w:hanging="0"/>
              <w:rPr>
                <w:rFonts w:ascii="Arial" w:hAnsi="Arial" w:cs="Arial"/>
                <w:sz w:val="22"/>
                <w:szCs w:val="22"/>
              </w:rPr>
            </w:pPr>
            <w:r>
              <w:rPr>
                <w:rFonts w:cs="Arial" w:ascii="Arial" w:hAnsi="Arial"/>
                <w:sz w:val="22"/>
                <w:szCs w:val="22"/>
              </w:rPr>
              <w:t>- agreement to emphasize that histologic chorioamnionitis may not be equivalent to clinical chorioamnionitis</w:t>
            </w:r>
          </w:p>
          <w:p>
            <w:pPr>
              <w:pStyle w:val="ListParagraph"/>
              <w:spacing w:lineRule="atLeast" w:line="200"/>
              <w:ind w:left="360" w:hanging="0"/>
              <w:rPr>
                <w:rFonts w:ascii="Arial" w:hAnsi="Arial" w:cs="Arial"/>
                <w:sz w:val="22"/>
                <w:szCs w:val="22"/>
              </w:rPr>
            </w:pPr>
            <w:r>
              <w:rPr>
                <w:rFonts w:cs="Arial" w:ascii="Arial" w:hAnsi="Arial"/>
                <w:sz w:val="22"/>
                <w:szCs w:val="22"/>
              </w:rPr>
              <w:t>- Describing the topography of the inflammation will allow separation of the maternal from the fetal inflammatory response (evidence that poor fetal outcomes are more often associated with a fetal inflammatory response)</w:t>
            </w:r>
          </w:p>
          <w:p>
            <w:pPr>
              <w:pStyle w:val="ListParagraph"/>
              <w:spacing w:lineRule="atLeast" w:line="200"/>
              <w:ind w:left="360" w:hanging="0"/>
              <w:rPr>
                <w:rFonts w:ascii="Arial" w:hAnsi="Arial" w:cs="Arial"/>
                <w:sz w:val="22"/>
                <w:szCs w:val="22"/>
              </w:rPr>
            </w:pPr>
            <w:r>
              <w:rPr>
                <w:rFonts w:cs="Arial" w:ascii="Arial" w:hAnsi="Arial"/>
                <w:sz w:val="22"/>
                <w:szCs w:val="22"/>
              </w:rPr>
              <w:t xml:space="preserve">- Chronicity of inflammation may have clinical implications different from those of a purely acute response </w:t>
            </w:r>
          </w:p>
          <w:p>
            <w:pPr>
              <w:pStyle w:val="ListParagraph"/>
              <w:widowControl w:val="false"/>
              <w:autoSpaceDE w:val="false"/>
              <w:spacing w:lineRule="atLeast" w:line="200"/>
              <w:ind w:left="360" w:hanging="0"/>
              <w:rPr>
                <w:rFonts w:ascii="Arial" w:hAnsi="Arial" w:cs="Arial"/>
                <w:sz w:val="22"/>
                <w:szCs w:val="22"/>
              </w:rPr>
            </w:pPr>
            <w:r>
              <w:rPr>
                <w:rFonts w:cs="Arial" w:ascii="Arial" w:hAnsi="Arial"/>
                <w:sz w:val="22"/>
                <w:szCs w:val="22"/>
              </w:rPr>
            </w:r>
          </w:p>
          <w:p>
            <w:pPr>
              <w:pStyle w:val="ListParagraph"/>
              <w:widowControl w:val="false"/>
              <w:numPr>
                <w:ilvl w:val="1"/>
                <w:numId w:val="1"/>
              </w:numPr>
              <w:autoSpaceDE w:val="false"/>
              <w:spacing w:lineRule="atLeast" w:line="200"/>
              <w:rPr>
                <w:rFonts w:ascii="Arial" w:hAnsi="Arial" w:cs="Arial"/>
                <w:sz w:val="22"/>
                <w:szCs w:val="22"/>
              </w:rPr>
            </w:pPr>
            <w:r>
              <w:rPr>
                <w:rFonts w:cs="Arial" w:ascii="Arial" w:hAnsi="Arial"/>
                <w:sz w:val="22"/>
                <w:szCs w:val="22"/>
              </w:rPr>
              <w:t>Location and characteristics of inflammation</w:t>
            </w:r>
          </w:p>
          <w:p>
            <w:pPr>
              <w:pStyle w:val="ListParagraph"/>
              <w:widowControl w:val="false"/>
              <w:numPr>
                <w:ilvl w:val="2"/>
                <w:numId w:val="1"/>
              </w:numPr>
              <w:autoSpaceDE w:val="false"/>
              <w:spacing w:lineRule="atLeast" w:line="200"/>
              <w:rPr>
                <w:rFonts w:ascii="Arial" w:hAnsi="Arial" w:cs="Arial"/>
                <w:sz w:val="22"/>
                <w:szCs w:val="22"/>
              </w:rPr>
            </w:pPr>
            <w:r>
              <w:rPr>
                <w:rFonts w:cs="Arial" w:ascii="Arial" w:hAnsi="Arial"/>
                <w:sz w:val="22"/>
                <w:szCs w:val="22"/>
              </w:rPr>
              <w:t>Maternal vs. fetal response</w:t>
            </w:r>
          </w:p>
          <w:p>
            <w:pPr>
              <w:pStyle w:val="ListParagraph"/>
              <w:widowControl w:val="false"/>
              <w:numPr>
                <w:ilvl w:val="2"/>
                <w:numId w:val="1"/>
              </w:numPr>
              <w:autoSpaceDE w:val="false"/>
              <w:spacing w:lineRule="atLeast" w:line="200"/>
              <w:rPr>
                <w:rFonts w:ascii="Arial" w:hAnsi="Arial" w:cs="Arial"/>
                <w:sz w:val="22"/>
                <w:szCs w:val="22"/>
              </w:rPr>
            </w:pPr>
            <w:r>
              <w:rPr>
                <w:rFonts w:cs="Arial" w:ascii="Arial" w:hAnsi="Arial"/>
                <w:sz w:val="22"/>
                <w:szCs w:val="22"/>
              </w:rPr>
              <w:t>Chronicity of inflammation</w:t>
            </w:r>
          </w:p>
          <w:p>
            <w:pPr>
              <w:pStyle w:val="ListParagraph"/>
              <w:widowControl w:val="false"/>
              <w:numPr>
                <w:ilvl w:val="2"/>
                <w:numId w:val="1"/>
              </w:numPr>
              <w:autoSpaceDE w:val="false"/>
              <w:spacing w:lineRule="atLeast" w:line="200"/>
              <w:rPr>
                <w:rFonts w:ascii="Arial" w:hAnsi="Arial" w:cs="Arial"/>
                <w:sz w:val="22"/>
                <w:szCs w:val="22"/>
              </w:rPr>
            </w:pPr>
            <w:r>
              <w:rPr>
                <w:rFonts w:cs="Arial" w:ascii="Arial" w:hAnsi="Arial"/>
                <w:sz w:val="22"/>
                <w:szCs w:val="22"/>
              </w:rPr>
              <w:t>Involvement of artery or vein or both (higher rates of adverse neonatal outcomes reported in neonates with umbilical arteritis compared to those without)</w:t>
            </w:r>
          </w:p>
          <w:p>
            <w:pPr>
              <w:pStyle w:val="ListParagraph"/>
              <w:widowControl w:val="false"/>
              <w:autoSpaceDE w:val="false"/>
              <w:spacing w:lineRule="atLeast" w:line="200"/>
              <w:ind w:left="1080" w:hanging="0"/>
              <w:rPr>
                <w:rFonts w:ascii="Arial" w:hAnsi="Arial" w:cs="Arial"/>
                <w:sz w:val="22"/>
                <w:szCs w:val="22"/>
              </w:rPr>
            </w:pPr>
            <w:r>
              <w:rPr>
                <w:rFonts w:cs="Arial" w:ascii="Arial" w:hAnsi="Arial"/>
                <w:sz w:val="22"/>
                <w:szCs w:val="22"/>
              </w:rPr>
            </w:r>
          </w:p>
          <w:p>
            <w:pPr>
              <w:pStyle w:val="ListParagraph"/>
              <w:widowControl w:val="false"/>
              <w:numPr>
                <w:ilvl w:val="0"/>
                <w:numId w:val="1"/>
              </w:numPr>
              <w:autoSpaceDE w:val="false"/>
              <w:spacing w:lineRule="atLeast" w:line="200"/>
              <w:rPr/>
            </w:pPr>
            <w:r>
              <w:rPr>
                <w:rFonts w:cs="Arial" w:ascii="Arial" w:hAnsi="Arial"/>
                <w:b/>
                <w:sz w:val="22"/>
                <w:szCs w:val="22"/>
              </w:rPr>
              <w:t>VILLITIS OF UNKNOWN ETIOLOGY</w:t>
            </w:r>
            <w:r>
              <w:rPr>
                <w:rFonts w:cs="Arial" w:ascii="Arial" w:hAnsi="Arial"/>
                <w:sz w:val="22"/>
                <w:szCs w:val="22"/>
              </w:rPr>
              <w:t xml:space="preserve"> (instead of non-specific chronic villitis)</w:t>
            </w:r>
          </w:p>
          <w:p>
            <w:pPr>
              <w:pStyle w:val="ListParagraph"/>
              <w:spacing w:lineRule="atLeast" w:line="200"/>
              <w:ind w:left="360" w:hanging="0"/>
              <w:rPr>
                <w:rFonts w:ascii="Arial" w:hAnsi="Arial" w:cs="Arial"/>
                <w:sz w:val="22"/>
                <w:szCs w:val="22"/>
              </w:rPr>
            </w:pPr>
            <w:r>
              <w:rPr>
                <w:rFonts w:cs="Arial" w:ascii="Arial" w:hAnsi="Arial"/>
                <w:sz w:val="22"/>
                <w:szCs w:val="22"/>
              </w:rPr>
              <w:t>- Distinguishing between low-grade and high-grade villitis is important because there are significant associations between the latter and FGR, neurodevelopmental impairment, and likelihood of recurrence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highlight w:val="yellow"/>
              </w:rPr>
            </w:pPr>
            <w:r>
              <w:rPr>
                <w:rStyle w:val="DefaultChar"/>
                <w:sz w:val="22"/>
                <w:szCs w:val="22"/>
              </w:rPr>
              <w:t>Not applicable; workshop of clinicians to standardize procedures.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Khong, T. Y., Mooney, E. E., Ariel, I., Balmus, N. C., Boyd, T. K., Brundler, M. A., Derricott, H., Evans, M. J., Faye-Peterson, O. M., Gillan, J. E., Heazell, A. E., Heller, D. S., Jacques, S. M., Keating, S., Kelehan, P., Maes, A., McKay, E. M., Morgan, T. K., Nikkels, P. G., Parks, W. T., Redline, R. W., Scheimberg, I., Schoots, M. H., Sebire, N. J., Timmer, A., Tuowski, G., van der Voorn, J. P., van Lijnschoten, I., &amp; Gordijn, S, J. (2016). Sampling and definitions of placental lesions: Amsterdam Placental Workshop Group Consensus Statement. </w:t>
            </w:r>
            <w:r>
              <w:rPr>
                <w:rFonts w:cs="Arial" w:ascii="Arial" w:hAnsi="Arial"/>
                <w:i/>
                <w:sz w:val="22"/>
                <w:szCs w:val="22"/>
              </w:rPr>
              <w:t>Archives of Pathology and Laboratory Medicine, 140</w:t>
            </w:r>
            <w:r>
              <w:rPr>
                <w:rFonts w:cs="Arial" w:ascii="Arial" w:hAnsi="Arial"/>
                <w:sz w:val="22"/>
                <w:szCs w:val="22"/>
              </w:rPr>
              <w:t>(7), 698–713.</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Langston, C., Kaplan, C., Macpherson, T., Manci, E., Peevy, K., Clark, B., Murtagh, C., Cox, S., &amp; Glenn, G. (1997). Practice guideline for examination of the placenta: Developed by the Placental Pathology Practice Guideline Development Task Force of the College of American Pathologists. </w:t>
            </w:r>
            <w:r>
              <w:rPr>
                <w:rFonts w:cs="Arial" w:ascii="Arial" w:hAnsi="Arial"/>
                <w:i/>
                <w:sz w:val="22"/>
                <w:szCs w:val="22"/>
              </w:rPr>
              <w:t>Archives of Pathology and Laboratory Medicine</w:t>
            </w:r>
            <w:r>
              <w:rPr>
                <w:rFonts w:cs="Arial" w:ascii="Arial" w:hAnsi="Arial"/>
                <w:sz w:val="22"/>
                <w:szCs w:val="22"/>
              </w:rPr>
              <w:t xml:space="preserve">, </w:t>
            </w:r>
            <w:r>
              <w:rPr>
                <w:rFonts w:cs="Arial" w:ascii="Arial" w:hAnsi="Arial"/>
                <w:i/>
                <w:sz w:val="22"/>
                <w:szCs w:val="22"/>
              </w:rPr>
              <w:t>121</w:t>
            </w:r>
            <w:r>
              <w:rPr>
                <w:rFonts w:cs="Arial" w:ascii="Arial" w:hAnsi="Arial"/>
                <w:sz w:val="22"/>
                <w:szCs w:val="22"/>
              </w:rPr>
              <w:t>(5), 449–476.</w:t>
              <w:tab/>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These assessments are made by practicing perinatal pathologists and placental pathologists.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Style w:val="DefaultChar"/>
                <w:sz w:val="22"/>
                <w:szCs w:val="22"/>
              </w:rPr>
              <w:t xml:space="preserve">Standard equipment found in pathology laboratories. </w:t>
            </w:r>
          </w:p>
          <w:p>
            <w:pPr>
              <w:pStyle w:val="Normal"/>
              <w:spacing w:before="0" w:after="0"/>
              <w:contextualSpacing/>
              <w:rPr>
                <w:rStyle w:val="DefaultChar"/>
                <w:sz w:val="22"/>
                <w:szCs w:val="22"/>
              </w:rPr>
            </w:pPr>
            <w:r>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Gross and histological evaluation of placental specimen.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 xml:space="preserve">Hargitai, B., Marton, T., &amp; Cox, P. M. (2004). Best practice no 178. Examination of the human placenta. </w:t>
            </w:r>
            <w:r>
              <w:rPr>
                <w:rFonts w:cs="Arial" w:ascii="Arial" w:hAnsi="Arial"/>
                <w:i/>
                <w:sz w:val="22"/>
                <w:szCs w:val="22"/>
              </w:rPr>
              <w:t>Journal of Clinical Pathology</w:t>
            </w:r>
            <w:r>
              <w:rPr>
                <w:rFonts w:cs="Arial" w:ascii="Arial" w:hAnsi="Arial"/>
                <w:sz w:val="22"/>
                <w:szCs w:val="22"/>
              </w:rPr>
              <w:t xml:space="preserve">, </w:t>
            </w:r>
            <w:r>
              <w:rPr>
                <w:rFonts w:cs="Arial" w:ascii="Arial" w:hAnsi="Arial"/>
                <w:i/>
                <w:sz w:val="22"/>
                <w:szCs w:val="22"/>
              </w:rPr>
              <w:t>57</w:t>
            </w:r>
            <w:r>
              <w:rPr>
                <w:rFonts w:cs="Arial" w:ascii="Arial" w:hAnsi="Arial"/>
                <w:sz w:val="22"/>
                <w:szCs w:val="22"/>
              </w:rPr>
              <w:t>(8), 785–792.</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Pinar, H., Koch, M. A., Hawkins, H., Heim-Hall, J., Shehata, B., Thorsten, V. A, Carpenter, M., Lowichik, A., Reddy, U. M. (2011). The Stillbirth Collaborative Research Network (SCRN) placental and umbilical cord examination protocol. </w:t>
            </w:r>
            <w:r>
              <w:rPr>
                <w:rFonts w:cs="Arial" w:ascii="Arial" w:hAnsi="Arial"/>
                <w:i/>
                <w:sz w:val="22"/>
                <w:szCs w:val="22"/>
              </w:rPr>
              <w:t>American Journal of Perinatology</w:t>
            </w:r>
            <w:r>
              <w:rPr>
                <w:rFonts w:cs="Arial" w:ascii="Arial" w:hAnsi="Arial"/>
                <w:sz w:val="22"/>
                <w:szCs w:val="22"/>
              </w:rPr>
              <w:t xml:space="preserve">, </w:t>
            </w:r>
            <w:r>
              <w:rPr>
                <w:rFonts w:cs="Arial" w:ascii="Arial" w:hAnsi="Arial"/>
                <w:i/>
                <w:sz w:val="22"/>
                <w:szCs w:val="22"/>
              </w:rPr>
              <w:t>28</w:t>
            </w:r>
            <w:r>
              <w:rPr>
                <w:rFonts w:cs="Arial" w:ascii="Arial" w:hAnsi="Arial"/>
                <w:sz w:val="22"/>
                <w:szCs w:val="22"/>
              </w:rPr>
              <w:t>(10), 781–792.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Expert Review Panel has not reviewed this measure yet.</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 xml:space="preserve">Placental Assessment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Pregnancy </w:t>
    </w:r>
  </w:p>
  <w:p>
    <w:pPr>
      <w:pStyle w:val="Normal"/>
      <w:rPr>
        <w:rFonts w:ascii="Arial" w:hAnsi="Arial" w:cs="Arial"/>
        <w:b/>
        <w:b/>
        <w:sz w:val="20"/>
        <w:szCs w:val="20"/>
      </w:rPr>
    </w:pPr>
    <w:r>
      <w:rPr>
        <w:rFonts w:cs="Arial" w:ascii="Arial" w:hAnsi="Arial"/>
        <w:b/>
        <w:sz w:val="20"/>
        <w:szCs w:val="20"/>
      </w:rPr>
      <w:t>Release Date: January 31, 2017</w:t>
    </w:r>
  </w:p>
  <w:p>
    <w:pPr>
      <w:pStyle w:val="Normal"/>
      <w:rPr>
        <w:rFonts w:ascii="Arial" w:hAnsi="Arial" w:cs="Arial"/>
        <w:b/>
        <w:b/>
        <w:sz w:val="20"/>
        <w:szCs w:val="20"/>
      </w:rPr>
    </w:pPr>
    <w:r>
      <w:rPr>
        <w:rFonts w:cs="Arial" w:ascii="Arial" w:hAnsi="Arial"/>
        <w:b/>
        <w:bCs/>
        <w:sz w:val="20"/>
        <w:szCs w:val="20"/>
      </w:rPr>
      <w:t xml:space="preserve">Placental Assessment </w:t>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b w:val="fals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2017-01-10T17:13:00Z</dcterms:created>
  <dc:creator>whuggins</dc:creator>
  <dc:description/>
  <cp:keywords/>
  <dc:language>en-US</dc:language>
  <cp:lastModifiedBy>Hwang, Stephen</cp:lastModifiedBy>
  <cp:lastPrinted>2009-03-24T15:13:00Z</cp:lastPrinted>
  <dcterms:modified xsi:type="dcterms:W3CDTF">2017-01-10T17:13:00Z</dcterms:modified>
  <cp:revision>2</cp:revision>
  <dc:subject/>
  <dc:title/>
</cp:coreProperties>
</file>