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tab/>
      </w:r>
    </w:p>
    <w:tbl>
      <w:tblPr>
        <w:tblW w:w="9990" w:type="dxa"/>
        <w:jc w:val="left"/>
        <w:tblInd w:w="-455" w:type="dxa"/>
        <w:tblLayout w:type="fixed"/>
        <w:tblCellMar>
          <w:top w:w="115" w:type="dxa"/>
          <w:left w:w="115" w:type="dxa"/>
          <w:bottom w:w="115" w:type="dxa"/>
          <w:right w:w="115" w:type="dxa"/>
        </w:tblCellMar>
      </w:tblPr>
      <w:tblGrid>
        <w:gridCol w:w="2304"/>
        <w:gridCol w:w="7686"/>
      </w:tblGrid>
      <w:tr>
        <w:trPr/>
        <w:tc>
          <w:tcPr>
            <w:tcW w:w="999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68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Psychiatric</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68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Impact of Event - Child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68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This measure can be used to assess symptoms and difficulties children/youth may have following a stressful life event (e.g., (e.g., re-experiencing the event, avoidance behaviors, arousal and cognitive problems).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10350" w:type="dxa"/>
        <w:jc w:val="left"/>
        <w:tblInd w:w="-455" w:type="dxa"/>
        <w:tblLayout w:type="fixed"/>
        <w:tblCellMar>
          <w:top w:w="115" w:type="dxa"/>
          <w:left w:w="115" w:type="dxa"/>
          <w:bottom w:w="115" w:type="dxa"/>
          <w:right w:w="115" w:type="dxa"/>
        </w:tblCellMar>
      </w:tblPr>
      <w:tblGrid>
        <w:gridCol w:w="1620"/>
        <w:gridCol w:w="8730"/>
      </w:tblGrid>
      <w:tr>
        <w:trPr/>
        <w:tc>
          <w:tcPr>
            <w:tcW w:w="1035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873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The Children’s Impact of Event Scale is a self-rated measure that include 8 items:  four measure intrusive thoughts and four measures avoidance behaviors. Each item is rated on a four-point scale (0=Not at all; 1= Rarely; 3= Sometimes; 5 = Often). The timeframe is the past seven days. </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873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Revised Child Impact of Events Scale</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sz w:val="22"/>
                <w:szCs w:val="22"/>
              </w:rPr>
            </w:pPr>
            <w:r>
              <w:rPr>
                <w:rFonts w:cs="Arial" w:ascii="Arial" w:hAnsi="Arial"/>
                <w:sz w:val="22"/>
                <w:szCs w:val="22"/>
              </w:rPr>
              <w:t>Below is a list of comments made by people after stressful life events. Please tick each item showing how frequently these comments were true for you during the past seven days. If they did not occur during that time please tick the ‘not at all’ box.</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Name: ……………………………………………</w:t>
              <w:tab/>
              <w:tab/>
              <w:t>Date: ………</w:t>
              <w:tab/>
            </w:r>
          </w:p>
          <w:p>
            <w:pPr>
              <w:pStyle w:val="Normal"/>
              <w:rPr>
                <w:rFonts w:ascii="Arial" w:hAnsi="Arial" w:cs="Arial"/>
                <w:sz w:val="22"/>
                <w:szCs w:val="22"/>
              </w:rPr>
            </w:pPr>
            <w:r>
              <w:rPr>
                <w:rFonts w:cs="Arial" w:ascii="Arial" w:hAnsi="Arial"/>
                <w:sz w:val="22"/>
                <w:szCs w:val="22"/>
              </w:rPr>
            </w:r>
          </w:p>
          <w:p>
            <w:pPr>
              <w:pStyle w:val="Normal"/>
              <w:rPr/>
            </w:pPr>
            <w:r>
              <w:rPr/>
            </w:r>
          </w:p>
          <w:tbl>
            <w:tblPr>
              <w:tblW w:w="9636" w:type="dxa"/>
              <w:jc w:val="left"/>
              <w:tblInd w:w="0" w:type="dxa"/>
              <w:tblLayout w:type="fixed"/>
              <w:tblCellMar>
                <w:top w:w="0" w:type="dxa"/>
                <w:left w:w="0" w:type="dxa"/>
                <w:bottom w:w="0" w:type="dxa"/>
                <w:right w:w="0" w:type="dxa"/>
              </w:tblCellMar>
            </w:tblPr>
            <w:tblGrid>
              <w:gridCol w:w="531"/>
              <w:gridCol w:w="3584"/>
              <w:gridCol w:w="23"/>
              <w:gridCol w:w="211"/>
              <w:gridCol w:w="1042"/>
              <w:gridCol w:w="975"/>
              <w:gridCol w:w="850"/>
              <w:gridCol w:w="851"/>
              <w:gridCol w:w="8"/>
              <w:gridCol w:w="700"/>
              <w:gridCol w:w="8"/>
              <w:gridCol w:w="434"/>
              <w:gridCol w:w="419"/>
            </w:tblGrid>
            <w:tr>
              <w:trPr/>
              <w:tc>
                <w:tcPr>
                  <w:tcW w:w="531" w:type="dxa"/>
                  <w:tcBorders>
                    <w:bottom w:val="single" w:sz="4" w:space="0" w:color="000000"/>
                  </w:tcBorders>
                </w:tcPr>
                <w:p>
                  <w:pPr>
                    <w:pStyle w:val="Normal"/>
                    <w:snapToGrid w:val="false"/>
                    <w:ind w:right="-29" w:hanging="0"/>
                    <w:rPr>
                      <w:rFonts w:ascii="Arial" w:hAnsi="Arial" w:cs="Arial"/>
                      <w:sz w:val="22"/>
                      <w:szCs w:val="22"/>
                    </w:rPr>
                  </w:pPr>
                  <w:r>
                    <w:rPr>
                      <w:rFonts w:cs="Arial" w:ascii="Arial" w:hAnsi="Arial"/>
                      <w:sz w:val="22"/>
                      <w:szCs w:val="22"/>
                    </w:rPr>
                  </w:r>
                </w:p>
              </w:tc>
              <w:tc>
                <w:tcPr>
                  <w:tcW w:w="3584" w:type="dxa"/>
                  <w:tcBorders>
                    <w:bottom w:val="single" w:sz="4" w:space="0" w:color="000000"/>
                  </w:tcBorders>
                </w:tcPr>
                <w:p>
                  <w:pPr>
                    <w:pStyle w:val="Normal"/>
                    <w:snapToGrid w:val="false"/>
                    <w:ind w:right="-29" w:hanging="0"/>
                    <w:rPr>
                      <w:rFonts w:ascii="Arial" w:hAnsi="Arial" w:cs="Arial"/>
                      <w:sz w:val="22"/>
                      <w:szCs w:val="22"/>
                    </w:rPr>
                  </w:pPr>
                  <w:r>
                    <w:rPr>
                      <w:rFonts w:cs="Arial" w:ascii="Arial" w:hAnsi="Arial"/>
                      <w:sz w:val="22"/>
                      <w:szCs w:val="22"/>
                    </w:rPr>
                  </w:r>
                </w:p>
              </w:tc>
              <w:tc>
                <w:tcPr>
                  <w:tcW w:w="23" w:type="dxa"/>
                  <w:tcBorders>
                    <w:bottom w:val="single" w:sz="4" w:space="0" w:color="000000"/>
                  </w:tcBorders>
                </w:tcPr>
                <w:p>
                  <w:pPr>
                    <w:pStyle w:val="Normal"/>
                    <w:snapToGrid w:val="false"/>
                    <w:ind w:right="-29" w:hanging="0"/>
                    <w:jc w:val="center"/>
                    <w:rPr>
                      <w:rFonts w:ascii="Arial" w:hAnsi="Arial" w:cs="Arial"/>
                      <w:sz w:val="22"/>
                      <w:szCs w:val="22"/>
                    </w:rPr>
                  </w:pPr>
                  <w:r>
                    <w:rPr>
                      <w:rFonts w:cs="Arial" w:ascii="Arial" w:hAnsi="Arial"/>
                      <w:sz w:val="22"/>
                      <w:szCs w:val="22"/>
                    </w:rPr>
                  </w:r>
                </w:p>
              </w:tc>
              <w:tc>
                <w:tcPr>
                  <w:tcW w:w="1253" w:type="dxa"/>
                  <w:gridSpan w:val="2"/>
                  <w:tcBorders>
                    <w:bottom w:val="single" w:sz="4" w:space="0" w:color="000000"/>
                  </w:tcBorders>
                </w:tcPr>
                <w:p>
                  <w:pPr>
                    <w:pStyle w:val="Normal"/>
                    <w:snapToGrid w:val="false"/>
                    <w:ind w:right="-29" w:hanging="0"/>
                    <w:jc w:val="center"/>
                    <w:rPr>
                      <w:rFonts w:ascii="Arial" w:hAnsi="Arial" w:cs="Arial"/>
                      <w:sz w:val="22"/>
                      <w:szCs w:val="22"/>
                    </w:rPr>
                  </w:pPr>
                  <w:r>
                    <w:rPr>
                      <w:rFonts w:cs="Arial" w:ascii="Arial" w:hAnsi="Arial"/>
                      <w:sz w:val="22"/>
                      <w:szCs w:val="22"/>
                    </w:rPr>
                  </w:r>
                </w:p>
              </w:tc>
              <w:tc>
                <w:tcPr>
                  <w:tcW w:w="975" w:type="dxa"/>
                  <w:tcBorders>
                    <w:bottom w:val="single" w:sz="4" w:space="0" w:color="000000"/>
                  </w:tcBorders>
                </w:tcPr>
                <w:p>
                  <w:pPr>
                    <w:pStyle w:val="Normal"/>
                    <w:snapToGrid w:val="false"/>
                    <w:ind w:right="-29" w:hanging="0"/>
                    <w:jc w:val="center"/>
                    <w:rPr>
                      <w:rFonts w:ascii="Arial" w:hAnsi="Arial" w:cs="Arial"/>
                      <w:sz w:val="22"/>
                      <w:szCs w:val="22"/>
                    </w:rPr>
                  </w:pPr>
                  <w:r>
                    <w:rPr>
                      <w:rFonts w:cs="Arial" w:ascii="Arial" w:hAnsi="Arial"/>
                      <w:sz w:val="22"/>
                      <w:szCs w:val="22"/>
                    </w:rPr>
                  </w:r>
                </w:p>
              </w:tc>
              <w:tc>
                <w:tcPr>
                  <w:tcW w:w="850" w:type="dxa"/>
                  <w:tcBorders>
                    <w:bottom w:val="single" w:sz="4" w:space="0" w:color="000000"/>
                  </w:tcBorders>
                </w:tcPr>
                <w:p>
                  <w:pPr>
                    <w:pStyle w:val="Normal"/>
                    <w:snapToGrid w:val="false"/>
                    <w:ind w:right="-29" w:hanging="0"/>
                    <w:jc w:val="center"/>
                    <w:rPr>
                      <w:rFonts w:ascii="Arial" w:hAnsi="Arial" w:cs="Arial"/>
                      <w:sz w:val="22"/>
                      <w:szCs w:val="22"/>
                    </w:rPr>
                  </w:pPr>
                  <w:r>
                    <w:rPr>
                      <w:rFonts w:cs="Arial" w:ascii="Arial" w:hAnsi="Arial"/>
                      <w:sz w:val="22"/>
                      <w:szCs w:val="22"/>
                    </w:rPr>
                  </w:r>
                </w:p>
              </w:tc>
              <w:tc>
                <w:tcPr>
                  <w:tcW w:w="851" w:type="dxa"/>
                  <w:tcBorders>
                    <w:bottom w:val="single" w:sz="4" w:space="0" w:color="000000"/>
                  </w:tcBorders>
                </w:tcPr>
                <w:p>
                  <w:pPr>
                    <w:pStyle w:val="Normal"/>
                    <w:snapToGrid w:val="false"/>
                    <w:ind w:right="-29" w:hanging="0"/>
                    <w:jc w:val="center"/>
                    <w:rPr>
                      <w:rFonts w:ascii="Arial" w:hAnsi="Arial" w:cs="Arial"/>
                      <w:sz w:val="22"/>
                      <w:szCs w:val="22"/>
                    </w:rPr>
                  </w:pPr>
                  <w:r>
                    <w:rPr>
                      <w:rFonts w:cs="Arial" w:ascii="Arial" w:hAnsi="Arial"/>
                      <w:sz w:val="22"/>
                      <w:szCs w:val="22"/>
                    </w:rPr>
                  </w:r>
                </w:p>
              </w:tc>
              <w:tc>
                <w:tcPr>
                  <w:tcW w:w="708" w:type="dxa"/>
                  <w:gridSpan w:val="2"/>
                  <w:tcBorders/>
                </w:tcPr>
                <w:p>
                  <w:pPr>
                    <w:pStyle w:val="Normal"/>
                    <w:snapToGrid w:val="false"/>
                    <w:ind w:right="-29" w:hanging="0"/>
                    <w:rPr>
                      <w:rFonts w:ascii="Arial" w:hAnsi="Arial" w:cs="Arial"/>
                      <w:sz w:val="22"/>
                      <w:szCs w:val="22"/>
                    </w:rPr>
                  </w:pPr>
                  <w:r>
                    <w:rPr>
                      <w:rFonts w:cs="Arial" w:ascii="Arial" w:hAnsi="Arial"/>
                      <w:sz w:val="22"/>
                      <w:szCs w:val="22"/>
                    </w:rPr>
                  </w:r>
                </w:p>
              </w:tc>
              <w:tc>
                <w:tcPr>
                  <w:tcW w:w="861" w:type="dxa"/>
                  <w:gridSpan w:val="3"/>
                  <w:tcBorders/>
                </w:tcPr>
                <w:p>
                  <w:pPr>
                    <w:pStyle w:val="Normal"/>
                    <w:snapToGrid w:val="false"/>
                    <w:rPr>
                      <w:rFonts w:ascii="Arial" w:hAnsi="Arial" w:cs="Arial"/>
                      <w:sz w:val="22"/>
                      <w:szCs w:val="22"/>
                    </w:rPr>
                  </w:pPr>
                  <w:r>
                    <w:rPr>
                      <w:rFonts w:cs="Arial" w:ascii="Arial" w:hAnsi="Arial"/>
                      <w:sz w:val="22"/>
                      <w:szCs w:val="22"/>
                    </w:rPr>
                  </w:r>
                </w:p>
              </w:tc>
            </w:tr>
            <w:tr>
              <w:trPr/>
              <w:tc>
                <w:tcPr>
                  <w:tcW w:w="531" w:type="dxa"/>
                  <w:tcBorders>
                    <w:top w:val="single" w:sz="4" w:space="0" w:color="000000"/>
                    <w:left w:val="single" w:sz="4" w:space="0" w:color="000000"/>
                    <w:bottom w:val="single" w:sz="2" w:space="0" w:color="000000"/>
                  </w:tcBorders>
                  <w:tcMar>
                    <w:left w:w="107" w:type="dxa"/>
                    <w:right w:w="107" w:type="dxa"/>
                  </w:tcMar>
                </w:tcPr>
                <w:p>
                  <w:pPr>
                    <w:pStyle w:val="Normal"/>
                    <w:snapToGrid w:val="false"/>
                    <w:ind w:right="-29" w:hanging="0"/>
                    <w:rPr>
                      <w:rFonts w:ascii="Arial" w:hAnsi="Arial" w:cs="Arial"/>
                      <w:b/>
                      <w:b/>
                      <w:sz w:val="22"/>
                      <w:szCs w:val="22"/>
                    </w:rPr>
                  </w:pPr>
                  <w:r>
                    <w:rPr>
                      <w:rFonts w:cs="Arial" w:ascii="Arial" w:hAnsi="Arial"/>
                      <w:b/>
                      <w:sz w:val="22"/>
                      <w:szCs w:val="22"/>
                    </w:rPr>
                  </w:r>
                </w:p>
                <w:p>
                  <w:pPr>
                    <w:pStyle w:val="Normal"/>
                    <w:snapToGrid w:val="false"/>
                    <w:ind w:right="-29" w:hanging="0"/>
                    <w:rPr>
                      <w:rFonts w:ascii="Arial" w:hAnsi="Arial" w:cs="Arial"/>
                      <w:b/>
                      <w:b/>
                      <w:sz w:val="22"/>
                      <w:szCs w:val="22"/>
                    </w:rPr>
                  </w:pPr>
                  <w:r>
                    <w:rPr>
                      <w:rFonts w:cs="Arial" w:ascii="Arial" w:hAnsi="Arial"/>
                      <w:b/>
                      <w:sz w:val="22"/>
                      <w:szCs w:val="22"/>
                    </w:rPr>
                  </w:r>
                </w:p>
              </w:tc>
              <w:tc>
                <w:tcPr>
                  <w:tcW w:w="3584" w:type="dxa"/>
                  <w:tcBorders>
                    <w:top w:val="single" w:sz="4" w:space="0" w:color="000000"/>
                    <w:bottom w:val="single" w:sz="2" w:space="0" w:color="000000"/>
                  </w:tcBorders>
                  <w:tcMar>
                    <w:left w:w="107" w:type="dxa"/>
                    <w:right w:w="107" w:type="dxa"/>
                  </w:tcMar>
                </w:tcPr>
                <w:p>
                  <w:pPr>
                    <w:pStyle w:val="Normal"/>
                    <w:snapToGrid w:val="false"/>
                    <w:ind w:right="-29" w:hanging="0"/>
                    <w:rPr>
                      <w:rFonts w:ascii="Arial" w:hAnsi="Arial" w:cs="Arial"/>
                      <w:b/>
                      <w:b/>
                      <w:sz w:val="22"/>
                      <w:szCs w:val="22"/>
                    </w:rPr>
                  </w:pPr>
                  <w:r>
                    <w:rPr>
                      <w:rFonts w:cs="Arial" w:ascii="Arial" w:hAnsi="Arial"/>
                      <w:b/>
                      <w:sz w:val="22"/>
                      <w:szCs w:val="22"/>
                    </w:rPr>
                  </w:r>
                </w:p>
              </w:tc>
              <w:tc>
                <w:tcPr>
                  <w:tcW w:w="234" w:type="dxa"/>
                  <w:gridSpan w:val="2"/>
                  <w:tcBorders>
                    <w:top w:val="single" w:sz="4" w:space="0" w:color="000000"/>
                    <w:bottom w:val="single" w:sz="2" w:space="0" w:color="000000"/>
                  </w:tcBorders>
                  <w:tcMar>
                    <w:left w:w="107" w:type="dxa"/>
                    <w:right w:w="107" w:type="dxa"/>
                  </w:tcMar>
                </w:tcPr>
                <w:p>
                  <w:pPr>
                    <w:pStyle w:val="Normal"/>
                    <w:snapToGrid w:val="false"/>
                    <w:ind w:right="-29" w:hanging="0"/>
                    <w:jc w:val="center"/>
                    <w:rPr>
                      <w:rFonts w:ascii="Arial" w:hAnsi="Arial" w:cs="Arial"/>
                      <w:b/>
                      <w:b/>
                      <w:sz w:val="22"/>
                      <w:szCs w:val="22"/>
                    </w:rPr>
                  </w:pPr>
                  <w:r>
                    <w:rPr>
                      <w:rFonts w:cs="Arial" w:ascii="Arial" w:hAnsi="Arial"/>
                      <w:b/>
                      <w:sz w:val="22"/>
                      <w:szCs w:val="22"/>
                    </w:rPr>
                  </w:r>
                </w:p>
              </w:tc>
              <w:tc>
                <w:tcPr>
                  <w:tcW w:w="1042" w:type="dxa"/>
                  <w:tcBorders>
                    <w:top w:val="single" w:sz="4" w:space="0" w:color="000000"/>
                    <w:left w:val="single" w:sz="2" w:space="0" w:color="000000"/>
                    <w:bottom w:val="single" w:sz="2" w:space="0" w:color="000000"/>
                  </w:tcBorders>
                  <w:tcMar>
                    <w:left w:w="107" w:type="dxa"/>
                    <w:right w:w="107" w:type="dxa"/>
                  </w:tcMar>
                </w:tcPr>
                <w:p>
                  <w:pPr>
                    <w:pStyle w:val="Normal"/>
                    <w:snapToGrid w:val="false"/>
                    <w:ind w:right="-29" w:hanging="0"/>
                    <w:jc w:val="center"/>
                    <w:rPr>
                      <w:rFonts w:ascii="Arial" w:hAnsi="Arial" w:cs="Arial"/>
                      <w:b/>
                      <w:b/>
                      <w:sz w:val="22"/>
                      <w:szCs w:val="22"/>
                    </w:rPr>
                  </w:pPr>
                  <w:r>
                    <w:rPr>
                      <w:rFonts w:cs="Arial" w:ascii="Arial" w:hAnsi="Arial"/>
                      <w:b/>
                      <w:sz w:val="22"/>
                      <w:szCs w:val="22"/>
                    </w:rPr>
                    <w:t>Not at all</w:t>
                  </w:r>
                </w:p>
              </w:tc>
              <w:tc>
                <w:tcPr>
                  <w:tcW w:w="975" w:type="dxa"/>
                  <w:tcBorders>
                    <w:top w:val="single" w:sz="4" w:space="0" w:color="000000"/>
                    <w:left w:val="single" w:sz="2" w:space="0" w:color="000000"/>
                    <w:bottom w:val="single" w:sz="2" w:space="0" w:color="000000"/>
                  </w:tcBorders>
                  <w:tcMar>
                    <w:left w:w="107" w:type="dxa"/>
                    <w:right w:w="107" w:type="dxa"/>
                  </w:tcMar>
                </w:tcPr>
                <w:p>
                  <w:pPr>
                    <w:pStyle w:val="Normal"/>
                    <w:snapToGrid w:val="false"/>
                    <w:ind w:right="-29" w:hanging="0"/>
                    <w:jc w:val="center"/>
                    <w:rPr>
                      <w:rFonts w:ascii="Arial" w:hAnsi="Arial" w:cs="Arial"/>
                      <w:b/>
                      <w:b/>
                      <w:sz w:val="22"/>
                      <w:szCs w:val="22"/>
                    </w:rPr>
                  </w:pPr>
                  <w:r>
                    <w:rPr>
                      <w:rFonts w:cs="Arial" w:ascii="Arial" w:hAnsi="Arial"/>
                      <w:b/>
                      <w:sz w:val="22"/>
                      <w:szCs w:val="22"/>
                    </w:rPr>
                    <w:t>Rarely</w:t>
                  </w:r>
                </w:p>
              </w:tc>
              <w:tc>
                <w:tcPr>
                  <w:tcW w:w="850" w:type="dxa"/>
                  <w:tcBorders>
                    <w:top w:val="single" w:sz="4" w:space="0" w:color="000000"/>
                    <w:left w:val="single" w:sz="2" w:space="0" w:color="000000"/>
                    <w:bottom w:val="single" w:sz="2" w:space="0" w:color="000000"/>
                  </w:tcBorders>
                  <w:tcMar>
                    <w:left w:w="107" w:type="dxa"/>
                    <w:right w:w="107" w:type="dxa"/>
                  </w:tcMar>
                </w:tcPr>
                <w:p>
                  <w:pPr>
                    <w:pStyle w:val="Normal"/>
                    <w:snapToGrid w:val="false"/>
                    <w:ind w:right="-29" w:hanging="0"/>
                    <w:jc w:val="center"/>
                    <w:rPr>
                      <w:rFonts w:ascii="Arial" w:hAnsi="Arial" w:cs="Arial"/>
                      <w:b/>
                      <w:b/>
                      <w:sz w:val="22"/>
                      <w:szCs w:val="22"/>
                    </w:rPr>
                  </w:pPr>
                  <w:r>
                    <w:rPr>
                      <w:rFonts w:cs="Arial" w:ascii="Arial" w:hAnsi="Arial"/>
                      <w:b/>
                      <w:sz w:val="22"/>
                      <w:szCs w:val="22"/>
                    </w:rPr>
                    <w:t>Some-times</w:t>
                  </w:r>
                </w:p>
              </w:tc>
              <w:tc>
                <w:tcPr>
                  <w:tcW w:w="851" w:type="dxa"/>
                  <w:tcBorders>
                    <w:top w:val="single" w:sz="4" w:space="0" w:color="000000"/>
                    <w:left w:val="single" w:sz="2" w:space="0" w:color="000000"/>
                    <w:bottom w:val="single" w:sz="2" w:space="0" w:color="000000"/>
                  </w:tcBorders>
                  <w:tcMar>
                    <w:left w:w="107" w:type="dxa"/>
                    <w:right w:w="107" w:type="dxa"/>
                  </w:tcMar>
                </w:tcPr>
                <w:p>
                  <w:pPr>
                    <w:pStyle w:val="Normal"/>
                    <w:snapToGrid w:val="false"/>
                    <w:ind w:right="-29" w:hanging="0"/>
                    <w:jc w:val="center"/>
                    <w:rPr>
                      <w:rFonts w:ascii="Arial" w:hAnsi="Arial" w:cs="Arial"/>
                      <w:b/>
                      <w:b/>
                      <w:sz w:val="22"/>
                      <w:szCs w:val="22"/>
                    </w:rPr>
                  </w:pPr>
                  <w:r>
                    <w:rPr>
                      <w:rFonts w:cs="Arial" w:ascii="Arial" w:hAnsi="Arial"/>
                      <w:b/>
                      <w:sz w:val="22"/>
                      <w:szCs w:val="22"/>
                    </w:rPr>
                    <w:t>Often</w:t>
                  </w:r>
                </w:p>
              </w:tc>
              <w:tc>
                <w:tcPr>
                  <w:tcW w:w="708" w:type="dxa"/>
                  <w:gridSpan w:val="2"/>
                  <w:tcBorders>
                    <w:left w:val="single" w:sz="4" w:space="0" w:color="000000"/>
                  </w:tcBorders>
                  <w:tcMar>
                    <w:left w:w="107" w:type="dxa"/>
                    <w:right w:w="107" w:type="dxa"/>
                  </w:tcMar>
                </w:tcPr>
                <w:p>
                  <w:pPr>
                    <w:pStyle w:val="Normal"/>
                    <w:snapToGrid w:val="false"/>
                    <w:ind w:right="-29" w:hanging="0"/>
                    <w:rPr>
                      <w:rFonts w:ascii="Arial" w:hAnsi="Arial" w:cs="Arial"/>
                      <w:b/>
                      <w:b/>
                      <w:sz w:val="22"/>
                      <w:szCs w:val="22"/>
                    </w:rPr>
                  </w:pPr>
                  <w:r>
                    <w:rPr>
                      <w:rFonts w:cs="Arial" w:ascii="Arial" w:hAnsi="Arial"/>
                      <w:b/>
                      <w:sz w:val="22"/>
                      <w:szCs w:val="22"/>
                    </w:rPr>
                  </w:r>
                </w:p>
              </w:tc>
              <w:tc>
                <w:tcPr>
                  <w:tcW w:w="861" w:type="dxa"/>
                  <w:gridSpan w:val="3"/>
                  <w:tcBorders/>
                </w:tcPr>
                <w:p>
                  <w:pPr>
                    <w:pStyle w:val="Normal"/>
                    <w:snapToGrid w:val="false"/>
                    <w:rPr>
                      <w:rFonts w:ascii="Arial" w:hAnsi="Arial" w:cs="Arial"/>
                      <w:b/>
                      <w:b/>
                      <w:sz w:val="22"/>
                      <w:szCs w:val="22"/>
                    </w:rPr>
                  </w:pPr>
                  <w:r>
                    <w:rPr>
                      <w:rFonts w:cs="Arial" w:ascii="Arial" w:hAnsi="Arial"/>
                      <w:b/>
                      <w:sz w:val="22"/>
                      <w:szCs w:val="22"/>
                    </w:rPr>
                  </w:r>
                </w:p>
              </w:tc>
            </w:tr>
            <w:tr>
              <w:trPr>
                <w:trHeight w:val="784" w:hRule="atLeast"/>
              </w:trPr>
              <w:tc>
                <w:tcPr>
                  <w:tcW w:w="531" w:type="dxa"/>
                  <w:tcBorders>
                    <w:top w:val="single" w:sz="2" w:space="0" w:color="000000"/>
                    <w:left w:val="single" w:sz="4"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1.</w:t>
                  </w:r>
                </w:p>
              </w:tc>
              <w:tc>
                <w:tcPr>
                  <w:tcW w:w="3584" w:type="dxa"/>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Do you think about it even when you don’t mean to?</w:t>
                  </w:r>
                </w:p>
              </w:tc>
              <w:tc>
                <w:tcPr>
                  <w:tcW w:w="234" w:type="dxa"/>
                  <w:gridSpan w:val="2"/>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1042"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975"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0"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1"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708" w:type="dxa"/>
                  <w:gridSpan w:val="2"/>
                  <w:tcBorders>
                    <w:left w:val="single" w:sz="4"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861" w:type="dxa"/>
                  <w:gridSpan w:val="3"/>
                  <w:tcBorders/>
                </w:tcPr>
                <w:p>
                  <w:pPr>
                    <w:pStyle w:val="Normal"/>
                    <w:snapToGrid w:val="false"/>
                    <w:rPr>
                      <w:rFonts w:ascii="Arial" w:hAnsi="Arial" w:cs="Arial"/>
                      <w:sz w:val="22"/>
                      <w:szCs w:val="22"/>
                    </w:rPr>
                  </w:pPr>
                  <w:r>
                    <w:rPr>
                      <w:rFonts w:cs="Arial" w:ascii="Arial" w:hAnsi="Arial"/>
                      <w:sz w:val="22"/>
                      <w:szCs w:val="22"/>
                    </w:rPr>
                  </w:r>
                </w:p>
              </w:tc>
            </w:tr>
            <w:tr>
              <w:trPr>
                <w:trHeight w:val="784" w:hRule="atLeast"/>
              </w:trPr>
              <w:tc>
                <w:tcPr>
                  <w:tcW w:w="531" w:type="dxa"/>
                  <w:tcBorders>
                    <w:top w:val="single" w:sz="2" w:space="0" w:color="000000"/>
                    <w:left w:val="single" w:sz="4"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2.</w:t>
                  </w:r>
                </w:p>
              </w:tc>
              <w:tc>
                <w:tcPr>
                  <w:tcW w:w="3584" w:type="dxa"/>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Do you try to remove it from your memory</w:t>
                  </w:r>
                </w:p>
              </w:tc>
              <w:tc>
                <w:tcPr>
                  <w:tcW w:w="234" w:type="dxa"/>
                  <w:gridSpan w:val="2"/>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1042"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975"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0"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1"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708" w:type="dxa"/>
                  <w:gridSpan w:val="2"/>
                  <w:tcBorders>
                    <w:left w:val="single" w:sz="4"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861" w:type="dxa"/>
                  <w:gridSpan w:val="3"/>
                  <w:tcBorders/>
                </w:tcPr>
                <w:p>
                  <w:pPr>
                    <w:pStyle w:val="Normal"/>
                    <w:snapToGrid w:val="false"/>
                    <w:rPr>
                      <w:rFonts w:ascii="Arial" w:hAnsi="Arial" w:cs="Arial"/>
                      <w:sz w:val="22"/>
                      <w:szCs w:val="22"/>
                    </w:rPr>
                  </w:pPr>
                  <w:r>
                    <w:rPr>
                      <w:rFonts w:cs="Arial" w:ascii="Arial" w:hAnsi="Arial"/>
                      <w:sz w:val="22"/>
                      <w:szCs w:val="22"/>
                    </w:rPr>
                  </w:r>
                </w:p>
              </w:tc>
            </w:tr>
            <w:tr>
              <w:trPr>
                <w:trHeight w:val="785" w:hRule="atLeast"/>
              </w:trPr>
              <w:tc>
                <w:tcPr>
                  <w:tcW w:w="531" w:type="dxa"/>
                  <w:tcBorders>
                    <w:top w:val="single" w:sz="2" w:space="0" w:color="000000"/>
                    <w:left w:val="single" w:sz="4"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3.</w:t>
                  </w:r>
                </w:p>
              </w:tc>
              <w:tc>
                <w:tcPr>
                  <w:tcW w:w="3584" w:type="dxa"/>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Do you have waves of strong feelings about it</w:t>
                  </w:r>
                </w:p>
              </w:tc>
              <w:tc>
                <w:tcPr>
                  <w:tcW w:w="234" w:type="dxa"/>
                  <w:gridSpan w:val="2"/>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1042"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975"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0"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1"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708" w:type="dxa"/>
                  <w:gridSpan w:val="2"/>
                  <w:tcBorders>
                    <w:left w:val="single" w:sz="4"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861" w:type="dxa"/>
                  <w:gridSpan w:val="3"/>
                  <w:tcBorders/>
                </w:tcPr>
                <w:p>
                  <w:pPr>
                    <w:pStyle w:val="Normal"/>
                    <w:snapToGrid w:val="false"/>
                    <w:rPr>
                      <w:rFonts w:ascii="Arial" w:hAnsi="Arial" w:cs="Arial"/>
                      <w:sz w:val="22"/>
                      <w:szCs w:val="22"/>
                    </w:rPr>
                  </w:pPr>
                  <w:r>
                    <w:rPr>
                      <w:rFonts w:cs="Arial" w:ascii="Arial" w:hAnsi="Arial"/>
                      <w:sz w:val="22"/>
                      <w:szCs w:val="22"/>
                    </w:rPr>
                  </w:r>
                </w:p>
              </w:tc>
            </w:tr>
            <w:tr>
              <w:trPr>
                <w:trHeight w:val="784" w:hRule="atLeast"/>
              </w:trPr>
              <w:tc>
                <w:tcPr>
                  <w:tcW w:w="531" w:type="dxa"/>
                  <w:tcBorders>
                    <w:top w:val="single" w:sz="2" w:space="0" w:color="000000"/>
                    <w:left w:val="single" w:sz="4"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4.</w:t>
                  </w:r>
                </w:p>
              </w:tc>
              <w:tc>
                <w:tcPr>
                  <w:tcW w:w="3584" w:type="dxa"/>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Do you stay away from reminders of it (e.g. places or situations)</w:t>
                  </w:r>
                </w:p>
              </w:tc>
              <w:tc>
                <w:tcPr>
                  <w:tcW w:w="234" w:type="dxa"/>
                  <w:gridSpan w:val="2"/>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1042"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975"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0"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1"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708" w:type="dxa"/>
                  <w:gridSpan w:val="2"/>
                  <w:tcBorders>
                    <w:left w:val="single" w:sz="4"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861" w:type="dxa"/>
                  <w:gridSpan w:val="3"/>
                  <w:tcBorders/>
                </w:tcPr>
                <w:p>
                  <w:pPr>
                    <w:pStyle w:val="Normal"/>
                    <w:snapToGrid w:val="false"/>
                    <w:rPr>
                      <w:rFonts w:ascii="Arial" w:hAnsi="Arial" w:cs="Arial"/>
                      <w:sz w:val="22"/>
                      <w:szCs w:val="22"/>
                    </w:rPr>
                  </w:pPr>
                  <w:r>
                    <w:rPr>
                      <w:rFonts w:cs="Arial" w:ascii="Arial" w:hAnsi="Arial"/>
                      <w:sz w:val="22"/>
                      <w:szCs w:val="22"/>
                    </w:rPr>
                  </w:r>
                </w:p>
              </w:tc>
            </w:tr>
            <w:tr>
              <w:trPr>
                <w:trHeight w:val="785" w:hRule="atLeast"/>
              </w:trPr>
              <w:tc>
                <w:tcPr>
                  <w:tcW w:w="531" w:type="dxa"/>
                  <w:tcBorders>
                    <w:top w:val="single" w:sz="2" w:space="0" w:color="000000"/>
                    <w:left w:val="single" w:sz="4"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5.</w:t>
                  </w:r>
                </w:p>
              </w:tc>
              <w:tc>
                <w:tcPr>
                  <w:tcW w:w="3584" w:type="dxa"/>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Do you try not talk about it</w:t>
                  </w:r>
                </w:p>
              </w:tc>
              <w:tc>
                <w:tcPr>
                  <w:tcW w:w="234" w:type="dxa"/>
                  <w:gridSpan w:val="2"/>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1042"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975"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0"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1"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708" w:type="dxa"/>
                  <w:gridSpan w:val="2"/>
                  <w:tcBorders>
                    <w:left w:val="single" w:sz="4"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861" w:type="dxa"/>
                  <w:gridSpan w:val="3"/>
                  <w:tcBorders/>
                </w:tcPr>
                <w:p>
                  <w:pPr>
                    <w:pStyle w:val="Normal"/>
                    <w:snapToGrid w:val="false"/>
                    <w:rPr>
                      <w:rFonts w:ascii="Arial" w:hAnsi="Arial" w:cs="Arial"/>
                      <w:sz w:val="22"/>
                      <w:szCs w:val="22"/>
                    </w:rPr>
                  </w:pPr>
                  <w:r>
                    <w:rPr>
                      <w:rFonts w:cs="Arial" w:ascii="Arial" w:hAnsi="Arial"/>
                      <w:sz w:val="22"/>
                      <w:szCs w:val="22"/>
                    </w:rPr>
                  </w:r>
                </w:p>
              </w:tc>
            </w:tr>
            <w:tr>
              <w:trPr>
                <w:trHeight w:val="784" w:hRule="atLeast"/>
              </w:trPr>
              <w:tc>
                <w:tcPr>
                  <w:tcW w:w="531" w:type="dxa"/>
                  <w:tcBorders>
                    <w:top w:val="single" w:sz="2" w:space="0" w:color="000000"/>
                    <w:left w:val="single" w:sz="4"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6.</w:t>
                  </w:r>
                </w:p>
              </w:tc>
              <w:tc>
                <w:tcPr>
                  <w:tcW w:w="3584" w:type="dxa"/>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Do pictures about it pop into your mind?</w:t>
                  </w:r>
                </w:p>
              </w:tc>
              <w:tc>
                <w:tcPr>
                  <w:tcW w:w="234" w:type="dxa"/>
                  <w:gridSpan w:val="2"/>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1042"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975"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0"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1"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708" w:type="dxa"/>
                  <w:gridSpan w:val="2"/>
                  <w:tcBorders>
                    <w:left w:val="single" w:sz="4"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861" w:type="dxa"/>
                  <w:gridSpan w:val="3"/>
                  <w:tcBorders/>
                </w:tcPr>
                <w:p>
                  <w:pPr>
                    <w:pStyle w:val="Normal"/>
                    <w:snapToGrid w:val="false"/>
                    <w:rPr>
                      <w:rFonts w:ascii="Arial" w:hAnsi="Arial" w:cs="Arial"/>
                      <w:sz w:val="22"/>
                      <w:szCs w:val="22"/>
                    </w:rPr>
                  </w:pPr>
                  <w:r>
                    <w:rPr>
                      <w:rFonts w:cs="Arial" w:ascii="Arial" w:hAnsi="Arial"/>
                      <w:sz w:val="22"/>
                      <w:szCs w:val="22"/>
                    </w:rPr>
                  </w:r>
                </w:p>
              </w:tc>
            </w:tr>
            <w:tr>
              <w:trPr>
                <w:trHeight w:val="784" w:hRule="atLeast"/>
              </w:trPr>
              <w:tc>
                <w:tcPr>
                  <w:tcW w:w="531" w:type="dxa"/>
                  <w:tcBorders>
                    <w:top w:val="single" w:sz="2" w:space="0" w:color="000000"/>
                    <w:left w:val="single" w:sz="4"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7.</w:t>
                  </w:r>
                </w:p>
              </w:tc>
              <w:tc>
                <w:tcPr>
                  <w:tcW w:w="3584" w:type="dxa"/>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Do other things keep making you think about it?</w:t>
                  </w:r>
                </w:p>
              </w:tc>
              <w:tc>
                <w:tcPr>
                  <w:tcW w:w="234" w:type="dxa"/>
                  <w:gridSpan w:val="2"/>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1042"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975"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0"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1"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708" w:type="dxa"/>
                  <w:gridSpan w:val="2"/>
                  <w:tcBorders>
                    <w:left w:val="single" w:sz="4"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861" w:type="dxa"/>
                  <w:gridSpan w:val="3"/>
                  <w:tcBorders/>
                </w:tcPr>
                <w:p>
                  <w:pPr>
                    <w:pStyle w:val="Normal"/>
                    <w:snapToGrid w:val="false"/>
                    <w:rPr>
                      <w:rFonts w:ascii="Arial" w:hAnsi="Arial" w:cs="Arial"/>
                      <w:sz w:val="22"/>
                      <w:szCs w:val="22"/>
                    </w:rPr>
                  </w:pPr>
                  <w:r>
                    <w:rPr>
                      <w:rFonts w:cs="Arial" w:ascii="Arial" w:hAnsi="Arial"/>
                      <w:sz w:val="22"/>
                      <w:szCs w:val="22"/>
                    </w:rPr>
                  </w:r>
                </w:p>
              </w:tc>
            </w:tr>
            <w:tr>
              <w:trPr>
                <w:trHeight w:val="785" w:hRule="atLeast"/>
              </w:trPr>
              <w:tc>
                <w:tcPr>
                  <w:tcW w:w="531" w:type="dxa"/>
                  <w:tcBorders>
                    <w:top w:val="single" w:sz="2" w:space="0" w:color="000000"/>
                    <w:left w:val="single" w:sz="4"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8.</w:t>
                  </w:r>
                </w:p>
              </w:tc>
              <w:tc>
                <w:tcPr>
                  <w:tcW w:w="3584" w:type="dxa"/>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t>Do you try not to think about it?</w:t>
                  </w:r>
                </w:p>
              </w:tc>
              <w:tc>
                <w:tcPr>
                  <w:tcW w:w="234" w:type="dxa"/>
                  <w:gridSpan w:val="2"/>
                  <w:tcBorders>
                    <w:top w:val="single" w:sz="2" w:space="0" w:color="000000"/>
                    <w:bottom w:val="single" w:sz="2"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1042"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975"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0"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851" w:type="dxa"/>
                  <w:tcBorders>
                    <w:top w:val="single" w:sz="2" w:space="0" w:color="000000"/>
                    <w:left w:val="single" w:sz="2" w:space="0" w:color="000000"/>
                    <w:bottom w:val="single" w:sz="2" w:space="0" w:color="000000"/>
                  </w:tcBorders>
                  <w:tcMar>
                    <w:left w:w="107" w:type="dxa"/>
                    <w:right w:w="107" w:type="dxa"/>
                  </w:tcMar>
                  <w:vAlign w:val="center"/>
                </w:tcPr>
                <w:p>
                  <w:pPr>
                    <w:pStyle w:val="Normal"/>
                    <w:snapToGrid w:val="false"/>
                    <w:ind w:right="-29" w:hanging="0"/>
                    <w:jc w:val="center"/>
                    <w:rPr>
                      <w:rFonts w:ascii="Arial" w:hAnsi="Arial" w:cs="Arial"/>
                      <w:sz w:val="22"/>
                      <w:szCs w:val="22"/>
                    </w:rPr>
                  </w:pPr>
                  <w:r>
                    <w:rPr>
                      <w:rFonts w:cs="Arial" w:ascii="Arial" w:hAnsi="Arial"/>
                      <w:sz w:val="22"/>
                      <w:szCs w:val="22"/>
                    </w:rPr>
                    <w:t>[   ]</w:t>
                  </w:r>
                </w:p>
              </w:tc>
              <w:tc>
                <w:tcPr>
                  <w:tcW w:w="708" w:type="dxa"/>
                  <w:gridSpan w:val="2"/>
                  <w:tcBorders>
                    <w:left w:val="single" w:sz="4" w:space="0" w:color="00000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861" w:type="dxa"/>
                  <w:gridSpan w:val="3"/>
                  <w:tcBorders/>
                </w:tcPr>
                <w:p>
                  <w:pPr>
                    <w:pStyle w:val="Normal"/>
                    <w:snapToGrid w:val="false"/>
                    <w:rPr>
                      <w:rFonts w:ascii="Arial" w:hAnsi="Arial" w:cs="Arial"/>
                      <w:color w:val="C0C0C0"/>
                      <w:sz w:val="22"/>
                      <w:szCs w:val="22"/>
                    </w:rPr>
                  </w:pPr>
                  <w:r>
                    <w:rPr>
                      <w:rFonts w:cs="Arial" w:ascii="Arial" w:hAnsi="Arial"/>
                      <w:color w:val="C0C0C0"/>
                      <w:sz w:val="22"/>
                      <w:szCs w:val="22"/>
                    </w:rPr>
                  </w:r>
                </w:p>
              </w:tc>
            </w:tr>
            <w:tr>
              <w:trPr>
                <w:trHeight w:val="277" w:hRule="atLeast"/>
              </w:trPr>
              <w:tc>
                <w:tcPr>
                  <w:tcW w:w="8075" w:type="dxa"/>
                  <w:gridSpan w:val="9"/>
                  <w:tcBorders>
                    <w:top w:val="single" w:sz="2" w:space="0" w:color="000000"/>
                  </w:tcBorders>
                  <w:tcMar>
                    <w:left w:w="107" w:type="dxa"/>
                    <w:right w:w="107" w:type="dxa"/>
                  </w:tcMar>
                  <w:vAlign w:val="center"/>
                </w:tcPr>
                <w:p>
                  <w:pPr>
                    <w:pStyle w:val="Normal"/>
                    <w:snapToGrid w:val="false"/>
                    <w:ind w:right="-29" w:hanging="0"/>
                    <w:jc w:val="center"/>
                    <w:rPr>
                      <w:rFonts w:ascii="Arial" w:hAnsi="Arial" w:cs="Arial"/>
                      <w:color w:val="C0C0C0"/>
                      <w:sz w:val="22"/>
                      <w:szCs w:val="22"/>
                    </w:rPr>
                  </w:pPr>
                  <w:r>
                    <w:rPr>
                      <w:rFonts w:cs="Arial" w:ascii="Arial" w:hAnsi="Arial"/>
                      <w:color w:val="C0C0C0"/>
                      <w:sz w:val="22"/>
                      <w:szCs w:val="22"/>
                    </w:rPr>
                  </w:r>
                </w:p>
                <w:p>
                  <w:pPr>
                    <w:pStyle w:val="Normal"/>
                    <w:ind w:right="-29" w:hanging="0"/>
                    <w:jc w:val="center"/>
                    <w:rPr>
                      <w:rFonts w:ascii="Arial" w:hAnsi="Arial" w:cs="Arial"/>
                      <w:sz w:val="22"/>
                      <w:szCs w:val="22"/>
                    </w:rPr>
                  </w:pPr>
                  <w:r>
                    <w:rPr>
                      <w:rFonts w:cs="Arial" w:ascii="Arial" w:hAnsi="Arial"/>
                      <w:sz w:val="22"/>
                      <w:szCs w:val="22"/>
                    </w:rPr>
                    <w:t>© Children and War Foundation, 1998</w:t>
                  </w:r>
                </w:p>
                <w:p>
                  <w:pPr>
                    <w:pStyle w:val="Normal"/>
                    <w:ind w:right="-29" w:hanging="0"/>
                    <w:jc w:val="center"/>
                    <w:rPr>
                      <w:rFonts w:ascii="Arial" w:hAnsi="Arial" w:cs="Arial"/>
                      <w:sz w:val="22"/>
                      <w:szCs w:val="22"/>
                    </w:rPr>
                  </w:pPr>
                  <w:r>
                    <w:rPr>
                      <w:rFonts w:cs="Arial" w:ascii="Arial" w:hAnsi="Arial"/>
                      <w:sz w:val="22"/>
                      <w:szCs w:val="22"/>
                    </w:rPr>
                  </w:r>
                </w:p>
                <w:p>
                  <w:pPr>
                    <w:pStyle w:val="Normal"/>
                    <w:ind w:right="-29" w:hanging="0"/>
                    <w:rPr>
                      <w:rFonts w:ascii="Arial" w:hAnsi="Arial" w:cs="Arial"/>
                      <w:b/>
                      <w:b/>
                      <w:sz w:val="22"/>
                      <w:szCs w:val="22"/>
                    </w:rPr>
                  </w:pPr>
                  <w:r>
                    <w:rPr>
                      <w:rFonts w:cs="Arial" w:ascii="Arial" w:hAnsi="Arial"/>
                      <w:b/>
                      <w:sz w:val="22"/>
                      <w:szCs w:val="22"/>
                    </w:rPr>
                    <w:t>Scoring</w:t>
                  </w:r>
                </w:p>
                <w:p>
                  <w:pPr>
                    <w:pStyle w:val="Normal"/>
                    <w:ind w:right="-29" w:hanging="0"/>
                    <w:rPr>
                      <w:rFonts w:ascii="Arial" w:hAnsi="Arial" w:cs="Arial"/>
                      <w:sz w:val="22"/>
                      <w:szCs w:val="22"/>
                    </w:rPr>
                  </w:pPr>
                  <w:r>
                    <w:rPr>
                      <w:rFonts w:cs="Arial" w:ascii="Arial" w:hAnsi="Arial"/>
                      <w:sz w:val="22"/>
                      <w:szCs w:val="22"/>
                    </w:rPr>
                    <w:t>There are two sub-scales:</w:t>
                  </w:r>
                </w:p>
                <w:p>
                  <w:pPr>
                    <w:pStyle w:val="Normal"/>
                    <w:ind w:right="-29" w:hanging="0"/>
                    <w:rPr>
                      <w:rFonts w:ascii="Arial" w:hAnsi="Arial" w:cs="Arial"/>
                      <w:sz w:val="22"/>
                      <w:szCs w:val="22"/>
                    </w:rPr>
                  </w:pPr>
                  <w:r>
                    <w:rPr>
                      <w:rFonts w:cs="Arial" w:ascii="Arial" w:hAnsi="Arial"/>
                      <w:sz w:val="22"/>
                      <w:szCs w:val="22"/>
                    </w:rPr>
                  </w:r>
                </w:p>
                <w:p>
                  <w:pPr>
                    <w:pStyle w:val="Normal"/>
                    <w:ind w:right="-29" w:hanging="0"/>
                    <w:rPr>
                      <w:rFonts w:ascii="Arial" w:hAnsi="Arial" w:cs="Arial"/>
                      <w:sz w:val="22"/>
                      <w:szCs w:val="22"/>
                    </w:rPr>
                  </w:pPr>
                  <w:r>
                    <w:rPr>
                      <w:rFonts w:cs="Arial" w:ascii="Arial" w:hAnsi="Arial"/>
                      <w:sz w:val="22"/>
                      <w:szCs w:val="22"/>
                    </w:rPr>
                    <w:t>Intrusion = sum of items  1+3+6+7</w:t>
                  </w:r>
                </w:p>
                <w:p>
                  <w:pPr>
                    <w:pStyle w:val="Normal"/>
                    <w:ind w:right="-29" w:hanging="0"/>
                    <w:rPr>
                      <w:rFonts w:ascii="Arial" w:hAnsi="Arial" w:cs="Arial"/>
                      <w:sz w:val="22"/>
                      <w:szCs w:val="22"/>
                    </w:rPr>
                  </w:pPr>
                  <w:r>
                    <w:rPr>
                      <w:rFonts w:cs="Arial" w:ascii="Arial" w:hAnsi="Arial"/>
                      <w:sz w:val="22"/>
                      <w:szCs w:val="22"/>
                    </w:rPr>
                    <w:t>Avoidance = sum of items 2+4+5+8</w:t>
                  </w:r>
                </w:p>
                <w:p>
                  <w:pPr>
                    <w:pStyle w:val="Normal"/>
                    <w:ind w:right="-29" w:hanging="0"/>
                    <w:rPr>
                      <w:rFonts w:ascii="Arial" w:hAnsi="Arial" w:cs="Arial"/>
                      <w:sz w:val="22"/>
                      <w:szCs w:val="22"/>
                    </w:rPr>
                  </w:pPr>
                  <w:r>
                    <w:rPr>
                      <w:rFonts w:cs="Arial" w:ascii="Arial" w:hAnsi="Arial"/>
                      <w:sz w:val="22"/>
                      <w:szCs w:val="22"/>
                    </w:rPr>
                  </w:r>
                </w:p>
                <w:p>
                  <w:pPr>
                    <w:pStyle w:val="Normal"/>
                    <w:ind w:right="-29" w:hanging="0"/>
                    <w:rPr>
                      <w:rFonts w:ascii="Arial" w:hAnsi="Arial" w:cs="Arial"/>
                      <w:b/>
                      <w:b/>
                      <w:sz w:val="22"/>
                      <w:szCs w:val="22"/>
                    </w:rPr>
                  </w:pPr>
                  <w:r>
                    <w:rPr>
                      <w:rFonts w:cs="Arial" w:ascii="Arial" w:hAnsi="Arial"/>
                      <w:sz w:val="22"/>
                      <w:szCs w:val="22"/>
                    </w:rPr>
                    <w:t>Information about interpretation of scores can be found in Yule, 1997.</w:t>
                  </w:r>
                </w:p>
              </w:tc>
              <w:tc>
                <w:tcPr>
                  <w:tcW w:w="708" w:type="dxa"/>
                  <w:gridSpan w:val="2"/>
                  <w:tcBorders/>
                  <w:tcMar>
                    <w:left w:w="107" w:type="dxa"/>
                    <w:right w:w="107" w:type="dxa"/>
                  </w:tcMar>
                  <w:vAlign w:val="center"/>
                </w:tcPr>
                <w:p>
                  <w:pPr>
                    <w:pStyle w:val="Normal"/>
                    <w:snapToGrid w:val="false"/>
                    <w:ind w:right="-29" w:hanging="0"/>
                    <w:rPr>
                      <w:rFonts w:ascii="Arial" w:hAnsi="Arial" w:cs="Arial"/>
                      <w:b/>
                      <w:b/>
                      <w:sz w:val="22"/>
                      <w:szCs w:val="22"/>
                    </w:rPr>
                  </w:pPr>
                  <w:r>
                    <w:rPr>
                      <w:rFonts w:cs="Arial" w:ascii="Arial" w:hAnsi="Arial"/>
                      <w:b/>
                      <w:sz w:val="22"/>
                      <w:szCs w:val="22"/>
                    </w:rPr>
                  </w:r>
                </w:p>
              </w:tc>
              <w:tc>
                <w:tcPr>
                  <w:tcW w:w="434" w:type="dxa"/>
                  <w:tcBorders>
                    <w:top w:val="single" w:sz="2" w:space="0" w:color="C0C0C0"/>
                    <w:left w:val="single" w:sz="2" w:space="0" w:color="C0C0C0"/>
                    <w:bottom w:val="single" w:sz="2" w:space="0" w:color="C0C0C0"/>
                    <w:right w:val="single" w:sz="2" w:space="0" w:color="C0C0C0"/>
                  </w:tcBorders>
                  <w:tcMar>
                    <w:left w:w="107" w:type="dxa"/>
                    <w:right w:w="107" w:type="dxa"/>
                  </w:tcMar>
                  <w:vAlign w:val="center"/>
                </w:tcPr>
                <w:p>
                  <w:pPr>
                    <w:pStyle w:val="Normal"/>
                    <w:snapToGrid w:val="false"/>
                    <w:ind w:right="-29" w:hanging="0"/>
                    <w:rPr>
                      <w:rFonts w:ascii="Arial" w:hAnsi="Arial" w:cs="Arial"/>
                      <w:sz w:val="22"/>
                      <w:szCs w:val="22"/>
                    </w:rPr>
                  </w:pPr>
                  <w:r>
                    <w:rPr>
                      <w:rFonts w:cs="Arial" w:ascii="Arial" w:hAnsi="Arial"/>
                      <w:sz w:val="22"/>
                      <w:szCs w:val="22"/>
                    </w:rPr>
                  </w:r>
                </w:p>
              </w:tc>
              <w:tc>
                <w:tcPr>
                  <w:tcW w:w="419" w:type="dxa"/>
                  <w:tcBorders/>
                </w:tcPr>
                <w:p>
                  <w:pPr>
                    <w:pStyle w:val="Normal"/>
                    <w:snapToGrid w:val="false"/>
                    <w:rPr>
                      <w:rFonts w:ascii="Arial" w:hAnsi="Arial" w:cs="Arial"/>
                      <w:sz w:val="22"/>
                      <w:szCs w:val="22"/>
                    </w:rPr>
                  </w:pPr>
                  <w:r>
                    <w:rPr>
                      <w:rFonts w:cs="Arial" w:ascii="Arial" w:hAnsi="Arial"/>
                      <w:sz w:val="22"/>
                      <w:szCs w:val="22"/>
                    </w:rPr>
                  </w:r>
                </w:p>
              </w:tc>
            </w:tr>
          </w:tbl>
          <w:p>
            <w:pPr>
              <w:pStyle w:val="Normal"/>
              <w:spacing w:before="0" w:after="0"/>
              <w:contextualSpacing/>
              <w:rPr>
                <w:rFonts w:ascii="Arial" w:hAnsi="Arial" w:cs="Arial"/>
                <w:sz w:val="22"/>
                <w:szCs w:val="22"/>
              </w:rPr>
            </w:pPr>
            <w:r>
              <w:rPr>
                <w:rFonts w:cs="Arial" w:ascii="Arial" w:hAnsi="Arial"/>
                <w:sz w:val="22"/>
                <w:szCs w:val="22"/>
              </w:rPr>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8730" w:type="dxa"/>
            <w:tcBorders>
              <w:top w:val="single" w:sz="4" w:space="0" w:color="000000"/>
              <w:left w:val="single" w:sz="4" w:space="0" w:color="000000"/>
              <w:bottom w:val="single" w:sz="4" w:space="0" w:color="000000"/>
              <w:right w:val="single" w:sz="4" w:space="0" w:color="000000"/>
            </w:tcBorders>
          </w:tcPr>
          <w:p>
            <w:pPr>
              <w:pStyle w:val="Normal"/>
              <w:rPr>
                <w:rStyle w:val="DefaultChar"/>
                <w:sz w:val="22"/>
                <w:szCs w:val="22"/>
                <w:highlight w:val="yellow"/>
              </w:rPr>
            </w:pPr>
            <w:r>
              <w:rPr>
                <w:rStyle w:val="DefaultChar"/>
                <w:sz w:val="22"/>
                <w:szCs w:val="22"/>
              </w:rPr>
              <w:t>Children, ages 8 years and above who are able to read independently.</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8730" w:type="dxa"/>
            <w:tcBorders>
              <w:top w:val="single" w:sz="4" w:space="0" w:color="000000"/>
              <w:left w:val="single" w:sz="4" w:space="0" w:color="000000"/>
              <w:bottom w:val="single" w:sz="4" w:space="0" w:color="000000"/>
              <w:right w:val="single" w:sz="4" w:space="0" w:color="000000"/>
            </w:tcBorders>
          </w:tcPr>
          <w:p>
            <w:pPr>
              <w:pStyle w:val="Normal"/>
              <w:autoSpaceDE w:val="false"/>
              <w:ind w:right="-30" w:hanging="0"/>
              <w:rPr>
                <w:rFonts w:ascii="Arial" w:hAnsi="Arial" w:cs="Arial"/>
                <w:sz w:val="22"/>
                <w:szCs w:val="22"/>
                <w:highlight w:val="yellow"/>
              </w:rPr>
            </w:pPr>
            <w:r>
              <w:rPr>
                <w:rFonts w:cs="Arial" w:ascii="Arial" w:hAnsi="Arial"/>
                <w:sz w:val="22"/>
                <w:szCs w:val="22"/>
              </w:rPr>
              <w:t xml:space="preserve">Perrin, S., Meiser-Stedman, R. &amp; Smith, P. (2005) The Children’s Revised Impact of Event Scale (CRIES): Validity as a screening instrument for PTSD. </w:t>
            </w:r>
            <w:r>
              <w:rPr>
                <w:rFonts w:cs="Arial" w:ascii="Arial" w:hAnsi="Arial"/>
                <w:i/>
                <w:sz w:val="22"/>
                <w:szCs w:val="22"/>
              </w:rPr>
              <w:t>Behavioural and Cognitive Psychotherapy</w:t>
            </w:r>
            <w:r>
              <w:rPr>
                <w:rFonts w:cs="Arial" w:ascii="Arial" w:hAnsi="Arial"/>
                <w:sz w:val="22"/>
                <w:szCs w:val="22"/>
              </w:rPr>
              <w:t>, 33 (4), 487-498.</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873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873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873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873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rating scale</w:t>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873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sz w:val="22"/>
                <w:szCs w:val="22"/>
              </w:rPr>
              <w:t xml:space="preserve">Dyregrov, A., Kuterovac, G. &amp; Barath, A.(1996) Factor analysis of the Impact of Event Scale with children in war. </w:t>
            </w:r>
            <w:r>
              <w:rPr>
                <w:rFonts w:cs="Arial" w:ascii="Arial" w:hAnsi="Arial"/>
                <w:i/>
                <w:sz w:val="22"/>
                <w:szCs w:val="22"/>
              </w:rPr>
              <w:t>Scandinavian Journal of Psychology</w:t>
            </w:r>
            <w:r>
              <w:rPr>
                <w:rFonts w:cs="Arial" w:ascii="Arial" w:hAnsi="Arial"/>
                <w:sz w:val="22"/>
                <w:szCs w:val="22"/>
              </w:rPr>
              <w:t>, 36, 339-350.</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Horowitz, M. J., Wilner, N., and Alvarez, W. (1979). Impact of event scale: A measure of subjective stress</w:t>
            </w:r>
            <w:r>
              <w:rPr>
                <w:rFonts w:cs="Arial" w:ascii="Arial" w:hAnsi="Arial"/>
                <w:i/>
                <w:sz w:val="22"/>
                <w:szCs w:val="22"/>
              </w:rPr>
              <w:t>. Psychosomatic Medicine</w:t>
            </w:r>
            <w:r>
              <w:rPr>
                <w:rFonts w:cs="Arial" w:ascii="Arial" w:hAnsi="Arial"/>
                <w:sz w:val="22"/>
                <w:szCs w:val="22"/>
              </w:rPr>
              <w:t xml:space="preserve">, 41, 209 218 </w:t>
            </w:r>
          </w:p>
          <w:p>
            <w:pPr>
              <w:pStyle w:val="Normal"/>
              <w:spacing w:before="0" w:after="0"/>
              <w:contextualSpacing/>
              <w:rPr>
                <w:rFonts w:ascii="Arial" w:hAnsi="Arial" w:eastAsia="Arial" w:cs="Arial"/>
                <w:sz w:val="22"/>
                <w:szCs w:val="22"/>
              </w:rPr>
            </w:pPr>
            <w:r>
              <w:rPr>
                <w:rFonts w:eastAsia="Arial" w:cs="Arial" w:ascii="Arial" w:hAnsi="Arial"/>
                <w:sz w:val="22"/>
                <w:szCs w:val="22"/>
              </w:rPr>
              <w:t xml:space="preserve"> </w:t>
            </w:r>
          </w:p>
          <w:p>
            <w:pPr>
              <w:pStyle w:val="Normal"/>
              <w:spacing w:before="0" w:after="0"/>
              <w:contextualSpacing/>
              <w:rPr/>
            </w:pPr>
            <w:r>
              <w:rPr>
                <w:rFonts w:cs="Arial" w:ascii="Arial" w:hAnsi="Arial"/>
                <w:sz w:val="22"/>
                <w:szCs w:val="22"/>
              </w:rPr>
              <w:t xml:space="preserve">Kuterovac, G., Dyregrov, A.&amp; Stuvland, R. (1994) Children in war: A silent majority under stress. </w:t>
            </w:r>
            <w:r>
              <w:rPr>
                <w:rFonts w:cs="Arial" w:ascii="Arial" w:hAnsi="Arial"/>
                <w:i/>
                <w:sz w:val="22"/>
                <w:szCs w:val="22"/>
              </w:rPr>
              <w:t>British Journal of Medical Psychology</w:t>
            </w:r>
            <w:r>
              <w:rPr>
                <w:rFonts w:cs="Arial" w:ascii="Arial" w:hAnsi="Arial"/>
                <w:sz w:val="22"/>
                <w:szCs w:val="22"/>
              </w:rPr>
              <w:t xml:space="preserve">, 67, 363-375.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xml:space="preserve">Smith, P., Perrin, S., Dyregrov, A. &amp; Yule, W.  (2002) </w:t>
            </w:r>
            <w:r>
              <w:rPr>
                <w:rFonts w:cs="Arial" w:ascii="Arial" w:hAnsi="Arial"/>
                <w:i/>
                <w:sz w:val="22"/>
                <w:szCs w:val="22"/>
              </w:rPr>
              <w:t>Principal components analysis of the Impact of Event Scale with children in war</w:t>
            </w:r>
            <w:r>
              <w:rPr>
                <w:rFonts w:cs="Arial" w:ascii="Arial" w:hAnsi="Arial"/>
                <w:sz w:val="22"/>
                <w:szCs w:val="22"/>
              </w:rPr>
              <w:t xml:space="preserve">. Personality and Individual Differences,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pPr>
            <w:r>
              <w:rPr>
                <w:rFonts w:cs="Arial" w:ascii="Arial" w:hAnsi="Arial"/>
                <w:sz w:val="22"/>
                <w:szCs w:val="22"/>
              </w:rPr>
              <w:t xml:space="preserve">Yule, W. (1992) Post Traumatic stress disorder in child survivors of shipping disasters: The sinking of the "Jupiter". </w:t>
            </w:r>
            <w:r>
              <w:rPr>
                <w:rFonts w:cs="Arial" w:ascii="Arial" w:hAnsi="Arial"/>
                <w:i/>
                <w:sz w:val="22"/>
                <w:szCs w:val="22"/>
              </w:rPr>
              <w:t>Journal of Psychotherapy and Psychosomatics</w:t>
            </w:r>
            <w:r>
              <w:rPr>
                <w:rFonts w:cs="Arial" w:ascii="Arial" w:hAnsi="Arial"/>
                <w:sz w:val="22"/>
                <w:szCs w:val="22"/>
              </w:rPr>
              <w:t>, 57, 200-205.</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Yule, W. (1997) Anxiety, Depression and Post-Traumatic Stress in Childhood.  In I. Sclare (Ed) Child Psychology Portfolio. Windsor: NFER-Nelson</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 xml:space="preserve">Yule, W., Ten Bruggencate, S &amp; Joseph, S. (1994)  Principal components analysis of the Impact of Events Scale in children who survived a shipping disaster.  </w:t>
            </w:r>
            <w:r>
              <w:rPr>
                <w:rFonts w:cs="Arial" w:ascii="Arial" w:hAnsi="Arial"/>
                <w:i/>
                <w:sz w:val="22"/>
                <w:szCs w:val="22"/>
              </w:rPr>
              <w:t>Personality and Individual Differences</w:t>
            </w:r>
            <w:r>
              <w:rPr>
                <w:rFonts w:cs="Arial" w:ascii="Arial" w:hAnsi="Arial"/>
                <w:sz w:val="22"/>
                <w:szCs w:val="22"/>
              </w:rPr>
              <w:t>, 16, 685-691.</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tc>
      </w:tr>
      <w:tr>
        <w:trPr/>
        <w:tc>
          <w:tcPr>
            <w:tcW w:w="1620"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8730"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Expert Review Panel 4 (ERP 4) reviewed the measures in the Neurology, Psychiatric, and Psychosocial domains.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Guidance from ERP 4 included the following:</w:t>
            </w:r>
          </w:p>
          <w:p>
            <w:pPr>
              <w:pStyle w:val="Normal"/>
              <w:numPr>
                <w:ilvl w:val="0"/>
                <w:numId w:val="1"/>
              </w:numPr>
              <w:spacing w:before="0" w:after="0"/>
              <w:contextualSpacing/>
              <w:rPr>
                <w:rFonts w:ascii="Arial" w:hAnsi="Arial" w:cs="Arial"/>
                <w:sz w:val="22"/>
                <w:szCs w:val="22"/>
              </w:rPr>
            </w:pPr>
            <w:r>
              <w:rPr>
                <w:rFonts w:cs="Arial" w:ascii="Arial" w:hAnsi="Arial"/>
                <w:sz w:val="22"/>
                <w:szCs w:val="22"/>
              </w:rPr>
              <w:t>Added new Supplemental Information</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pPr>
    <w:r>
      <w:rPr>
        <w:rFonts w:cs="Arial" w:ascii="Arial" w:hAnsi="Arial"/>
        <w:b/>
        <w:sz w:val="20"/>
        <w:szCs w:val="20"/>
      </w:rPr>
      <w:t>[Depressed Mood]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Psychiatric</w:t>
    </w:r>
  </w:p>
  <w:p>
    <w:pPr>
      <w:pStyle w:val="Normal"/>
      <w:rPr>
        <w:rFonts w:ascii="Arial" w:hAnsi="Arial" w:cs="Arial"/>
        <w:b/>
        <w:b/>
        <w:sz w:val="20"/>
        <w:szCs w:val="20"/>
      </w:rPr>
    </w:pPr>
    <w:r>
      <w:rPr>
        <w:rFonts w:cs="Arial" w:ascii="Arial" w:hAnsi="Arial"/>
        <w:b/>
        <w:sz w:val="20"/>
        <w:szCs w:val="20"/>
      </w:rPr>
      <w:t>Release Date:</w:t>
      <w:tab/>
      <w:tab/>
    </w:r>
  </w:p>
  <w:p>
    <w:pPr>
      <w:pStyle w:val="Normal"/>
      <w:rPr/>
    </w:pPr>
    <w:r>
      <w:rPr>
        <w:rFonts w:cs="Arial" w:ascii="Arial" w:hAnsi="Arial"/>
        <w:b/>
        <w:bCs/>
        <w:sz w:val="20"/>
        <w:szCs w:val="20"/>
      </w:rPr>
      <w:t>[Impact of Events]</w:t>
    </w:r>
    <w:r>
      <w:rPr>
        <w:rFonts w:cs="Arial" w:ascii="Arial" w:hAnsi="Arial"/>
        <w:b/>
        <w:sz w:val="20"/>
        <w:szCs w:val="20"/>
      </w:rPr>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6</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2017-09-12T19:34:00Z</dcterms:created>
  <dc:creator>whuggins</dc:creator>
  <dc:description/>
  <cp:keywords/>
  <dc:language>en-US</dc:language>
  <cp:lastModifiedBy>Huggins, Wayne</cp:lastModifiedBy>
  <cp:lastPrinted>2009-03-24T15:13:00Z</cp:lastPrinted>
  <dcterms:modified xsi:type="dcterms:W3CDTF">2017-10-31T14:18:00Z</dcterms:modified>
  <cp:revision>5</cp:revision>
  <dc:subject/>
  <dc:title/>
</cp:coreProperties>
</file>