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B851" w14:textId="77777777" w:rsidR="003F496E" w:rsidRPr="00981EE2" w:rsidRDefault="003F496E" w:rsidP="00154EFB">
      <w:pPr>
        <w:rPr>
          <w:rFonts w:ascii="Arial" w:hAnsi="Arial" w:cs="Arial"/>
          <w:b/>
          <w:sz w:val="22"/>
          <w:szCs w:val="22"/>
        </w:rPr>
      </w:pPr>
    </w:p>
    <w:tbl>
      <w:tblPr>
        <w:tblW w:w="10940" w:type="dxa"/>
        <w:tblInd w:w="-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5"/>
        <w:gridCol w:w="8695"/>
      </w:tblGrid>
      <w:tr w:rsidR="00BA3E27" w:rsidRPr="00981EE2" w14:paraId="74C8BC0E" w14:textId="77777777" w:rsidTr="00A354B0">
        <w:trPr>
          <w:trHeight w:val="479"/>
        </w:trPr>
        <w:tc>
          <w:tcPr>
            <w:tcW w:w="10940" w:type="dxa"/>
            <w:gridSpan w:val="2"/>
          </w:tcPr>
          <w:p w14:paraId="2EEAF170" w14:textId="77777777" w:rsidR="00BA3E27" w:rsidRPr="00981EE2" w:rsidRDefault="00BA3E27" w:rsidP="00154E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63D32D4" w14:textId="77777777" w:rsidR="00BA3E27" w:rsidRPr="00981EE2" w:rsidRDefault="0007791C" w:rsidP="00154E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About the Measure </w:t>
            </w:r>
          </w:p>
          <w:p w14:paraId="74D39A06" w14:textId="77777777" w:rsidR="00BA3E27" w:rsidRPr="00981EE2" w:rsidRDefault="00BA3E27" w:rsidP="00154E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3E27" w:rsidRPr="00981EE2" w14:paraId="0786E2A2" w14:textId="77777777" w:rsidTr="009A76F2">
        <w:trPr>
          <w:trHeight w:val="5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D9D9D9"/>
          </w:tcPr>
          <w:p w14:paraId="53E36A3C" w14:textId="77777777" w:rsidR="009A76F2" w:rsidRPr="009A76F2" w:rsidRDefault="00F9334E" w:rsidP="009A76F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Domain</w:t>
            </w:r>
            <w:r w:rsidR="00037186"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566F5118" w14:textId="0BE8D455" w:rsidR="006C41DD" w:rsidRPr="00981EE2" w:rsidRDefault="00A674BD" w:rsidP="00154EF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Sickle Cell Disease: Psychosocial and Social Determinants of Health</w:t>
            </w:r>
          </w:p>
        </w:tc>
      </w:tr>
      <w:tr w:rsidR="00BA3E27" w:rsidRPr="00981EE2" w14:paraId="588D29B5" w14:textId="77777777" w:rsidTr="009A76F2">
        <w:trPr>
          <w:trHeight w:val="58"/>
        </w:trPr>
        <w:tc>
          <w:tcPr>
            <w:tcW w:w="2245" w:type="dxa"/>
            <w:tcBorders>
              <w:bottom w:val="single" w:sz="4" w:space="0" w:color="auto"/>
            </w:tcBorders>
            <w:shd w:val="clear" w:color="auto" w:fill="auto"/>
          </w:tcPr>
          <w:p w14:paraId="5CB11D51" w14:textId="77777777" w:rsidR="00BA3E27" w:rsidRPr="00981EE2" w:rsidRDefault="00F9334E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Measure</w:t>
            </w:r>
            <w:r w:rsidR="00037186"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11BE9CAC" w14:textId="381CF408" w:rsidR="006C41DD" w:rsidRPr="00981EE2" w:rsidRDefault="00A674BD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Optimism</w:t>
            </w:r>
          </w:p>
        </w:tc>
      </w:tr>
      <w:tr w:rsidR="00BA3E27" w:rsidRPr="00981EE2" w14:paraId="4D40D38B" w14:textId="77777777" w:rsidTr="009A76F2">
        <w:trPr>
          <w:trHeight w:val="58"/>
        </w:trPr>
        <w:tc>
          <w:tcPr>
            <w:tcW w:w="2245" w:type="dxa"/>
            <w:shd w:val="clear" w:color="auto" w:fill="D9D9D9"/>
          </w:tcPr>
          <w:p w14:paraId="3A85D993" w14:textId="77777777" w:rsidR="00A14486" w:rsidRPr="00981EE2" w:rsidRDefault="0005500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Definition</w:t>
            </w:r>
            <w:r w:rsidR="009A76F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3BF8A78E" w14:textId="24AF3787" w:rsidR="00A354B0" w:rsidRPr="00A674BD" w:rsidRDefault="00A674BD" w:rsidP="004432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Optimism is the generalized expectation that good things will happen.</w:t>
            </w:r>
          </w:p>
        </w:tc>
      </w:tr>
      <w:tr w:rsidR="00366447" w:rsidRPr="00981EE2" w14:paraId="4B4F24FE" w14:textId="77777777" w:rsidTr="009A76F2">
        <w:trPr>
          <w:trHeight w:val="58"/>
        </w:trPr>
        <w:tc>
          <w:tcPr>
            <w:tcW w:w="2245" w:type="dxa"/>
          </w:tcPr>
          <w:p w14:paraId="4B0056FC" w14:textId="77777777" w:rsidR="00A02104" w:rsidRPr="00981EE2" w:rsidRDefault="00366447" w:rsidP="00154E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Purpose</w:t>
            </w:r>
            <w:r w:rsidR="00037186"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6715D311" w14:textId="03946429" w:rsidR="00F63900" w:rsidRPr="00A674BD" w:rsidRDefault="00A674BD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This measure assesses a baseline optimism level from a patient population. Optimism has been associated with pain medication use and healthcare utilization, which is especially relevant in a chronic disease population such as sickle cell disease.</w:t>
            </w:r>
          </w:p>
        </w:tc>
      </w:tr>
      <w:tr w:rsidR="004C6528" w:rsidRPr="00981EE2" w14:paraId="1A93DD91" w14:textId="77777777" w:rsidTr="009A76F2">
        <w:trPr>
          <w:trHeight w:val="107"/>
        </w:trPr>
        <w:tc>
          <w:tcPr>
            <w:tcW w:w="2245" w:type="dxa"/>
            <w:shd w:val="clear" w:color="auto" w:fill="D9D9D9"/>
          </w:tcPr>
          <w:p w14:paraId="364AFABE" w14:textId="77777777" w:rsidR="004C6528" w:rsidRPr="00981EE2" w:rsidRDefault="004C652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  <w:r w:rsidR="00932760">
              <w:rPr>
                <w:rFonts w:ascii="Arial" w:hAnsi="Arial" w:cs="Arial"/>
                <w:b/>
                <w:sz w:val="22"/>
                <w:szCs w:val="22"/>
              </w:rPr>
              <w:t xml:space="preserve">PhenX </w:t>
            </w:r>
            <w:r>
              <w:rPr>
                <w:rFonts w:ascii="Arial" w:hAnsi="Arial" w:cs="Arial"/>
                <w:b/>
                <w:sz w:val="22"/>
                <w:szCs w:val="22"/>
              </w:rPr>
              <w:t>Measures</w:t>
            </w:r>
            <w:r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695" w:type="dxa"/>
          </w:tcPr>
          <w:p w14:paraId="75821606" w14:textId="3A615431" w:rsidR="004C6528" w:rsidRPr="00A674BD" w:rsidRDefault="0002559C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applicable.</w:t>
            </w:r>
          </w:p>
        </w:tc>
      </w:tr>
      <w:tr w:rsidR="004C6528" w:rsidRPr="00981EE2" w14:paraId="6608A233" w14:textId="77777777" w:rsidTr="009A76F2">
        <w:trPr>
          <w:trHeight w:val="58"/>
        </w:trPr>
        <w:tc>
          <w:tcPr>
            <w:tcW w:w="2245" w:type="dxa"/>
          </w:tcPr>
          <w:p w14:paraId="35A7C10B" w14:textId="77777777" w:rsidR="004C6528" w:rsidRPr="00981EE2" w:rsidRDefault="004C6528" w:rsidP="0038448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Related PhenX Measures:</w:t>
            </w:r>
          </w:p>
        </w:tc>
        <w:tc>
          <w:tcPr>
            <w:tcW w:w="8695" w:type="dxa"/>
          </w:tcPr>
          <w:p w14:paraId="7FA593C4" w14:textId="42E79DE3" w:rsidR="004C6528" w:rsidRPr="00A674BD" w:rsidRDefault="0002559C" w:rsidP="004C652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 applicable. </w:t>
            </w:r>
          </w:p>
          <w:p w14:paraId="0E22BF11" w14:textId="77777777" w:rsidR="004C6528" w:rsidRPr="00A674BD" w:rsidRDefault="004C6528" w:rsidP="004C65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6528" w:rsidRPr="00981EE2" w14:paraId="6345FFB8" w14:textId="77777777" w:rsidTr="009A76F2">
        <w:trPr>
          <w:trHeight w:val="71"/>
        </w:trPr>
        <w:tc>
          <w:tcPr>
            <w:tcW w:w="2245" w:type="dxa"/>
            <w:shd w:val="clear" w:color="auto" w:fill="D9D9D9"/>
          </w:tcPr>
          <w:p w14:paraId="7443731D" w14:textId="77777777" w:rsidR="004C6528" w:rsidRPr="00981EE2" w:rsidRDefault="004C6528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Measure Release Date:</w:t>
            </w:r>
          </w:p>
        </w:tc>
        <w:tc>
          <w:tcPr>
            <w:tcW w:w="8695" w:type="dxa"/>
          </w:tcPr>
          <w:p w14:paraId="5AA411A6" w14:textId="77777777" w:rsidR="004C6528" w:rsidRPr="00A674BD" w:rsidRDefault="004C6528" w:rsidP="004C652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701DB3" w14:textId="77777777" w:rsidR="008B4EA6" w:rsidRPr="00981EE2" w:rsidRDefault="008B4EA6" w:rsidP="00154EFB">
      <w:pPr>
        <w:rPr>
          <w:rFonts w:ascii="Arial" w:hAnsi="Arial" w:cs="Arial"/>
          <w:sz w:val="22"/>
          <w:szCs w:val="22"/>
        </w:rPr>
      </w:pPr>
    </w:p>
    <w:p w14:paraId="5B300610" w14:textId="77777777" w:rsidR="008B4EA6" w:rsidRPr="00981EE2" w:rsidRDefault="008B4EA6" w:rsidP="00154EFB">
      <w:pPr>
        <w:rPr>
          <w:rFonts w:ascii="Arial" w:hAnsi="Arial" w:cs="Arial"/>
          <w:sz w:val="22"/>
          <w:szCs w:val="22"/>
        </w:rPr>
      </w:pPr>
    </w:p>
    <w:p w14:paraId="5C6569D4" w14:textId="77777777" w:rsidR="003F496E" w:rsidRPr="00981EE2" w:rsidRDefault="003F496E" w:rsidP="00154EFB">
      <w:pPr>
        <w:rPr>
          <w:rFonts w:ascii="Arial" w:hAnsi="Arial" w:cs="Arial"/>
          <w:b/>
          <w:sz w:val="22"/>
          <w:szCs w:val="22"/>
        </w:rPr>
      </w:pPr>
    </w:p>
    <w:tbl>
      <w:tblPr>
        <w:tblW w:w="10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1"/>
        <w:gridCol w:w="7945"/>
      </w:tblGrid>
      <w:tr w:rsidR="003F496E" w:rsidRPr="00981EE2" w14:paraId="6E43DD85" w14:textId="77777777" w:rsidTr="00D46729">
        <w:trPr>
          <w:trHeight w:val="420"/>
          <w:jc w:val="center"/>
        </w:trPr>
        <w:tc>
          <w:tcPr>
            <w:tcW w:w="10896" w:type="dxa"/>
            <w:gridSpan w:val="2"/>
          </w:tcPr>
          <w:p w14:paraId="3999D7F0" w14:textId="77777777" w:rsidR="006C41DD" w:rsidRPr="00981EE2" w:rsidRDefault="00376CF0" w:rsidP="00154E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About </w:t>
            </w:r>
            <w:r w:rsidR="0029042F" w:rsidRPr="00981EE2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3F496E" w:rsidRPr="00981EE2">
              <w:rPr>
                <w:rFonts w:ascii="Arial" w:hAnsi="Arial" w:cs="Arial"/>
                <w:b/>
                <w:sz w:val="22"/>
                <w:szCs w:val="22"/>
              </w:rPr>
              <w:t>Protocol</w:t>
            </w:r>
            <w:r w:rsidR="0029042F" w:rsidRPr="00981EE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5DFDD792" w14:textId="77777777" w:rsidR="007F7390" w:rsidRPr="00981EE2" w:rsidRDefault="007F7390" w:rsidP="000825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53427" w:rsidRPr="00981EE2" w14:paraId="217325AE" w14:textId="77777777" w:rsidTr="00D46729">
        <w:trPr>
          <w:trHeight w:val="71"/>
          <w:jc w:val="center"/>
        </w:trPr>
        <w:tc>
          <w:tcPr>
            <w:tcW w:w="2951" w:type="dxa"/>
            <w:shd w:val="clear" w:color="auto" w:fill="auto"/>
          </w:tcPr>
          <w:p w14:paraId="3C961D38" w14:textId="77777777" w:rsidR="00C53427" w:rsidRPr="00981EE2" w:rsidRDefault="00C53427" w:rsidP="00BF5AF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Release Date:</w:t>
            </w:r>
          </w:p>
        </w:tc>
        <w:tc>
          <w:tcPr>
            <w:tcW w:w="7945" w:type="dxa"/>
          </w:tcPr>
          <w:p w14:paraId="65EBC861" w14:textId="77777777" w:rsidR="00C53427" w:rsidRPr="00981EE2" w:rsidRDefault="00C53427" w:rsidP="00154EFB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</w:p>
        </w:tc>
      </w:tr>
      <w:tr w:rsidR="00542C20" w:rsidRPr="00981EE2" w14:paraId="02634AFA" w14:textId="77777777" w:rsidTr="00D46729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59794207" w14:textId="77777777" w:rsidR="00A02104" w:rsidRDefault="00542C20" w:rsidP="004C65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PhenX Protocol Name</w:t>
            </w:r>
            <w:r w:rsidR="003D284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1BE6DAC4" w14:textId="2FA342E0" w:rsidR="00542C20" w:rsidRDefault="00A674BD" w:rsidP="0064210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Optimism </w:t>
            </w:r>
          </w:p>
        </w:tc>
      </w:tr>
      <w:tr w:rsidR="00591B5E" w:rsidRPr="00981EE2" w14:paraId="4839EB09" w14:textId="77777777" w:rsidTr="00D46729">
        <w:trPr>
          <w:trHeight w:val="58"/>
          <w:jc w:val="center"/>
        </w:trPr>
        <w:tc>
          <w:tcPr>
            <w:tcW w:w="2951" w:type="dxa"/>
            <w:shd w:val="clear" w:color="auto" w:fill="auto"/>
          </w:tcPr>
          <w:p w14:paraId="36400E05" w14:textId="77777777" w:rsidR="00591B5E" w:rsidRDefault="00591B5E" w:rsidP="00591B5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Keywords: </w:t>
            </w:r>
          </w:p>
        </w:tc>
        <w:tc>
          <w:tcPr>
            <w:tcW w:w="7945" w:type="dxa"/>
          </w:tcPr>
          <w:p w14:paraId="5266AE4F" w14:textId="1B7E4A3F" w:rsidR="00591B5E" w:rsidRPr="00DB6631" w:rsidRDefault="00DB6631" w:rsidP="00591B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Optimism, sickle cell disease, emotion, resilience, spirituality, coping, LOT-R, life orientation test, psychosocial, mood, feelings</w:t>
            </w:r>
          </w:p>
        </w:tc>
      </w:tr>
      <w:tr w:rsidR="004C6528" w:rsidRPr="00981EE2" w14:paraId="3D0B5889" w14:textId="77777777" w:rsidTr="00D46729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70FA860B" w14:textId="77777777" w:rsidR="004C6528" w:rsidRPr="00981EE2" w:rsidRDefault="004C6528" w:rsidP="009A76F2">
            <w:pPr>
              <w:shd w:val="clear" w:color="auto" w:fill="D9D9D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Name</w:t>
            </w:r>
            <w:r w:rsidR="00F67CF6">
              <w:rPr>
                <w:rFonts w:ascii="Arial" w:hAnsi="Arial" w:cs="Arial"/>
                <w:b/>
                <w:sz w:val="22"/>
                <w:szCs w:val="22"/>
              </w:rPr>
              <w:t xml:space="preserve"> from Source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55F542AA" w14:textId="4AA0EF3F" w:rsidR="004D086D" w:rsidRPr="00DB6631" w:rsidRDefault="00DB6631" w:rsidP="005F25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Life Orientation Test </w:t>
            </w:r>
            <w:r w:rsidR="00760412">
              <w:rPr>
                <w:rFonts w:ascii="Arial" w:hAnsi="Arial" w:cs="Arial"/>
                <w:sz w:val="22"/>
                <w:szCs w:val="22"/>
              </w:rPr>
              <w:t xml:space="preserve">- </w:t>
            </w:r>
            <w:r>
              <w:rPr>
                <w:rFonts w:ascii="Arial" w:hAnsi="Arial" w:cs="Arial"/>
                <w:sz w:val="22"/>
                <w:szCs w:val="22"/>
              </w:rPr>
              <w:t>Revised (LOT-R)</w:t>
            </w:r>
          </w:p>
        </w:tc>
      </w:tr>
      <w:tr w:rsidR="00CE28B1" w:rsidRPr="00981EE2" w14:paraId="5EA60544" w14:textId="77777777" w:rsidTr="00D46729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7750655F" w14:textId="77777777" w:rsidR="00CE28B1" w:rsidRPr="00981EE2" w:rsidRDefault="00CE28B1" w:rsidP="00CE28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Description:</w:t>
            </w:r>
          </w:p>
        </w:tc>
        <w:tc>
          <w:tcPr>
            <w:tcW w:w="7945" w:type="dxa"/>
          </w:tcPr>
          <w:p w14:paraId="624DD30A" w14:textId="15C35295" w:rsidR="00D35C33" w:rsidRPr="00DB6631" w:rsidRDefault="00D35C33" w:rsidP="00CE2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Revised Life Orientation Test (LOT-R) is a 10-item scale used to evaluate baseline optimism. Participants respond to statements with a 0-4 </w:t>
            </w:r>
            <w:r w:rsidR="00016F0C">
              <w:rPr>
                <w:rFonts w:ascii="Arial" w:hAnsi="Arial" w:cs="Arial"/>
                <w:sz w:val="22"/>
                <w:szCs w:val="22"/>
              </w:rPr>
              <w:t xml:space="preserve">Likert scale ranging from strongly disagree (0) to strongly agree (4). </w:t>
            </w:r>
            <w:r>
              <w:rPr>
                <w:rFonts w:ascii="Arial" w:hAnsi="Arial" w:cs="Arial"/>
                <w:sz w:val="22"/>
                <w:szCs w:val="22"/>
              </w:rPr>
              <w:t>Scores can range from 0</w:t>
            </w:r>
            <w:r w:rsidR="00816970">
              <w:rPr>
                <w:rFonts w:ascii="Arial" w:hAnsi="Arial" w:cs="Arial"/>
                <w:sz w:val="22"/>
                <w:szCs w:val="22"/>
              </w:rPr>
              <w:t xml:space="preserve"> to </w:t>
            </w:r>
            <w:r>
              <w:rPr>
                <w:rFonts w:ascii="Arial" w:hAnsi="Arial" w:cs="Arial"/>
                <w:sz w:val="22"/>
                <w:szCs w:val="22"/>
              </w:rPr>
              <w:t xml:space="preserve">24, with a higher score indicating more optimistic tendencies and attitudes, which have been attributed to positive associations with psychological and physiological </w:t>
            </w:r>
            <w:r w:rsidR="0080270B">
              <w:rPr>
                <w:rFonts w:ascii="Arial" w:hAnsi="Arial" w:cs="Arial"/>
                <w:sz w:val="22"/>
                <w:szCs w:val="22"/>
              </w:rPr>
              <w:t>outcomes.</w:t>
            </w:r>
          </w:p>
        </w:tc>
      </w:tr>
      <w:tr w:rsidR="00CE28B1" w:rsidRPr="00981EE2" w14:paraId="4298D2F1" w14:textId="77777777" w:rsidTr="00D46729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2224EB5B" w14:textId="77777777" w:rsidR="00CE28B1" w:rsidRPr="00981EE2" w:rsidRDefault="00CE28B1" w:rsidP="00CE28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Specific Instructions:</w:t>
            </w:r>
          </w:p>
        </w:tc>
        <w:tc>
          <w:tcPr>
            <w:tcW w:w="7945" w:type="dxa"/>
          </w:tcPr>
          <w:p w14:paraId="7D65B9E0" w14:textId="2AE9E59E" w:rsidR="00CE28B1" w:rsidRPr="00DB6631" w:rsidRDefault="006D3300" w:rsidP="00CE28B1">
            <w:pPr>
              <w:rPr>
                <w:rFonts w:ascii="Arial" w:hAnsi="Arial" w:cs="Arial"/>
                <w:sz w:val="22"/>
                <w:szCs w:val="22"/>
              </w:rPr>
            </w:pPr>
            <w:r w:rsidRPr="0024414B">
              <w:rPr>
                <w:rFonts w:ascii="Arial" w:hAnsi="Arial" w:cs="Arial"/>
                <w:sz w:val="22"/>
                <w:szCs w:val="22"/>
              </w:rPr>
              <w:t>This measure was developed in the United States</w:t>
            </w:r>
            <w:r w:rsidR="00816970">
              <w:rPr>
                <w:rFonts w:ascii="Arial" w:hAnsi="Arial" w:cs="Arial"/>
                <w:sz w:val="22"/>
                <w:szCs w:val="22"/>
              </w:rPr>
              <w:t>,</w:t>
            </w:r>
            <w:r w:rsidRPr="0024414B">
              <w:rPr>
                <w:rFonts w:ascii="Arial" w:hAnsi="Arial" w:cs="Arial"/>
                <w:sz w:val="22"/>
                <w:szCs w:val="22"/>
              </w:rPr>
              <w:t xml:space="preserve"> and the prompts may not reflect the concept of optimism for populations outside of the U</w:t>
            </w:r>
            <w:r w:rsidR="00816970">
              <w:rPr>
                <w:rFonts w:ascii="Arial" w:hAnsi="Arial" w:cs="Arial"/>
                <w:sz w:val="22"/>
                <w:szCs w:val="22"/>
              </w:rPr>
              <w:t xml:space="preserve">nited </w:t>
            </w:r>
            <w:r w:rsidRPr="0024414B">
              <w:rPr>
                <w:rFonts w:ascii="Arial" w:hAnsi="Arial" w:cs="Arial"/>
                <w:sz w:val="22"/>
                <w:szCs w:val="22"/>
              </w:rPr>
              <w:t>S</w:t>
            </w:r>
            <w:r w:rsidR="00816970">
              <w:rPr>
                <w:rFonts w:ascii="Arial" w:hAnsi="Arial" w:cs="Arial"/>
                <w:sz w:val="22"/>
                <w:szCs w:val="22"/>
              </w:rPr>
              <w:t>tates</w:t>
            </w:r>
            <w:r w:rsidRPr="0024414B">
              <w:rPr>
                <w:rFonts w:ascii="Arial" w:hAnsi="Arial" w:cs="Arial"/>
                <w:sz w:val="22"/>
                <w:szCs w:val="22"/>
              </w:rPr>
              <w:t xml:space="preserve"> or other cultures.</w:t>
            </w:r>
          </w:p>
        </w:tc>
      </w:tr>
      <w:tr w:rsidR="00CE28B1" w:rsidRPr="00981EE2" w14:paraId="3A786E19" w14:textId="77777777" w:rsidTr="00D46729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7BE13818" w14:textId="77777777" w:rsidR="00CE28B1" w:rsidRPr="00981EE2" w:rsidRDefault="00CE28B1" w:rsidP="00CE28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Protocol:</w:t>
            </w:r>
          </w:p>
        </w:tc>
        <w:tc>
          <w:tcPr>
            <w:tcW w:w="7945" w:type="dxa"/>
          </w:tcPr>
          <w:p w14:paraId="3F5B1FC5" w14:textId="77777777" w:rsidR="00CE28B1" w:rsidRDefault="00CE28B1" w:rsidP="00CE28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Revised Life Orientation Test (LOT-R)</w:t>
            </w:r>
          </w:p>
          <w:p w14:paraId="65A248A3" w14:textId="77777777" w:rsidR="00CE28B1" w:rsidRDefault="00CE28B1" w:rsidP="00CE28B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28697534" w14:textId="77777777" w:rsidR="00CE28B1" w:rsidRDefault="00CE28B1" w:rsidP="00CE2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Instructions:</w:t>
            </w:r>
          </w:p>
          <w:p w14:paraId="16C41A91" w14:textId="77777777" w:rsidR="00CE28B1" w:rsidRDefault="00CE28B1" w:rsidP="00CE2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answer the following questions about yourself by indicating the extent of your agreement using the following scale</w:t>
            </w:r>
            <w:r w:rsidR="00660D51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05806BD" w14:textId="77777777" w:rsidR="00660D51" w:rsidRDefault="00660D51" w:rsidP="00CE2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20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1"/>
              <w:gridCol w:w="439"/>
              <w:gridCol w:w="1980"/>
            </w:tblGrid>
            <w:tr w:rsidR="00660D51" w14:paraId="0AD56F2B" w14:textId="77777777" w:rsidTr="00660D51">
              <w:tc>
                <w:tcPr>
                  <w:tcW w:w="461" w:type="dxa"/>
                </w:tcPr>
                <w:p w14:paraId="6B1DC316" w14:textId="57BAA74A" w:rsidR="00660D51" w:rsidRDefault="00660D51" w:rsidP="00660D5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[0]</w:t>
                  </w:r>
                </w:p>
              </w:tc>
              <w:tc>
                <w:tcPr>
                  <w:tcW w:w="439" w:type="dxa"/>
                </w:tcPr>
                <w:p w14:paraId="6FD20226" w14:textId="2EB0A264" w:rsidR="00660D51" w:rsidRDefault="00660D51" w:rsidP="00660D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1980" w:type="dxa"/>
                </w:tcPr>
                <w:p w14:paraId="66A96004" w14:textId="2E77D4B1" w:rsidR="00660D51" w:rsidRDefault="00660D51" w:rsidP="00CE28B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strongly disagree</w:t>
                  </w:r>
                </w:p>
              </w:tc>
            </w:tr>
            <w:tr w:rsidR="00660D51" w14:paraId="05997133" w14:textId="77777777" w:rsidTr="00660D51">
              <w:tc>
                <w:tcPr>
                  <w:tcW w:w="461" w:type="dxa"/>
                </w:tcPr>
                <w:p w14:paraId="391685CF" w14:textId="223BF911" w:rsidR="00660D51" w:rsidRDefault="00660D51" w:rsidP="00660D5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[1]</w:t>
                  </w:r>
                </w:p>
              </w:tc>
              <w:tc>
                <w:tcPr>
                  <w:tcW w:w="439" w:type="dxa"/>
                </w:tcPr>
                <w:p w14:paraId="30183117" w14:textId="71CED52B" w:rsidR="00660D51" w:rsidRDefault="00660D51" w:rsidP="00660D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1980" w:type="dxa"/>
                </w:tcPr>
                <w:p w14:paraId="2B1FFF7F" w14:textId="3DCC487E" w:rsidR="00660D51" w:rsidRDefault="00660D51" w:rsidP="00CE28B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disagree</w:t>
                  </w:r>
                </w:p>
              </w:tc>
            </w:tr>
            <w:tr w:rsidR="00660D51" w14:paraId="2D8C5B63" w14:textId="77777777" w:rsidTr="00660D51">
              <w:tc>
                <w:tcPr>
                  <w:tcW w:w="461" w:type="dxa"/>
                </w:tcPr>
                <w:p w14:paraId="6A985EA2" w14:textId="22C8971C" w:rsidR="00660D51" w:rsidRDefault="00660D51" w:rsidP="00660D5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[2]</w:t>
                  </w:r>
                </w:p>
              </w:tc>
              <w:tc>
                <w:tcPr>
                  <w:tcW w:w="439" w:type="dxa"/>
                </w:tcPr>
                <w:p w14:paraId="72735406" w14:textId="0459CF1D" w:rsidR="00660D51" w:rsidRDefault="00660D51" w:rsidP="00660D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1980" w:type="dxa"/>
                </w:tcPr>
                <w:p w14:paraId="4D6B6EF4" w14:textId="3ABD46EA" w:rsidR="00660D51" w:rsidRDefault="00660D51" w:rsidP="00CE28B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neutral</w:t>
                  </w:r>
                </w:p>
              </w:tc>
            </w:tr>
            <w:tr w:rsidR="00660D51" w14:paraId="5CEA3AE5" w14:textId="77777777" w:rsidTr="00660D51">
              <w:tc>
                <w:tcPr>
                  <w:tcW w:w="461" w:type="dxa"/>
                </w:tcPr>
                <w:p w14:paraId="7C9AA925" w14:textId="719081F6" w:rsidR="00660D51" w:rsidRDefault="00660D51" w:rsidP="00660D5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[3]</w:t>
                  </w:r>
                </w:p>
              </w:tc>
              <w:tc>
                <w:tcPr>
                  <w:tcW w:w="439" w:type="dxa"/>
                </w:tcPr>
                <w:p w14:paraId="5457FBE2" w14:textId="4FD6BEFD" w:rsidR="00660D51" w:rsidRDefault="00660D51" w:rsidP="00660D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1980" w:type="dxa"/>
                </w:tcPr>
                <w:p w14:paraId="4E66E84A" w14:textId="6C6A5C92" w:rsidR="00660D51" w:rsidRDefault="00660D51" w:rsidP="00CE28B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agree</w:t>
                  </w:r>
                </w:p>
              </w:tc>
            </w:tr>
            <w:tr w:rsidR="00660D51" w14:paraId="4437726F" w14:textId="77777777" w:rsidTr="00660D51">
              <w:tc>
                <w:tcPr>
                  <w:tcW w:w="461" w:type="dxa"/>
                </w:tcPr>
                <w:p w14:paraId="20E23F21" w14:textId="0AF65882" w:rsidR="00660D51" w:rsidRDefault="00660D51" w:rsidP="00660D51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[4]</w:t>
                  </w:r>
                </w:p>
              </w:tc>
              <w:tc>
                <w:tcPr>
                  <w:tcW w:w="439" w:type="dxa"/>
                </w:tcPr>
                <w:p w14:paraId="229CA9F6" w14:textId="27AE34CA" w:rsidR="00660D51" w:rsidRDefault="00660D51" w:rsidP="00660D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=</w:t>
                  </w:r>
                </w:p>
              </w:tc>
              <w:tc>
                <w:tcPr>
                  <w:tcW w:w="1980" w:type="dxa"/>
                </w:tcPr>
                <w:p w14:paraId="6F30F517" w14:textId="54573B7C" w:rsidR="00660D51" w:rsidRDefault="00660D51" w:rsidP="00CE28B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strongly agree</w:t>
                  </w:r>
                </w:p>
              </w:tc>
            </w:tr>
          </w:tbl>
          <w:p w14:paraId="3CF15C05" w14:textId="77777777" w:rsidR="00660D51" w:rsidRDefault="00660D51" w:rsidP="00CE2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20C70063" w14:textId="5896FD1E" w:rsidR="00660D51" w:rsidRDefault="00660D51" w:rsidP="00CE2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 as honest as you can throughout, and try not to let your responses to one question influence your response to other questions. There are no right or wrong answers.</w:t>
            </w:r>
          </w:p>
          <w:p w14:paraId="36902DBA" w14:textId="77777777" w:rsidR="00660D51" w:rsidRDefault="00660D51" w:rsidP="00CE2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5"/>
              <w:gridCol w:w="3075"/>
              <w:gridCol w:w="810"/>
              <w:gridCol w:w="990"/>
              <w:gridCol w:w="810"/>
              <w:gridCol w:w="900"/>
              <w:gridCol w:w="619"/>
            </w:tblGrid>
            <w:tr w:rsidR="00016F0C" w14:paraId="51B37EE1" w14:textId="41073396" w:rsidTr="00016F0C">
              <w:tc>
                <w:tcPr>
                  <w:tcW w:w="525" w:type="dxa"/>
                </w:tcPr>
                <w:p w14:paraId="0FD95E83" w14:textId="6FDFCAE9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1.</w:t>
                  </w:r>
                </w:p>
              </w:tc>
              <w:tc>
                <w:tcPr>
                  <w:tcW w:w="3075" w:type="dxa"/>
                </w:tcPr>
                <w:p w14:paraId="210B8329" w14:textId="5A1C067E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In uncertain times, I usually expect the best.</w:t>
                  </w:r>
                </w:p>
              </w:tc>
              <w:tc>
                <w:tcPr>
                  <w:tcW w:w="810" w:type="dxa"/>
                </w:tcPr>
                <w:p w14:paraId="3C08289E" w14:textId="49889A51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0" w:type="dxa"/>
                </w:tcPr>
                <w:p w14:paraId="200AF95C" w14:textId="272438ED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14:paraId="5E744644" w14:textId="66A3F489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8099DE6" w14:textId="1B0CE661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19" w:type="dxa"/>
                </w:tcPr>
                <w:p w14:paraId="4C52D809" w14:textId="5B766511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</w:tr>
            <w:tr w:rsidR="00016F0C" w14:paraId="650F99A3" w14:textId="2136A33E" w:rsidTr="00016F0C">
              <w:tc>
                <w:tcPr>
                  <w:tcW w:w="525" w:type="dxa"/>
                </w:tcPr>
                <w:p w14:paraId="12C0C0D6" w14:textId="5B65A6F5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3075" w:type="dxa"/>
                </w:tcPr>
                <w:p w14:paraId="07B27A6F" w14:textId="0BFF9333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It’s easy for me to relax.</w:t>
                  </w:r>
                </w:p>
              </w:tc>
              <w:tc>
                <w:tcPr>
                  <w:tcW w:w="810" w:type="dxa"/>
                </w:tcPr>
                <w:p w14:paraId="6FF5C4B1" w14:textId="681019B6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0" w:type="dxa"/>
                </w:tcPr>
                <w:p w14:paraId="4287B495" w14:textId="4CB74178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14:paraId="1AB2CA20" w14:textId="2D577714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D5D1FA3" w14:textId="0F8015FB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19" w:type="dxa"/>
                </w:tcPr>
                <w:p w14:paraId="4821506C" w14:textId="3FD7FE3F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</w:tr>
            <w:tr w:rsidR="00016F0C" w14:paraId="2200C753" w14:textId="41172357" w:rsidTr="00016F0C">
              <w:tc>
                <w:tcPr>
                  <w:tcW w:w="525" w:type="dxa"/>
                </w:tcPr>
                <w:p w14:paraId="06F87880" w14:textId="012DC7A9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075" w:type="dxa"/>
                </w:tcPr>
                <w:p w14:paraId="05337449" w14:textId="2E0034BD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If something can go wrong for me, it will.</w:t>
                  </w:r>
                </w:p>
              </w:tc>
              <w:tc>
                <w:tcPr>
                  <w:tcW w:w="810" w:type="dxa"/>
                </w:tcPr>
                <w:p w14:paraId="6A9B8BCB" w14:textId="5C419C57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0" w:type="dxa"/>
                </w:tcPr>
                <w:p w14:paraId="6C4EE840" w14:textId="5C178D32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14:paraId="36B9BDBF" w14:textId="0E909DF8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41743231" w14:textId="5D08EEA9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19" w:type="dxa"/>
                </w:tcPr>
                <w:p w14:paraId="2FB38DDC" w14:textId="3AB8B2BF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</w:tr>
            <w:tr w:rsidR="00016F0C" w14:paraId="5F279CA2" w14:textId="1655EED1" w:rsidTr="00016F0C">
              <w:tc>
                <w:tcPr>
                  <w:tcW w:w="525" w:type="dxa"/>
                </w:tcPr>
                <w:p w14:paraId="6DE01E12" w14:textId="4E7F6C88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3075" w:type="dxa"/>
                </w:tcPr>
                <w:p w14:paraId="49EE89C1" w14:textId="22FC3404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I’m always optimistic about my future.</w:t>
                  </w:r>
                </w:p>
              </w:tc>
              <w:tc>
                <w:tcPr>
                  <w:tcW w:w="810" w:type="dxa"/>
                </w:tcPr>
                <w:p w14:paraId="2BA688C1" w14:textId="5AAE0BB2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0" w:type="dxa"/>
                </w:tcPr>
                <w:p w14:paraId="2ED922CA" w14:textId="6203A259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14:paraId="390E2430" w14:textId="407825BF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6C22D188" w14:textId="5C4CDC10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19" w:type="dxa"/>
                </w:tcPr>
                <w:p w14:paraId="79B77CBF" w14:textId="0BA33D30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</w:tr>
            <w:tr w:rsidR="00016F0C" w14:paraId="0D4B76FD" w14:textId="0F39ADC4" w:rsidTr="00016F0C">
              <w:tc>
                <w:tcPr>
                  <w:tcW w:w="525" w:type="dxa"/>
                </w:tcPr>
                <w:p w14:paraId="566C68A6" w14:textId="2928B38A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075" w:type="dxa"/>
                </w:tcPr>
                <w:p w14:paraId="17F78239" w14:textId="0B67E61F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 enjoy my friends a lot.</w:t>
                  </w:r>
                </w:p>
              </w:tc>
              <w:tc>
                <w:tcPr>
                  <w:tcW w:w="810" w:type="dxa"/>
                </w:tcPr>
                <w:p w14:paraId="535723BE" w14:textId="106F1915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0" w:type="dxa"/>
                </w:tcPr>
                <w:p w14:paraId="51031327" w14:textId="1121E86A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14:paraId="0242A8E5" w14:textId="5CDDDD4F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73C3BA35" w14:textId="467FFF62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19" w:type="dxa"/>
                </w:tcPr>
                <w:p w14:paraId="32CBEDC7" w14:textId="37752AB8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</w:tr>
            <w:tr w:rsidR="00016F0C" w14:paraId="739EE02A" w14:textId="546DC043" w:rsidTr="00016F0C">
              <w:tc>
                <w:tcPr>
                  <w:tcW w:w="525" w:type="dxa"/>
                </w:tcPr>
                <w:p w14:paraId="2F7AFE87" w14:textId="5524D613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3075" w:type="dxa"/>
                </w:tcPr>
                <w:p w14:paraId="1C834947" w14:textId="4BD160E3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It’s important for me to keep busy.</w:t>
                  </w:r>
                </w:p>
              </w:tc>
              <w:tc>
                <w:tcPr>
                  <w:tcW w:w="810" w:type="dxa"/>
                </w:tcPr>
                <w:p w14:paraId="467DBED6" w14:textId="24F49FB3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0" w:type="dxa"/>
                </w:tcPr>
                <w:p w14:paraId="610EEE22" w14:textId="579F5B1C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14:paraId="4814661C" w14:textId="17772D25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38E38CCD" w14:textId="520BB477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19" w:type="dxa"/>
                </w:tcPr>
                <w:p w14:paraId="1175A36F" w14:textId="261712C6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</w:tr>
            <w:tr w:rsidR="00016F0C" w14:paraId="47FE7926" w14:textId="690B8BAD" w:rsidTr="00016F0C">
              <w:tc>
                <w:tcPr>
                  <w:tcW w:w="525" w:type="dxa"/>
                </w:tcPr>
                <w:p w14:paraId="7CF6F283" w14:textId="7CBF7D56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3075" w:type="dxa"/>
                </w:tcPr>
                <w:p w14:paraId="28C27B3C" w14:textId="24CD7143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 hardly ever expect things to go my way.</w:t>
                  </w:r>
                </w:p>
              </w:tc>
              <w:tc>
                <w:tcPr>
                  <w:tcW w:w="810" w:type="dxa"/>
                </w:tcPr>
                <w:p w14:paraId="696F34E4" w14:textId="5E37EBBA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0" w:type="dxa"/>
                </w:tcPr>
                <w:p w14:paraId="6A4CF22E" w14:textId="225B2872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14:paraId="3819A51E" w14:textId="1E2B6A25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C44FFC4" w14:textId="0293C0EC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19" w:type="dxa"/>
                </w:tcPr>
                <w:p w14:paraId="7AFA4815" w14:textId="795CC90A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</w:tr>
            <w:tr w:rsidR="00016F0C" w14:paraId="2D04DC2C" w14:textId="6EAC3E78" w:rsidTr="00016F0C">
              <w:tc>
                <w:tcPr>
                  <w:tcW w:w="525" w:type="dxa"/>
                </w:tcPr>
                <w:p w14:paraId="3B527E95" w14:textId="5D9208E0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3075" w:type="dxa"/>
                </w:tcPr>
                <w:p w14:paraId="66CEF7CA" w14:textId="238A1109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 don’t get upset too easily.</w:t>
                  </w:r>
                </w:p>
              </w:tc>
              <w:tc>
                <w:tcPr>
                  <w:tcW w:w="810" w:type="dxa"/>
                </w:tcPr>
                <w:p w14:paraId="37810240" w14:textId="77998463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0" w:type="dxa"/>
                </w:tcPr>
                <w:p w14:paraId="6B4028B0" w14:textId="5778AF31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14:paraId="18F84F28" w14:textId="4BE5D3ED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0E1168CA" w14:textId="4AFFFEDE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19" w:type="dxa"/>
                </w:tcPr>
                <w:p w14:paraId="60E570B6" w14:textId="59E16755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</w:tr>
            <w:tr w:rsidR="00016F0C" w14:paraId="1414605B" w14:textId="5D21DE57" w:rsidTr="00016F0C">
              <w:tc>
                <w:tcPr>
                  <w:tcW w:w="525" w:type="dxa"/>
                </w:tcPr>
                <w:p w14:paraId="5F2D2589" w14:textId="22CDE3D4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3075" w:type="dxa"/>
                </w:tcPr>
                <w:p w14:paraId="6205D049" w14:textId="2C9B9D7C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I rarely count on good things happening to me.</w:t>
                  </w:r>
                </w:p>
              </w:tc>
              <w:tc>
                <w:tcPr>
                  <w:tcW w:w="810" w:type="dxa"/>
                </w:tcPr>
                <w:p w14:paraId="3B622095" w14:textId="37461C2B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0" w:type="dxa"/>
                </w:tcPr>
                <w:p w14:paraId="3E88C44D" w14:textId="17B373DE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14:paraId="14873B2C" w14:textId="5A70C1BF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5701359F" w14:textId="32C59BC6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19" w:type="dxa"/>
                </w:tcPr>
                <w:p w14:paraId="775BA2D8" w14:textId="61F5B72C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</w:tr>
            <w:tr w:rsidR="00016F0C" w14:paraId="67C53B15" w14:textId="1183203F" w:rsidTr="00016F0C">
              <w:tc>
                <w:tcPr>
                  <w:tcW w:w="525" w:type="dxa"/>
                </w:tcPr>
                <w:p w14:paraId="413CA358" w14:textId="23B8FF9E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3075" w:type="dxa"/>
                </w:tcPr>
                <w:p w14:paraId="4E532BD4" w14:textId="068C5490" w:rsidR="00016F0C" w:rsidRDefault="00016F0C" w:rsidP="00016F0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Overall, I expect more good things to happen to me than bad.</w:t>
                  </w:r>
                </w:p>
              </w:tc>
              <w:tc>
                <w:tcPr>
                  <w:tcW w:w="810" w:type="dxa"/>
                </w:tcPr>
                <w:p w14:paraId="61DB00B2" w14:textId="2A80EE53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990" w:type="dxa"/>
                </w:tcPr>
                <w:p w14:paraId="29B6974A" w14:textId="2F43A9BD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810" w:type="dxa"/>
                </w:tcPr>
                <w:p w14:paraId="46A34230" w14:textId="51D38B5B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900" w:type="dxa"/>
                </w:tcPr>
                <w:p w14:paraId="2818BD0B" w14:textId="3B95F7C7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19" w:type="dxa"/>
                </w:tcPr>
                <w:p w14:paraId="6E78DA64" w14:textId="034F5F58" w:rsidR="00016F0C" w:rsidRDefault="00016F0C" w:rsidP="00016F0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4</w:t>
                  </w:r>
                </w:p>
              </w:tc>
            </w:tr>
          </w:tbl>
          <w:p w14:paraId="5CC4DA9B" w14:textId="337943D6" w:rsidR="00660D51" w:rsidRDefault="00660D51" w:rsidP="00CE2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4E2C3DB6" w14:textId="1DB4E616" w:rsidR="00660D51" w:rsidRDefault="00660D51" w:rsidP="00CE2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Scoring:</w:t>
            </w:r>
          </w:p>
          <w:p w14:paraId="3FEB9BA1" w14:textId="2CCFDE8F" w:rsidR="00660D51" w:rsidRDefault="00660D51" w:rsidP="00CE2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 Reverse code items 3, 7, and 9 prior to scoring (0=4) (1=3) (2=2) (3=1) (4=0).</w:t>
            </w:r>
          </w:p>
          <w:p w14:paraId="3D99DFED" w14:textId="77777777" w:rsidR="00816970" w:rsidRDefault="00816970" w:rsidP="00CE2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1D98AAD" w14:textId="725282C7" w:rsidR="00660D51" w:rsidRDefault="00660D51" w:rsidP="00CE2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Sum items 1, 3, 4, 7, 9, and 10 to obtain an overall score.</w:t>
            </w:r>
          </w:p>
          <w:p w14:paraId="626FFDF5" w14:textId="7D6E8EF8" w:rsidR="00660D51" w:rsidRDefault="00660D51" w:rsidP="00CE2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156FC0AC" w14:textId="6FDE388A" w:rsidR="00660D51" w:rsidRDefault="00660D51" w:rsidP="00CE2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Note</w:t>
            </w:r>
            <w:r>
              <w:rPr>
                <w:rFonts w:ascii="Arial" w:hAnsi="Arial" w:cs="Arial"/>
                <w:sz w:val="22"/>
                <w:szCs w:val="22"/>
              </w:rPr>
              <w:t xml:space="preserve">     Items 2, 5, 6, and 8 are filler items only. </w:t>
            </w:r>
            <w:r w:rsidR="0003155B">
              <w:rPr>
                <w:rFonts w:ascii="Arial" w:hAnsi="Arial" w:cs="Arial"/>
                <w:sz w:val="22"/>
                <w:szCs w:val="22"/>
              </w:rPr>
              <w:t xml:space="preserve">They are not scored as part of the revised scale. </w:t>
            </w:r>
          </w:p>
          <w:p w14:paraId="51E2270F" w14:textId="55EC8EC4" w:rsidR="0003155B" w:rsidRDefault="0003155B" w:rsidP="00CE28B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0A31FB0A" w14:textId="1D90D40B" w:rsidR="00660D51" w:rsidRPr="00CE28B1" w:rsidRDefault="0003155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revised scale was constructed in order to eliminate two items from the original scale, which dealt with coping style </w:t>
            </w:r>
            <w:r w:rsidR="00203208">
              <w:rPr>
                <w:rFonts w:ascii="Arial" w:hAnsi="Arial" w:cs="Arial"/>
                <w:sz w:val="22"/>
                <w:szCs w:val="22"/>
              </w:rPr>
              <w:t xml:space="preserve">rather </w:t>
            </w:r>
            <w:r>
              <w:rPr>
                <w:rFonts w:ascii="Arial" w:hAnsi="Arial" w:cs="Arial"/>
                <w:sz w:val="22"/>
                <w:szCs w:val="22"/>
              </w:rPr>
              <w:t>than with positive expectations for future outcomes. The correlation between the revised scale and the original scale is .95.</w:t>
            </w:r>
          </w:p>
        </w:tc>
      </w:tr>
      <w:tr w:rsidR="00CE28B1" w:rsidRPr="00981EE2" w14:paraId="43F32697" w14:textId="77777777" w:rsidTr="00D46729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39248927" w14:textId="77777777" w:rsidR="00CE28B1" w:rsidRPr="00981EE2" w:rsidRDefault="00CE28B1" w:rsidP="00CE28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lastRenderedPageBreak/>
              <w:t>Selection Rationale:</w:t>
            </w:r>
          </w:p>
        </w:tc>
        <w:tc>
          <w:tcPr>
            <w:tcW w:w="7945" w:type="dxa"/>
          </w:tcPr>
          <w:p w14:paraId="49AE6F5D" w14:textId="58236304" w:rsidR="00CE28B1" w:rsidRPr="00DB6631" w:rsidRDefault="00CE28B1" w:rsidP="00CE2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Life Orientation Test </w:t>
            </w:r>
            <w:r w:rsidR="00760412">
              <w:rPr>
                <w:rFonts w:ascii="Arial" w:hAnsi="Arial" w:cs="Arial"/>
                <w:sz w:val="22"/>
                <w:szCs w:val="22"/>
              </w:rPr>
              <w:t>-</w:t>
            </w:r>
            <w:r w:rsidR="0020320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Revised (LOT-R) is a</w:t>
            </w:r>
            <w:r w:rsidR="00B46ACB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 xml:space="preserve"> easily accessible and validated </w:t>
            </w:r>
            <w:r w:rsidR="00D46729">
              <w:rPr>
                <w:rFonts w:ascii="Arial" w:hAnsi="Arial" w:cs="Arial"/>
                <w:sz w:val="22"/>
                <w:szCs w:val="22"/>
              </w:rPr>
              <w:t xml:space="preserve">questionnaire </w:t>
            </w:r>
            <w:r>
              <w:rPr>
                <w:rFonts w:ascii="Arial" w:hAnsi="Arial" w:cs="Arial"/>
                <w:sz w:val="22"/>
                <w:szCs w:val="22"/>
              </w:rPr>
              <w:t>with sickle disease patient populations. It is used to assess baseline optimism which can help facilitate conversations between provider</w:t>
            </w:r>
            <w:r w:rsidR="00D4672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patient</w:t>
            </w:r>
            <w:r w:rsidR="00D46729">
              <w:rPr>
                <w:rFonts w:ascii="Arial" w:hAnsi="Arial" w:cs="Arial"/>
                <w:sz w:val="22"/>
                <w:szCs w:val="22"/>
              </w:rPr>
              <w:t>s and research study participants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E28B1" w:rsidRPr="00981EE2" w14:paraId="66CF75B1" w14:textId="77777777" w:rsidTr="00D46729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621C4698" w14:textId="77777777" w:rsidR="00CE28B1" w:rsidRPr="00981EE2" w:rsidDel="00C53427" w:rsidRDefault="00CE28B1" w:rsidP="00CE28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 xml:space="preserve">Source: </w:t>
            </w:r>
          </w:p>
        </w:tc>
        <w:tc>
          <w:tcPr>
            <w:tcW w:w="7945" w:type="dxa"/>
          </w:tcPr>
          <w:p w14:paraId="71CD29F4" w14:textId="203CE1CA" w:rsidR="00CE28B1" w:rsidRPr="00DB6631" w:rsidDel="00C53427" w:rsidRDefault="00CE28B1" w:rsidP="00CE28B1">
            <w:pPr>
              <w:rPr>
                <w:rFonts w:ascii="Arial" w:hAnsi="Arial" w:cs="Arial"/>
                <w:sz w:val="22"/>
                <w:szCs w:val="22"/>
              </w:rPr>
            </w:pPr>
            <w:r w:rsidRPr="00DB6631">
              <w:rPr>
                <w:rFonts w:ascii="Arial" w:hAnsi="Arial" w:cs="Arial"/>
                <w:sz w:val="22"/>
                <w:szCs w:val="22"/>
              </w:rPr>
              <w:t>Scheier, M. F., Carver, C. S., &amp; Bridges, M. W. (1994). Distinguishing optimism from neuroticism (and trait anxiety, self-mastery, and self-esteem): A reevaluation of the Life Orientation Test.</w:t>
            </w:r>
            <w:r w:rsidR="00E26B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6631">
              <w:rPr>
                <w:rFonts w:ascii="Arial" w:hAnsi="Arial" w:cs="Arial"/>
                <w:i/>
                <w:iCs/>
                <w:sz w:val="22"/>
                <w:szCs w:val="22"/>
              </w:rPr>
              <w:t>Journal of Personality and Social Psychology</w:t>
            </w:r>
            <w:r w:rsidRPr="00DB6631">
              <w:rPr>
                <w:rFonts w:ascii="Arial" w:hAnsi="Arial" w:cs="Arial"/>
                <w:sz w:val="22"/>
                <w:szCs w:val="22"/>
              </w:rPr>
              <w:t>,</w:t>
            </w:r>
            <w:r w:rsidR="00E26B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B6631">
              <w:rPr>
                <w:rFonts w:ascii="Arial" w:hAnsi="Arial" w:cs="Arial"/>
                <w:i/>
                <w:iCs/>
                <w:sz w:val="22"/>
                <w:szCs w:val="22"/>
              </w:rPr>
              <w:t>67</w:t>
            </w:r>
            <w:r w:rsidRPr="00DB6631">
              <w:rPr>
                <w:rFonts w:ascii="Arial" w:hAnsi="Arial" w:cs="Arial"/>
                <w:sz w:val="22"/>
                <w:szCs w:val="22"/>
              </w:rPr>
              <w:t>(6), 1063-1078.</w:t>
            </w:r>
            <w:r w:rsidR="00816970">
              <w:t xml:space="preserve"> </w:t>
            </w:r>
            <w:hyperlink r:id="rId8" w:history="1">
              <w:r w:rsidR="00816970" w:rsidRPr="00183E11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https://doi.org/10.1037//0022-3514.67.6.1063</w:t>
              </w:r>
            </w:hyperlink>
            <w:r w:rsidR="0081697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E28B1" w:rsidRPr="00981EE2" w14:paraId="1501124F" w14:textId="77777777" w:rsidTr="00D46729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3FE2F179" w14:textId="77777777" w:rsidR="00CE28B1" w:rsidRDefault="00CE28B1" w:rsidP="00CE28B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Availability:</w:t>
            </w:r>
          </w:p>
        </w:tc>
        <w:tc>
          <w:tcPr>
            <w:tcW w:w="7945" w:type="dxa"/>
          </w:tcPr>
          <w:p w14:paraId="00569790" w14:textId="706C6839" w:rsidR="00CE28B1" w:rsidRPr="00DB6631" w:rsidRDefault="00CE28B1" w:rsidP="00CE2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Available</w:t>
            </w:r>
          </w:p>
        </w:tc>
      </w:tr>
      <w:tr w:rsidR="00CE28B1" w:rsidRPr="00981EE2" w14:paraId="7370FC28" w14:textId="77777777" w:rsidTr="00D46729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65280D82" w14:textId="77777777" w:rsidR="00CE28B1" w:rsidRPr="00981EE2" w:rsidDel="00C53427" w:rsidRDefault="00CE28B1" w:rsidP="00CE28B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Life Stage:</w:t>
            </w:r>
          </w:p>
        </w:tc>
        <w:tc>
          <w:tcPr>
            <w:tcW w:w="7945" w:type="dxa"/>
          </w:tcPr>
          <w:p w14:paraId="16579D7E" w14:textId="77777777" w:rsidR="00CE28B1" w:rsidRDefault="00CE28B1" w:rsidP="00CE2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Adult</w:t>
            </w:r>
          </w:p>
          <w:p w14:paraId="4C9B0DE6" w14:textId="1CF5760A" w:rsidR="00CE28B1" w:rsidRPr="00DB6631" w:rsidDel="00C53427" w:rsidRDefault="00CE28B1" w:rsidP="00CE2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</w:t>
            </w:r>
            <w:r w:rsidR="002C0F64">
              <w:rPr>
                <w:rFonts w:ascii="Arial" w:hAnsi="Arial" w:cs="Arial"/>
                <w:sz w:val="22"/>
                <w:szCs w:val="22"/>
              </w:rPr>
              <w:t>ren and adolescents</w:t>
            </w:r>
          </w:p>
        </w:tc>
      </w:tr>
      <w:tr w:rsidR="00CE28B1" w:rsidRPr="00981EE2" w14:paraId="421CD10C" w14:textId="77777777" w:rsidTr="00D46729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50866EEF" w14:textId="77777777" w:rsidR="00CE28B1" w:rsidRPr="00981EE2" w:rsidDel="00C53427" w:rsidRDefault="00CE28B1" w:rsidP="00CE28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Language:</w:t>
            </w:r>
          </w:p>
        </w:tc>
        <w:tc>
          <w:tcPr>
            <w:tcW w:w="7945" w:type="dxa"/>
          </w:tcPr>
          <w:p w14:paraId="505AAFF3" w14:textId="41DAB046" w:rsidR="00CE28B1" w:rsidRPr="00DB6631" w:rsidDel="00C53427" w:rsidRDefault="00CE28B1" w:rsidP="00CE2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</w:tr>
      <w:tr w:rsidR="00CE28B1" w:rsidRPr="00981EE2" w14:paraId="53617EC3" w14:textId="77777777" w:rsidTr="00D46729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668C960B" w14:textId="77777777" w:rsidR="00CE28B1" w:rsidRPr="009A76F2" w:rsidRDefault="00CE28B1" w:rsidP="00CE28B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Participant:</w:t>
            </w:r>
          </w:p>
        </w:tc>
        <w:tc>
          <w:tcPr>
            <w:tcW w:w="7945" w:type="dxa"/>
          </w:tcPr>
          <w:p w14:paraId="3A651849" w14:textId="237FBB2B" w:rsidR="00CE28B1" w:rsidRPr="00DB6631" w:rsidRDefault="00CE28B1" w:rsidP="00CE2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Adults and</w:t>
            </w:r>
            <w:r w:rsidR="00B46A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5A1A">
              <w:rPr>
                <w:rFonts w:ascii="Arial" w:hAnsi="Arial" w:cs="Arial"/>
                <w:sz w:val="22"/>
                <w:szCs w:val="22"/>
              </w:rPr>
              <w:t>youth</w:t>
            </w:r>
          </w:p>
        </w:tc>
      </w:tr>
      <w:tr w:rsidR="00CE28B1" w:rsidRPr="00981EE2" w14:paraId="48719DAA" w14:textId="77777777" w:rsidTr="00D46729">
        <w:trPr>
          <w:trHeight w:val="58"/>
          <w:jc w:val="center"/>
        </w:trPr>
        <w:tc>
          <w:tcPr>
            <w:tcW w:w="2951" w:type="dxa"/>
            <w:tcBorders>
              <w:bottom w:val="single" w:sz="4" w:space="0" w:color="auto"/>
            </w:tcBorders>
            <w:shd w:val="clear" w:color="auto" w:fill="D9D9D9"/>
          </w:tcPr>
          <w:p w14:paraId="5E48DB4D" w14:textId="77777777" w:rsidR="00CE28B1" w:rsidRPr="009A76F2" w:rsidRDefault="00CE28B1" w:rsidP="00CE28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Personnel and Training Required:</w:t>
            </w:r>
          </w:p>
        </w:tc>
        <w:tc>
          <w:tcPr>
            <w:tcW w:w="7945" w:type="dxa"/>
          </w:tcPr>
          <w:p w14:paraId="2C11F85C" w14:textId="558EE832" w:rsidR="00CE28B1" w:rsidRPr="00DB6631" w:rsidRDefault="00CE28B1" w:rsidP="00CE2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CE28B1" w:rsidRPr="00981EE2" w14:paraId="002B7BD2" w14:textId="77777777" w:rsidTr="00D46729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49BA5E18" w14:textId="77777777" w:rsidR="00CE28B1" w:rsidRPr="009A76F2" w:rsidRDefault="00CE28B1" w:rsidP="00CE28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Equipment Needs:</w:t>
            </w:r>
          </w:p>
        </w:tc>
        <w:tc>
          <w:tcPr>
            <w:tcW w:w="7945" w:type="dxa"/>
          </w:tcPr>
          <w:p w14:paraId="0DB8A8AC" w14:textId="09AB9858" w:rsidR="00CE28B1" w:rsidRPr="00DB6631" w:rsidRDefault="00CE28B1" w:rsidP="00CE2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CE28B1" w:rsidRPr="00981EE2" w14:paraId="6BDF5329" w14:textId="77777777" w:rsidTr="00D46729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1F39D6A5" w14:textId="77777777" w:rsidR="00CE28B1" w:rsidRPr="009A76F2" w:rsidRDefault="00CE28B1" w:rsidP="00CE28B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General References:</w:t>
            </w:r>
          </w:p>
        </w:tc>
        <w:tc>
          <w:tcPr>
            <w:tcW w:w="7945" w:type="dxa"/>
          </w:tcPr>
          <w:p w14:paraId="6AFFFB53" w14:textId="1316047F" w:rsidR="00203208" w:rsidRDefault="00203208" w:rsidP="002032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Ey, S., Hadley, W., Allen, D. N., Palmer, S., Klosky, J., Deptula, D., Thomas, J., &amp; Cohen, R. (2005). A new measure of children’s optimism and pessimism: The </w:t>
            </w:r>
            <w:r w:rsidR="00E26B49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outh </w:t>
            </w:r>
            <w:r w:rsidR="00E26B49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 xml:space="preserve">ife </w:t>
            </w:r>
            <w:r w:rsidR="00E26B49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 xml:space="preserve">rientation </w:t>
            </w:r>
            <w:r w:rsidR="00E26B49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est. </w:t>
            </w:r>
            <w:r w:rsidRPr="003038F9">
              <w:rPr>
                <w:rFonts w:ascii="Arial" w:hAnsi="Arial" w:cs="Arial"/>
                <w:i/>
                <w:iCs/>
                <w:sz w:val="22"/>
                <w:szCs w:val="22"/>
              </w:rPr>
              <w:t>J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ournal of</w:t>
            </w:r>
            <w:r w:rsidRPr="003038F9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Child Psychiatry and Psychology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5197">
              <w:rPr>
                <w:rFonts w:ascii="Arial" w:hAnsi="Arial" w:cs="Arial"/>
                <w:i/>
                <w:iCs/>
                <w:sz w:val="22"/>
                <w:szCs w:val="22"/>
              </w:rPr>
              <w:t>46</w:t>
            </w:r>
            <w:r>
              <w:rPr>
                <w:rFonts w:ascii="Arial" w:hAnsi="Arial" w:cs="Arial"/>
                <w:sz w:val="22"/>
                <w:szCs w:val="22"/>
              </w:rPr>
              <w:t>(5), 548</w:t>
            </w:r>
            <w:r w:rsidR="00760412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>558.</w:t>
            </w:r>
            <w:r w:rsidR="00725D55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9" w:history="1">
              <w:r w:rsidRPr="00FD6B90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https://doi.org/10.1111/j.1469-7610.2004.00372.x</w:t>
              </w:r>
            </w:hyperlink>
          </w:p>
          <w:p w14:paraId="7A7D6341" w14:textId="77777777" w:rsidR="00203208" w:rsidRDefault="00203208" w:rsidP="00CE28B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560856" w14:textId="00747B51" w:rsidR="00CE28B1" w:rsidRDefault="002C56CC" w:rsidP="00CE28B1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2C56CC">
              <w:rPr>
                <w:rFonts w:ascii="Arial" w:hAnsi="Arial" w:cs="Arial"/>
                <w:sz w:val="22"/>
                <w:szCs w:val="22"/>
              </w:rPr>
              <w:t>Herzberg, P. Y., Glaesmer, H., &amp; Hoyer, J. (2006). Separating optimism and pessimism: A robust psychometric analysis of the Revised Life Orientation Test (LOT-R).</w:t>
            </w:r>
            <w:r w:rsidR="00E26B4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56CC">
              <w:rPr>
                <w:rFonts w:ascii="Arial" w:hAnsi="Arial" w:cs="Arial"/>
                <w:i/>
                <w:iCs/>
                <w:sz w:val="22"/>
                <w:szCs w:val="22"/>
              </w:rPr>
              <w:t>Psychological Assessment, 18</w:t>
            </w:r>
            <w:r w:rsidRPr="002C56CC">
              <w:rPr>
                <w:rFonts w:ascii="Arial" w:hAnsi="Arial" w:cs="Arial"/>
                <w:sz w:val="22"/>
                <w:szCs w:val="22"/>
              </w:rPr>
              <w:t>(4), 433</w:t>
            </w:r>
            <w:r w:rsidR="00760412">
              <w:rPr>
                <w:rFonts w:ascii="Arial" w:hAnsi="Arial" w:cs="Arial"/>
                <w:sz w:val="22"/>
                <w:szCs w:val="22"/>
              </w:rPr>
              <w:t>-</w:t>
            </w:r>
            <w:r w:rsidR="00BC4207">
              <w:rPr>
                <w:rFonts w:ascii="Arial" w:hAnsi="Arial" w:cs="Arial"/>
                <w:sz w:val="22"/>
                <w:szCs w:val="22"/>
              </w:rPr>
              <w:t>438</w:t>
            </w:r>
            <w:r w:rsidR="00203208" w:rsidRPr="002C56CC">
              <w:rPr>
                <w:rFonts w:ascii="Arial" w:hAnsi="Arial" w:cs="Arial"/>
                <w:sz w:val="22"/>
                <w:szCs w:val="22"/>
              </w:rPr>
              <w:t>.</w:t>
            </w:r>
            <w:r w:rsidR="00203208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0" w:history="1">
              <w:r w:rsidR="00A21A4F" w:rsidRPr="00FD6B90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https://doi.org/10.1037/1040-3590.18.4.433</w:t>
              </w:r>
            </w:hyperlink>
          </w:p>
          <w:p w14:paraId="040C774D" w14:textId="77777777" w:rsidR="00203208" w:rsidRDefault="00203208" w:rsidP="00CE28B1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</w:p>
          <w:p w14:paraId="589C7B54" w14:textId="43FF248B" w:rsidR="00203208" w:rsidRDefault="00203208" w:rsidP="00BC4207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2473B">
              <w:rPr>
                <w:rFonts w:ascii="Arial" w:hAnsi="Arial" w:cs="Arial"/>
                <w:sz w:val="22"/>
                <w:szCs w:val="22"/>
                <w:lang w:val="en"/>
              </w:rPr>
              <w:t>Pence</w:t>
            </w:r>
            <w:r w:rsidR="00E26B49">
              <w:rPr>
                <w:rFonts w:ascii="Arial" w:hAnsi="Arial" w:cs="Arial"/>
                <w:sz w:val="22"/>
                <w:szCs w:val="22"/>
                <w:lang w:val="en"/>
              </w:rPr>
              <w:t>,</w:t>
            </w:r>
            <w:r w:rsidRPr="00B2473B">
              <w:rPr>
                <w:rFonts w:ascii="Arial" w:hAnsi="Arial" w:cs="Arial"/>
                <w:sz w:val="22"/>
                <w:szCs w:val="22"/>
                <w:lang w:val="en"/>
              </w:rPr>
              <w:t xml:space="preserve"> L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.</w:t>
            </w:r>
            <w:r w:rsidRPr="00B2473B">
              <w:rPr>
                <w:rFonts w:ascii="Arial" w:hAnsi="Arial" w:cs="Arial"/>
                <w:sz w:val="22"/>
                <w:szCs w:val="22"/>
                <w:lang w:val="en"/>
              </w:rPr>
              <w:t>, Valrie</w:t>
            </w:r>
            <w:r w:rsidR="00EE78DE">
              <w:rPr>
                <w:rFonts w:ascii="Arial" w:hAnsi="Arial" w:cs="Arial"/>
                <w:sz w:val="22"/>
                <w:szCs w:val="22"/>
                <w:lang w:val="en"/>
              </w:rPr>
              <w:t>,</w:t>
            </w:r>
            <w:r w:rsidRPr="00B2473B">
              <w:rPr>
                <w:rFonts w:ascii="Arial" w:hAnsi="Arial" w:cs="Arial"/>
                <w:sz w:val="22"/>
                <w:szCs w:val="22"/>
                <w:lang w:val="en"/>
              </w:rPr>
              <w:t xml:space="preserve"> C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.</w:t>
            </w:r>
            <w:r w:rsidR="005A4264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B2473B">
              <w:rPr>
                <w:rFonts w:ascii="Arial" w:hAnsi="Arial" w:cs="Arial"/>
                <w:sz w:val="22"/>
                <w:szCs w:val="22"/>
                <w:lang w:val="en"/>
              </w:rPr>
              <w:t>R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.</w:t>
            </w:r>
            <w:r w:rsidRPr="00B2473B">
              <w:rPr>
                <w:rFonts w:ascii="Arial" w:hAnsi="Arial" w:cs="Arial"/>
                <w:sz w:val="22"/>
                <w:szCs w:val="22"/>
                <w:lang w:val="en"/>
              </w:rPr>
              <w:t>, Gil</w:t>
            </w:r>
            <w:r w:rsidR="00EE78DE">
              <w:rPr>
                <w:rFonts w:ascii="Arial" w:hAnsi="Arial" w:cs="Arial"/>
                <w:sz w:val="22"/>
                <w:szCs w:val="22"/>
                <w:lang w:val="en"/>
              </w:rPr>
              <w:t>,</w:t>
            </w:r>
            <w:r w:rsidRPr="00B2473B">
              <w:rPr>
                <w:rFonts w:ascii="Arial" w:hAnsi="Arial" w:cs="Arial"/>
                <w:sz w:val="22"/>
                <w:szCs w:val="22"/>
                <w:lang w:val="en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.</w:t>
            </w:r>
            <w:r w:rsidR="005A4264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Pr="00B2473B">
              <w:rPr>
                <w:rFonts w:ascii="Arial" w:hAnsi="Arial" w:cs="Arial"/>
                <w:sz w:val="22"/>
                <w:szCs w:val="22"/>
                <w:lang w:val="en"/>
              </w:rPr>
              <w:t>M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.</w:t>
            </w:r>
            <w:r w:rsidRPr="00B2473B">
              <w:rPr>
                <w:rFonts w:ascii="Arial" w:hAnsi="Arial" w:cs="Arial"/>
                <w:sz w:val="22"/>
                <w:szCs w:val="22"/>
                <w:lang w:val="en"/>
              </w:rPr>
              <w:t>, Redding-Lallinger</w:t>
            </w:r>
            <w:r w:rsidR="00EE78DE">
              <w:rPr>
                <w:rFonts w:ascii="Arial" w:hAnsi="Arial" w:cs="Arial"/>
                <w:sz w:val="22"/>
                <w:szCs w:val="22"/>
                <w:lang w:val="en"/>
              </w:rPr>
              <w:t>,</w:t>
            </w:r>
            <w:r w:rsidRPr="00B2473B">
              <w:rPr>
                <w:rFonts w:ascii="Arial" w:hAnsi="Arial" w:cs="Arial"/>
                <w:sz w:val="22"/>
                <w:szCs w:val="22"/>
                <w:lang w:val="en"/>
              </w:rPr>
              <w:t xml:space="preserve"> R</w:t>
            </w:r>
            <w:r>
              <w:rPr>
                <w:rFonts w:ascii="Arial" w:hAnsi="Arial" w:cs="Arial"/>
                <w:sz w:val="22"/>
                <w:szCs w:val="22"/>
                <w:lang w:val="en"/>
              </w:rPr>
              <w:t>.</w:t>
            </w:r>
            <w:r w:rsidRPr="00B2473B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="005A4264">
              <w:rPr>
                <w:rFonts w:ascii="Arial" w:hAnsi="Arial" w:cs="Arial"/>
                <w:sz w:val="22"/>
                <w:szCs w:val="22"/>
                <w:lang w:val="en"/>
              </w:rPr>
              <w:t xml:space="preserve">&amp; </w:t>
            </w:r>
            <w:r w:rsidRPr="00B2473B">
              <w:rPr>
                <w:rFonts w:ascii="Arial" w:hAnsi="Arial" w:cs="Arial"/>
                <w:sz w:val="22"/>
                <w:szCs w:val="22"/>
                <w:lang w:val="en"/>
              </w:rPr>
              <w:t>Daeschner</w:t>
            </w:r>
            <w:r w:rsidR="00EE78DE">
              <w:rPr>
                <w:rFonts w:ascii="Arial" w:hAnsi="Arial" w:cs="Arial"/>
                <w:sz w:val="22"/>
                <w:szCs w:val="22"/>
                <w:lang w:val="en"/>
              </w:rPr>
              <w:t>,</w:t>
            </w:r>
            <w:r w:rsidRPr="00B2473B">
              <w:rPr>
                <w:rFonts w:ascii="Arial" w:hAnsi="Arial" w:cs="Arial"/>
                <w:sz w:val="22"/>
                <w:szCs w:val="22"/>
                <w:lang w:val="en"/>
              </w:rPr>
              <w:t xml:space="preserve"> C. </w:t>
            </w:r>
            <w:r w:rsidR="005A4264">
              <w:rPr>
                <w:rFonts w:ascii="Arial" w:hAnsi="Arial" w:cs="Arial"/>
                <w:sz w:val="22"/>
                <w:szCs w:val="22"/>
                <w:lang w:val="en"/>
              </w:rPr>
              <w:t xml:space="preserve">(2007). </w:t>
            </w:r>
            <w:r w:rsidRPr="00B2473B">
              <w:rPr>
                <w:rFonts w:ascii="Arial" w:hAnsi="Arial" w:cs="Arial"/>
                <w:sz w:val="22"/>
                <w:szCs w:val="22"/>
                <w:lang w:val="en"/>
              </w:rPr>
              <w:t xml:space="preserve">Optimism predicting daily pain medication use in adolescents with sickle cell disease. </w:t>
            </w:r>
            <w:r w:rsidRPr="00D85197">
              <w:rPr>
                <w:rFonts w:ascii="Arial" w:hAnsi="Arial" w:cs="Arial"/>
                <w:i/>
                <w:iCs/>
                <w:sz w:val="22"/>
                <w:szCs w:val="22"/>
                <w:lang w:val="en"/>
              </w:rPr>
              <w:t>J</w:t>
            </w:r>
            <w:r w:rsidR="00725D55" w:rsidRPr="00D85197">
              <w:rPr>
                <w:rFonts w:ascii="Arial" w:hAnsi="Arial" w:cs="Arial"/>
                <w:i/>
                <w:iCs/>
                <w:sz w:val="22"/>
                <w:szCs w:val="22"/>
                <w:lang w:val="en"/>
              </w:rPr>
              <w:t>ournal of</w:t>
            </w:r>
            <w:r w:rsidRPr="00D85197">
              <w:rPr>
                <w:rFonts w:ascii="Arial" w:hAnsi="Arial" w:cs="Arial"/>
                <w:i/>
                <w:iCs/>
                <w:sz w:val="22"/>
                <w:szCs w:val="22"/>
                <w:lang w:val="en"/>
              </w:rPr>
              <w:t xml:space="preserve"> Pain </w:t>
            </w:r>
            <w:r w:rsidR="00725D55" w:rsidRPr="00D85197">
              <w:rPr>
                <w:rFonts w:ascii="Arial" w:hAnsi="Arial" w:cs="Arial"/>
                <w:i/>
                <w:iCs/>
                <w:sz w:val="22"/>
                <w:szCs w:val="22"/>
                <w:lang w:val="en"/>
              </w:rPr>
              <w:t xml:space="preserve">and </w:t>
            </w:r>
            <w:r w:rsidRPr="00D85197">
              <w:rPr>
                <w:rFonts w:ascii="Arial" w:hAnsi="Arial" w:cs="Arial"/>
                <w:i/>
                <w:iCs/>
                <w:sz w:val="22"/>
                <w:szCs w:val="22"/>
                <w:lang w:val="en"/>
              </w:rPr>
              <w:t>Symptom Manage</w:t>
            </w:r>
            <w:r w:rsidR="00725D55" w:rsidRPr="00D85197">
              <w:rPr>
                <w:rFonts w:ascii="Arial" w:hAnsi="Arial" w:cs="Arial"/>
                <w:i/>
                <w:iCs/>
                <w:sz w:val="22"/>
                <w:szCs w:val="22"/>
                <w:lang w:val="en"/>
              </w:rPr>
              <w:t xml:space="preserve">ment, </w:t>
            </w:r>
            <w:r w:rsidRPr="00D85197">
              <w:rPr>
                <w:rFonts w:ascii="Arial" w:hAnsi="Arial" w:cs="Arial"/>
                <w:i/>
                <w:iCs/>
                <w:sz w:val="22"/>
                <w:szCs w:val="22"/>
                <w:lang w:val="en"/>
              </w:rPr>
              <w:t>33</w:t>
            </w:r>
            <w:r w:rsidRPr="00B2473B">
              <w:rPr>
                <w:rFonts w:ascii="Arial" w:hAnsi="Arial" w:cs="Arial"/>
                <w:sz w:val="22"/>
                <w:szCs w:val="22"/>
                <w:lang w:val="en"/>
              </w:rPr>
              <w:t>(3)</w:t>
            </w:r>
            <w:r w:rsidR="00725D55">
              <w:rPr>
                <w:rFonts w:ascii="Arial" w:hAnsi="Arial" w:cs="Arial"/>
                <w:sz w:val="22"/>
                <w:szCs w:val="22"/>
                <w:lang w:val="en"/>
              </w:rPr>
              <w:t xml:space="preserve">, </w:t>
            </w:r>
            <w:r w:rsidRPr="00B2473B">
              <w:rPr>
                <w:rFonts w:ascii="Arial" w:hAnsi="Arial" w:cs="Arial"/>
                <w:sz w:val="22"/>
                <w:szCs w:val="22"/>
                <w:lang w:val="en"/>
              </w:rPr>
              <w:t>302</w:t>
            </w:r>
            <w:r w:rsidR="00760412">
              <w:rPr>
                <w:rFonts w:ascii="Arial" w:hAnsi="Arial" w:cs="Arial"/>
                <w:sz w:val="22"/>
                <w:szCs w:val="22"/>
                <w:lang w:val="en"/>
              </w:rPr>
              <w:t>-</w:t>
            </w:r>
            <w:r w:rsidR="00725D55">
              <w:rPr>
                <w:rFonts w:ascii="Arial" w:hAnsi="Arial" w:cs="Arial"/>
                <w:sz w:val="22"/>
                <w:szCs w:val="22"/>
                <w:lang w:val="en"/>
              </w:rPr>
              <w:t>30</w:t>
            </w:r>
            <w:r w:rsidRPr="00B2473B">
              <w:rPr>
                <w:rFonts w:ascii="Arial" w:hAnsi="Arial" w:cs="Arial"/>
                <w:sz w:val="22"/>
                <w:szCs w:val="22"/>
                <w:lang w:val="en"/>
              </w:rPr>
              <w:t>9</w:t>
            </w:r>
            <w:r w:rsidRPr="000B724F">
              <w:rPr>
                <w:rFonts w:ascii="Arial" w:hAnsi="Arial" w:cs="Arial"/>
                <w:sz w:val="22"/>
                <w:szCs w:val="22"/>
                <w:lang w:val="en"/>
              </w:rPr>
              <w:t xml:space="preserve">. </w:t>
            </w:r>
            <w:hyperlink r:id="rId11" w:history="1">
              <w:r w:rsidR="00725D55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https://doi.org/10.1016/j.jpainsymman.2006.08.010</w:t>
              </w:r>
            </w:hyperlink>
          </w:p>
          <w:p w14:paraId="1B80B6C1" w14:textId="77777777" w:rsidR="00203208" w:rsidRDefault="00203208" w:rsidP="00BC4207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</w:p>
          <w:p w14:paraId="3496A089" w14:textId="77ED5867" w:rsidR="00A21A4F" w:rsidRPr="00BC4207" w:rsidRDefault="00706603" w:rsidP="00BC4207">
            <w:pPr>
              <w:rPr>
                <w:rStyle w:val="Hyperlink"/>
                <w:rFonts w:ascii="Arial" w:hAnsi="Arial" w:cs="Arial"/>
                <w:sz w:val="22"/>
                <w:szCs w:val="22"/>
              </w:rPr>
            </w:pPr>
            <w:r w:rsidRPr="00BC4207">
              <w:rPr>
                <w:rFonts w:ascii="Arial" w:hAnsi="Arial" w:cs="Arial"/>
                <w:sz w:val="22"/>
                <w:szCs w:val="22"/>
              </w:rPr>
              <w:t>Stanton, M.</w:t>
            </w:r>
            <w:r w:rsidR="00725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207">
              <w:rPr>
                <w:rFonts w:ascii="Arial" w:hAnsi="Arial" w:cs="Arial"/>
                <w:sz w:val="22"/>
                <w:szCs w:val="22"/>
              </w:rPr>
              <w:t>V., Jonassaint, C.</w:t>
            </w:r>
            <w:r w:rsidR="00725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207">
              <w:rPr>
                <w:rFonts w:ascii="Arial" w:hAnsi="Arial" w:cs="Arial"/>
                <w:sz w:val="22"/>
                <w:szCs w:val="22"/>
              </w:rPr>
              <w:t>R., Bartholomew, F.</w:t>
            </w:r>
            <w:r w:rsidR="00725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207">
              <w:rPr>
                <w:rFonts w:ascii="Arial" w:hAnsi="Arial" w:cs="Arial"/>
                <w:sz w:val="22"/>
                <w:szCs w:val="22"/>
              </w:rPr>
              <w:t>B., Edwards, C., Richman</w:t>
            </w:r>
            <w:r w:rsidR="00725D55" w:rsidRPr="00BC4207">
              <w:rPr>
                <w:rFonts w:ascii="Arial" w:hAnsi="Arial" w:cs="Arial"/>
                <w:sz w:val="22"/>
                <w:szCs w:val="22"/>
              </w:rPr>
              <w:t>,</w:t>
            </w:r>
            <w:r w:rsidR="00EE78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C4207">
              <w:rPr>
                <w:rFonts w:ascii="Arial" w:hAnsi="Arial" w:cs="Arial"/>
                <w:sz w:val="22"/>
                <w:szCs w:val="22"/>
              </w:rPr>
              <w:t xml:space="preserve">L., DeCastro, L., </w:t>
            </w:r>
            <w:r w:rsidR="00725D55">
              <w:rPr>
                <w:rFonts w:ascii="Arial" w:hAnsi="Arial" w:cs="Arial"/>
                <w:sz w:val="22"/>
                <w:szCs w:val="22"/>
              </w:rPr>
              <w:t xml:space="preserve">&amp; </w:t>
            </w:r>
            <w:r w:rsidRPr="00BC4207">
              <w:rPr>
                <w:rFonts w:ascii="Arial" w:hAnsi="Arial" w:cs="Arial"/>
                <w:sz w:val="22"/>
                <w:szCs w:val="22"/>
              </w:rPr>
              <w:t xml:space="preserve">Williams, R. </w:t>
            </w:r>
            <w:r w:rsidR="00993DDC" w:rsidRPr="00BC4207">
              <w:rPr>
                <w:rFonts w:ascii="Arial" w:hAnsi="Arial" w:cs="Arial"/>
                <w:sz w:val="22"/>
                <w:szCs w:val="22"/>
              </w:rPr>
              <w:t>(2010).</w:t>
            </w:r>
            <w:r w:rsidR="00993DDC" w:rsidRPr="00BC4207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93DDC" w:rsidRPr="00BC4207">
              <w:rPr>
                <w:rFonts w:ascii="Arial" w:hAnsi="Arial" w:cs="Arial"/>
                <w:sz w:val="22"/>
                <w:szCs w:val="22"/>
              </w:rPr>
              <w:t>a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 xml:space="preserve">ssociation of </w:t>
            </w:r>
            <w:r w:rsidR="00993DDC" w:rsidRPr="00BC4207">
              <w:rPr>
                <w:rFonts w:ascii="Arial" w:hAnsi="Arial" w:cs="Arial"/>
                <w:sz w:val="22"/>
                <w:szCs w:val="22"/>
              </w:rPr>
              <w:t>o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 xml:space="preserve">ptimism and </w:t>
            </w:r>
            <w:r w:rsidR="00993DDC" w:rsidRPr="00BC4207">
              <w:rPr>
                <w:rFonts w:ascii="Arial" w:hAnsi="Arial" w:cs="Arial"/>
                <w:sz w:val="22"/>
                <w:szCs w:val="22"/>
              </w:rPr>
              <w:t>p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 xml:space="preserve">erceived </w:t>
            </w:r>
            <w:r w:rsidR="00993DDC" w:rsidRPr="00BC4207">
              <w:rPr>
                <w:rFonts w:ascii="Arial" w:hAnsi="Arial" w:cs="Arial"/>
                <w:sz w:val="22"/>
                <w:szCs w:val="22"/>
              </w:rPr>
              <w:t>d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 xml:space="preserve">iscrimination </w:t>
            </w:r>
            <w:r w:rsidR="00993DDC" w:rsidRPr="00BC4207">
              <w:rPr>
                <w:rFonts w:ascii="Arial" w:hAnsi="Arial" w:cs="Arial"/>
                <w:sz w:val="22"/>
                <w:szCs w:val="22"/>
              </w:rPr>
              <w:t>w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 xml:space="preserve">ith </w:t>
            </w:r>
            <w:r w:rsidR="00993DDC" w:rsidRPr="00BC4207">
              <w:rPr>
                <w:rFonts w:ascii="Arial" w:hAnsi="Arial" w:cs="Arial"/>
                <w:sz w:val="22"/>
                <w:szCs w:val="22"/>
              </w:rPr>
              <w:t>h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 xml:space="preserve">ealth </w:t>
            </w:r>
            <w:r w:rsidR="00993DDC" w:rsidRPr="00BC4207">
              <w:rPr>
                <w:rFonts w:ascii="Arial" w:hAnsi="Arial" w:cs="Arial"/>
                <w:sz w:val="22"/>
                <w:szCs w:val="22"/>
              </w:rPr>
              <w:t>c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 xml:space="preserve">are </w:t>
            </w:r>
            <w:r w:rsidR="00993DDC" w:rsidRPr="00BC4207">
              <w:rPr>
                <w:rFonts w:ascii="Arial" w:hAnsi="Arial" w:cs="Arial"/>
                <w:sz w:val="22"/>
                <w:szCs w:val="22"/>
              </w:rPr>
              <w:t>u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 xml:space="preserve">tilization in </w:t>
            </w:r>
            <w:r w:rsidR="00993DDC" w:rsidRPr="00BC4207">
              <w:rPr>
                <w:rFonts w:ascii="Arial" w:hAnsi="Arial" w:cs="Arial"/>
                <w:sz w:val="22"/>
                <w:szCs w:val="22"/>
              </w:rPr>
              <w:t>a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 xml:space="preserve">dults </w:t>
            </w:r>
            <w:r w:rsidR="00993DDC" w:rsidRPr="00BC4207">
              <w:rPr>
                <w:rFonts w:ascii="Arial" w:hAnsi="Arial" w:cs="Arial"/>
                <w:sz w:val="22"/>
                <w:szCs w:val="22"/>
              </w:rPr>
              <w:t>w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 xml:space="preserve">ith </w:t>
            </w:r>
            <w:r w:rsidR="00993DDC" w:rsidRPr="00BC4207">
              <w:rPr>
                <w:rFonts w:ascii="Arial" w:hAnsi="Arial" w:cs="Arial"/>
                <w:sz w:val="22"/>
                <w:szCs w:val="22"/>
              </w:rPr>
              <w:t>s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 xml:space="preserve">ickle </w:t>
            </w:r>
            <w:r w:rsidR="00993DDC" w:rsidRPr="00BC4207">
              <w:rPr>
                <w:rFonts w:ascii="Arial" w:hAnsi="Arial" w:cs="Arial"/>
                <w:sz w:val="22"/>
                <w:szCs w:val="22"/>
              </w:rPr>
              <w:t>c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 xml:space="preserve">ell </w:t>
            </w:r>
            <w:r w:rsidR="00993DDC" w:rsidRPr="00BC4207">
              <w:rPr>
                <w:rFonts w:ascii="Arial" w:hAnsi="Arial" w:cs="Arial"/>
                <w:sz w:val="22"/>
                <w:szCs w:val="22"/>
              </w:rPr>
              <w:t>d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>isease</w:t>
            </w:r>
            <w:r w:rsidR="00725D55">
              <w:rPr>
                <w:rFonts w:ascii="Arial" w:hAnsi="Arial" w:cs="Arial"/>
                <w:sz w:val="22"/>
                <w:szCs w:val="22"/>
              </w:rPr>
              <w:t>.</w:t>
            </w:r>
            <w:r w:rsidR="00725D5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A21A4F" w:rsidRPr="00BC4207">
              <w:rPr>
                <w:rFonts w:ascii="Arial" w:hAnsi="Arial" w:cs="Arial"/>
                <w:i/>
                <w:iCs/>
                <w:sz w:val="22"/>
                <w:szCs w:val="22"/>
              </w:rPr>
              <w:t>J</w:t>
            </w:r>
            <w:r w:rsidR="00725D55">
              <w:rPr>
                <w:rFonts w:ascii="Arial" w:hAnsi="Arial" w:cs="Arial"/>
                <w:i/>
                <w:iCs/>
                <w:sz w:val="22"/>
                <w:szCs w:val="22"/>
              </w:rPr>
              <w:t>ournal of the</w:t>
            </w:r>
            <w:r w:rsidR="00A21A4F" w:rsidRPr="00BC420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Nat</w:t>
            </w:r>
            <w:r w:rsidR="00725D55">
              <w:rPr>
                <w:rFonts w:ascii="Arial" w:hAnsi="Arial" w:cs="Arial"/>
                <w:i/>
                <w:iCs/>
                <w:sz w:val="22"/>
                <w:szCs w:val="22"/>
              </w:rPr>
              <w:t>iona</w:t>
            </w:r>
            <w:r w:rsidR="00A21A4F" w:rsidRPr="00BC4207">
              <w:rPr>
                <w:rFonts w:ascii="Arial" w:hAnsi="Arial" w:cs="Arial"/>
                <w:i/>
                <w:iCs/>
                <w:sz w:val="22"/>
                <w:szCs w:val="22"/>
              </w:rPr>
              <w:t>l Med</w:t>
            </w:r>
            <w:r w:rsidR="00725D55">
              <w:rPr>
                <w:rFonts w:ascii="Arial" w:hAnsi="Arial" w:cs="Arial"/>
                <w:i/>
                <w:iCs/>
                <w:sz w:val="22"/>
                <w:szCs w:val="22"/>
              </w:rPr>
              <w:t>ical</w:t>
            </w:r>
            <w:r w:rsidR="00A21A4F" w:rsidRPr="00BC420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Assoc</w:t>
            </w:r>
            <w:r w:rsidR="00725D55">
              <w:rPr>
                <w:rFonts w:ascii="Arial" w:hAnsi="Arial" w:cs="Arial"/>
                <w:i/>
                <w:iCs/>
                <w:sz w:val="22"/>
                <w:szCs w:val="22"/>
              </w:rPr>
              <w:t>iation,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A4F" w:rsidRPr="00D85197">
              <w:rPr>
                <w:rFonts w:ascii="Arial" w:hAnsi="Arial" w:cs="Arial"/>
                <w:i/>
                <w:iCs/>
                <w:sz w:val="22"/>
                <w:szCs w:val="22"/>
              </w:rPr>
              <w:t>102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>(11</w:t>
            </w:r>
            <w:r w:rsidR="00725D55" w:rsidRPr="00BC4207">
              <w:rPr>
                <w:rFonts w:ascii="Arial" w:hAnsi="Arial" w:cs="Arial"/>
                <w:sz w:val="22"/>
                <w:szCs w:val="22"/>
              </w:rPr>
              <w:t>)</w:t>
            </w:r>
            <w:r w:rsidR="00725D55">
              <w:rPr>
                <w:rFonts w:ascii="Arial" w:hAnsi="Arial" w:cs="Arial"/>
                <w:sz w:val="22"/>
                <w:szCs w:val="22"/>
              </w:rPr>
              <w:t>,</w:t>
            </w:r>
            <w:r w:rsidR="00725D55" w:rsidRPr="00BC42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>1056</w:t>
            </w:r>
            <w:r w:rsidR="00760412">
              <w:rPr>
                <w:rFonts w:ascii="Arial" w:hAnsi="Arial" w:cs="Arial"/>
                <w:sz w:val="22"/>
                <w:szCs w:val="22"/>
              </w:rPr>
              <w:t>-</w:t>
            </w:r>
            <w:r w:rsidR="00725D55" w:rsidRPr="00BC4207">
              <w:rPr>
                <w:rFonts w:ascii="Arial" w:hAnsi="Arial" w:cs="Arial"/>
                <w:sz w:val="22"/>
                <w:szCs w:val="22"/>
              </w:rPr>
              <w:t>106</w:t>
            </w:r>
            <w:r w:rsidR="00725D55">
              <w:rPr>
                <w:rFonts w:ascii="Arial" w:hAnsi="Arial" w:cs="Arial"/>
                <w:sz w:val="22"/>
                <w:szCs w:val="22"/>
              </w:rPr>
              <w:t>4</w:t>
            </w:r>
            <w:r w:rsidR="00A21A4F" w:rsidRPr="00BC4207">
              <w:rPr>
                <w:rFonts w:ascii="Arial" w:hAnsi="Arial" w:cs="Arial"/>
                <w:sz w:val="22"/>
                <w:szCs w:val="22"/>
              </w:rPr>
              <w:t>.</w:t>
            </w:r>
            <w:r w:rsidR="00A21A4F" w:rsidRPr="00BC4207">
              <w:rPr>
                <w:rFonts w:ascii="Arial" w:hAnsi="Arial" w:cs="Arial"/>
                <w:sz w:val="22"/>
                <w:szCs w:val="22"/>
                <w:lang w:val="en"/>
              </w:rPr>
              <w:t xml:space="preserve"> </w:t>
            </w:r>
          </w:p>
          <w:p w14:paraId="08EC49FE" w14:textId="70FCD2F3" w:rsidR="00B2473B" w:rsidRPr="00DB6631" w:rsidRDefault="00000000" w:rsidP="00A21A4F">
            <w:pPr>
              <w:rPr>
                <w:rFonts w:ascii="Arial" w:hAnsi="Arial" w:cs="Arial"/>
                <w:sz w:val="22"/>
                <w:szCs w:val="22"/>
              </w:rPr>
            </w:pPr>
            <w:hyperlink r:id="rId12" w:tgtFrame="_blank" w:history="1">
              <w:r w:rsidR="00A21A4F" w:rsidRPr="00760412">
                <w:rPr>
                  <w:rStyle w:val="Hyperlink"/>
                  <w:rFonts w:ascii="Arial" w:hAnsi="Arial" w:cs="Arial"/>
                  <w:sz w:val="22"/>
                  <w:szCs w:val="22"/>
                  <w:lang w:val="en"/>
                </w:rPr>
                <w:t>https://doi.org/10.1016/s0027-9684(15)30733-1</w:t>
              </w:r>
            </w:hyperlink>
          </w:p>
        </w:tc>
      </w:tr>
      <w:tr w:rsidR="00CE28B1" w:rsidRPr="00981EE2" w14:paraId="2312137B" w14:textId="77777777" w:rsidTr="00D46729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71864D71" w14:textId="77777777" w:rsidR="00CE28B1" w:rsidRPr="00981EE2" w:rsidRDefault="00CE28B1" w:rsidP="00CE28B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Mode of Administration</w:t>
            </w:r>
            <w:r w:rsidRPr="00981EE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945" w:type="dxa"/>
          </w:tcPr>
          <w:p w14:paraId="4855EA80" w14:textId="05A23F4C" w:rsidR="00CE28B1" w:rsidRPr="00DB6631" w:rsidRDefault="00CE28B1" w:rsidP="00CE2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Self-administered questionnaire</w:t>
            </w:r>
          </w:p>
        </w:tc>
      </w:tr>
      <w:tr w:rsidR="00CE28B1" w:rsidRPr="00981EE2" w14:paraId="49AEA009" w14:textId="77777777" w:rsidTr="00D46729">
        <w:trPr>
          <w:trHeight w:val="58"/>
          <w:jc w:val="center"/>
        </w:trPr>
        <w:tc>
          <w:tcPr>
            <w:tcW w:w="2951" w:type="dxa"/>
            <w:shd w:val="clear" w:color="auto" w:fill="D9D9D9"/>
          </w:tcPr>
          <w:p w14:paraId="07822D81" w14:textId="77777777" w:rsidR="00CE28B1" w:rsidRPr="00981EE2" w:rsidRDefault="00CE28B1" w:rsidP="00CE28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Derived Variables:</w:t>
            </w:r>
          </w:p>
        </w:tc>
        <w:tc>
          <w:tcPr>
            <w:tcW w:w="7945" w:type="dxa"/>
          </w:tcPr>
          <w:p w14:paraId="28185CD8" w14:textId="2E35A0A0" w:rsidR="00CE28B1" w:rsidRPr="00DB6631" w:rsidRDefault="00203208" w:rsidP="00CE2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 applicable. </w:t>
            </w:r>
          </w:p>
        </w:tc>
      </w:tr>
      <w:tr w:rsidR="00CE28B1" w:rsidRPr="00981EE2" w14:paraId="4FA9DE6F" w14:textId="77777777" w:rsidTr="00D46729">
        <w:trPr>
          <w:trHeight w:val="953"/>
          <w:jc w:val="center"/>
        </w:trPr>
        <w:tc>
          <w:tcPr>
            <w:tcW w:w="2951" w:type="dxa"/>
            <w:shd w:val="clear" w:color="auto" w:fill="FFFFFF"/>
          </w:tcPr>
          <w:p w14:paraId="4B3E63BE" w14:textId="77777777" w:rsidR="00CE28B1" w:rsidRPr="00981EE2" w:rsidRDefault="00CE28B1" w:rsidP="00CE28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81EE2">
              <w:rPr>
                <w:rFonts w:ascii="Arial" w:hAnsi="Arial" w:cs="Arial"/>
                <w:b/>
                <w:sz w:val="22"/>
                <w:szCs w:val="22"/>
              </w:rPr>
              <w:t>Requirements:</w:t>
            </w:r>
          </w:p>
        </w:tc>
        <w:tc>
          <w:tcPr>
            <w:tcW w:w="7945" w:type="dxa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80"/>
              <w:gridCol w:w="2250"/>
            </w:tblGrid>
            <w:tr w:rsidR="00CE28B1" w:rsidRPr="00981EE2" w14:paraId="72A13079" w14:textId="77777777" w:rsidTr="008A218B">
              <w:trPr>
                <w:trHeight w:val="57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1C134D97" w14:textId="77777777" w:rsidR="00CE28B1" w:rsidRPr="00981EE2" w:rsidRDefault="00CE28B1" w:rsidP="00CE28B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Requirements Category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14:paraId="2B94482A" w14:textId="77777777" w:rsidR="00CE28B1" w:rsidRPr="00981EE2" w:rsidRDefault="00CE28B1" w:rsidP="00CE28B1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Required (Yes/No):</w:t>
                  </w:r>
                </w:p>
              </w:tc>
            </w:tr>
            <w:tr w:rsidR="00CE28B1" w:rsidRPr="00981EE2" w14:paraId="634A97A1" w14:textId="77777777" w:rsidTr="008A218B">
              <w:trPr>
                <w:trHeight w:val="384"/>
              </w:trPr>
              <w:tc>
                <w:tcPr>
                  <w:tcW w:w="4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CCD7B28" w14:textId="77777777" w:rsidR="00CE28B1" w:rsidRPr="00981EE2" w:rsidRDefault="00CE28B1" w:rsidP="00CE28B1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>Major equipment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61FA8845" w14:textId="02FDF730" w:rsidR="00CE28B1" w:rsidRPr="00981EE2" w:rsidRDefault="00CE28B1" w:rsidP="00CE28B1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  <w:tr w:rsidR="00CE28B1" w:rsidRPr="00981EE2" w14:paraId="3D3E24AF" w14:textId="77777777" w:rsidTr="008A218B">
              <w:trPr>
                <w:trHeight w:val="384"/>
              </w:trPr>
              <w:tc>
                <w:tcPr>
                  <w:tcW w:w="46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3FA7F027" w14:textId="77777777" w:rsidR="00CE28B1" w:rsidRPr="00981EE2" w:rsidRDefault="00CE28B1" w:rsidP="00CE28B1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 xml:space="preserve">Specialized training </w:t>
                  </w:r>
                </w:p>
              </w:tc>
              <w:tc>
                <w:tcPr>
                  <w:tcW w:w="22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8B4DAE4" w14:textId="05CD33A7" w:rsidR="00CE28B1" w:rsidRPr="00981EE2" w:rsidRDefault="00CE28B1" w:rsidP="00CE28B1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  <w:tr w:rsidR="00CE28B1" w:rsidRPr="00981EE2" w14:paraId="1E7FB447" w14:textId="77777777" w:rsidTr="008A218B">
              <w:trPr>
                <w:trHeight w:val="38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14122ED6" w14:textId="77777777" w:rsidR="00CE28B1" w:rsidRPr="00981EE2" w:rsidRDefault="00CE28B1" w:rsidP="00CE28B1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 xml:space="preserve">Specialized requirements for biospecimen collection 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89B7261" w14:textId="2C3DCD92" w:rsidR="00CE28B1" w:rsidRPr="00981EE2" w:rsidRDefault="00CE28B1" w:rsidP="00CE28B1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  <w:tr w:rsidR="00CE28B1" w:rsidRPr="00981EE2" w14:paraId="7AB429DF" w14:textId="77777777" w:rsidTr="008A218B">
              <w:trPr>
                <w:trHeight w:val="384"/>
              </w:trPr>
              <w:tc>
                <w:tcPr>
                  <w:tcW w:w="46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433D4BF" w14:textId="77777777" w:rsidR="00CE28B1" w:rsidRPr="00981EE2" w:rsidRDefault="00CE28B1" w:rsidP="00CE28B1">
                  <w:pPr>
                    <w:autoSpaceDE w:val="0"/>
                    <w:autoSpaceDN w:val="0"/>
                    <w:adjustRightInd w:val="0"/>
                    <w:spacing w:before="4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981EE2">
                    <w:rPr>
                      <w:rFonts w:ascii="Arial" w:hAnsi="Arial" w:cs="Arial"/>
                      <w:sz w:val="22"/>
                      <w:szCs w:val="22"/>
                    </w:rPr>
                    <w:t>Average time of greater than 15 minutes in an unaffected individual</w:t>
                  </w:r>
                </w:p>
              </w:tc>
              <w:tc>
                <w:tcPr>
                  <w:tcW w:w="225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3756BC4" w14:textId="6BCBCCFD" w:rsidR="00CE28B1" w:rsidRPr="00981EE2" w:rsidRDefault="00CE28B1" w:rsidP="00CE28B1">
                  <w:pPr>
                    <w:autoSpaceDE w:val="0"/>
                    <w:autoSpaceDN w:val="0"/>
                    <w:adjustRightInd w:val="0"/>
                    <w:spacing w:before="4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No</w:t>
                  </w:r>
                </w:p>
              </w:tc>
            </w:tr>
          </w:tbl>
          <w:p w14:paraId="6CB750F6" w14:textId="77777777" w:rsidR="00CE28B1" w:rsidRPr="00981EE2" w:rsidRDefault="00CE28B1" w:rsidP="00CE28B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E28B1" w:rsidRPr="00981EE2" w14:paraId="217E1063" w14:textId="77777777" w:rsidTr="00D46729">
        <w:trPr>
          <w:trHeight w:val="58"/>
          <w:jc w:val="center"/>
        </w:trPr>
        <w:tc>
          <w:tcPr>
            <w:tcW w:w="2951" w:type="dxa"/>
            <w:tcBorders>
              <w:bottom w:val="single" w:sz="4" w:space="0" w:color="auto"/>
            </w:tcBorders>
            <w:shd w:val="clear" w:color="auto" w:fill="D9D9D9"/>
          </w:tcPr>
          <w:p w14:paraId="42C725E9" w14:textId="77777777" w:rsidR="00CE28B1" w:rsidRDefault="00CE28B1" w:rsidP="00CE28B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Annotations for Specific Conditions:</w:t>
            </w:r>
          </w:p>
        </w:tc>
        <w:tc>
          <w:tcPr>
            <w:tcW w:w="7945" w:type="dxa"/>
          </w:tcPr>
          <w:p w14:paraId="6D063076" w14:textId="5A5FE6C6" w:rsidR="00CE28B1" w:rsidRPr="005D6ADF" w:rsidRDefault="00725D55" w:rsidP="00CE2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applicable.</w:t>
            </w:r>
          </w:p>
        </w:tc>
      </w:tr>
      <w:tr w:rsidR="00CE28B1" w:rsidRPr="00981EE2" w14:paraId="6198E940" w14:textId="77777777" w:rsidTr="00D46729">
        <w:trPr>
          <w:trHeight w:val="58"/>
          <w:jc w:val="center"/>
        </w:trPr>
        <w:tc>
          <w:tcPr>
            <w:tcW w:w="2951" w:type="dxa"/>
            <w:shd w:val="clear" w:color="auto" w:fill="FFFFFF"/>
          </w:tcPr>
          <w:p w14:paraId="7C4760A1" w14:textId="77777777" w:rsidR="00CE28B1" w:rsidRPr="00981EE2" w:rsidRDefault="00CE28B1" w:rsidP="00CE28B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Process and Review:</w:t>
            </w:r>
          </w:p>
        </w:tc>
        <w:tc>
          <w:tcPr>
            <w:tcW w:w="7945" w:type="dxa"/>
          </w:tcPr>
          <w:p w14:paraId="5953094E" w14:textId="2C25332A" w:rsidR="00CE28B1" w:rsidRPr="00A26D97" w:rsidRDefault="00725D55" w:rsidP="00CE28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Not applicable. </w:t>
            </w:r>
          </w:p>
        </w:tc>
      </w:tr>
    </w:tbl>
    <w:p w14:paraId="42391604" w14:textId="77777777" w:rsidR="006902DF" w:rsidRPr="00981EE2" w:rsidRDefault="006902DF" w:rsidP="00154EFB">
      <w:pPr>
        <w:rPr>
          <w:rFonts w:ascii="Arial" w:hAnsi="Arial" w:cs="Arial"/>
          <w:sz w:val="22"/>
          <w:szCs w:val="22"/>
        </w:rPr>
      </w:pPr>
    </w:p>
    <w:p w14:paraId="230E6229" w14:textId="77777777" w:rsidR="006902DF" w:rsidRPr="00981EE2" w:rsidRDefault="006902DF" w:rsidP="00154EFB">
      <w:pPr>
        <w:rPr>
          <w:rFonts w:ascii="Arial" w:hAnsi="Arial" w:cs="Arial"/>
          <w:sz w:val="22"/>
          <w:szCs w:val="22"/>
        </w:rPr>
      </w:pPr>
    </w:p>
    <w:p w14:paraId="79D8760A" w14:textId="77777777" w:rsidR="006902DF" w:rsidRPr="00981EE2" w:rsidRDefault="006902DF" w:rsidP="00154EFB">
      <w:pPr>
        <w:rPr>
          <w:rFonts w:ascii="Arial" w:hAnsi="Arial" w:cs="Arial"/>
          <w:sz w:val="22"/>
          <w:szCs w:val="22"/>
        </w:rPr>
      </w:pPr>
    </w:p>
    <w:p w14:paraId="003551DA" w14:textId="77777777" w:rsidR="00981EE2" w:rsidRPr="00981EE2" w:rsidRDefault="00981EE2" w:rsidP="00154EFB">
      <w:pPr>
        <w:rPr>
          <w:rFonts w:ascii="Arial" w:hAnsi="Arial" w:cs="Arial"/>
          <w:sz w:val="22"/>
          <w:szCs w:val="22"/>
        </w:rPr>
      </w:pPr>
    </w:p>
    <w:sectPr w:rsidR="00981EE2" w:rsidRPr="00981EE2" w:rsidSect="00C37848">
      <w:headerReference w:type="default" r:id="rId13"/>
      <w:pgSz w:w="12240" w:h="15840" w:code="1"/>
      <w:pgMar w:top="720" w:right="1296" w:bottom="1152" w:left="129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63FE2" w14:textId="77777777" w:rsidR="008D63A6" w:rsidRDefault="008D63A6">
      <w:r>
        <w:separator/>
      </w:r>
    </w:p>
  </w:endnote>
  <w:endnote w:type="continuationSeparator" w:id="0">
    <w:p w14:paraId="3639F3CA" w14:textId="77777777" w:rsidR="008D63A6" w:rsidRDefault="008D6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B354" w14:textId="77777777" w:rsidR="008D63A6" w:rsidRDefault="008D63A6">
      <w:r>
        <w:separator/>
      </w:r>
    </w:p>
  </w:footnote>
  <w:footnote w:type="continuationSeparator" w:id="0">
    <w:p w14:paraId="2AD10AF2" w14:textId="77777777" w:rsidR="008D63A6" w:rsidRDefault="008D6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7CE52" w14:textId="06437AEF" w:rsidR="00C604EB" w:rsidRPr="0036273F" w:rsidRDefault="00A674BD" w:rsidP="003F496E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  <w:u w:val="single"/>
      </w:rPr>
      <w:t>Optimism</w:t>
    </w:r>
    <w:r w:rsidR="00C604EB" w:rsidRPr="0036273F">
      <w:rPr>
        <w:rFonts w:ascii="Arial" w:hAnsi="Arial" w:cs="Arial"/>
        <w:b/>
        <w:sz w:val="20"/>
        <w:szCs w:val="20"/>
      </w:rPr>
      <w:tab/>
    </w:r>
    <w:r w:rsidR="00C604EB" w:rsidRPr="0036273F">
      <w:rPr>
        <w:rFonts w:ascii="Arial" w:hAnsi="Arial" w:cs="Arial"/>
        <w:b/>
        <w:sz w:val="20"/>
        <w:szCs w:val="20"/>
      </w:rPr>
      <w:tab/>
      <w:t xml:space="preserve">                                                                    </w:t>
    </w:r>
    <w:r w:rsidR="00C604EB">
      <w:rPr>
        <w:rFonts w:ascii="Arial" w:hAnsi="Arial" w:cs="Arial"/>
        <w:b/>
        <w:sz w:val="20"/>
        <w:szCs w:val="20"/>
      </w:rPr>
      <w:tab/>
    </w:r>
    <w:r w:rsidR="00C604EB" w:rsidRPr="0036273F">
      <w:rPr>
        <w:rFonts w:ascii="Arial" w:hAnsi="Arial" w:cs="Arial"/>
        <w:b/>
        <w:sz w:val="20"/>
        <w:szCs w:val="20"/>
      </w:rPr>
      <w:t>Date of SC final approval</w:t>
    </w:r>
  </w:p>
  <w:p w14:paraId="6732EB17" w14:textId="77777777" w:rsidR="00C604EB" w:rsidRDefault="00C604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1684C"/>
    <w:multiLevelType w:val="hybridMultilevel"/>
    <w:tmpl w:val="E026BFCA"/>
    <w:lvl w:ilvl="0" w:tplc="4BFEA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1B1C3963"/>
    <w:multiLevelType w:val="hybridMultilevel"/>
    <w:tmpl w:val="74E8645E"/>
    <w:lvl w:ilvl="0" w:tplc="DA3E0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029C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A2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0E6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12CF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56E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8E44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BE88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A61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C8437E0"/>
    <w:multiLevelType w:val="hybridMultilevel"/>
    <w:tmpl w:val="B93A72EC"/>
    <w:lvl w:ilvl="0" w:tplc="4BFEA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3" w15:restartNumberingAfterBreak="0">
    <w:nsid w:val="288D50A3"/>
    <w:multiLevelType w:val="hybridMultilevel"/>
    <w:tmpl w:val="7B8622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960D73"/>
    <w:multiLevelType w:val="hybridMultilevel"/>
    <w:tmpl w:val="3398A886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ACC117B"/>
    <w:multiLevelType w:val="hybridMultilevel"/>
    <w:tmpl w:val="962CBD6A"/>
    <w:lvl w:ilvl="0" w:tplc="4BFEA8CE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6" w15:restartNumberingAfterBreak="0">
    <w:nsid w:val="38E26293"/>
    <w:multiLevelType w:val="hybridMultilevel"/>
    <w:tmpl w:val="E7124C1E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01438"/>
    <w:multiLevelType w:val="hybridMultilevel"/>
    <w:tmpl w:val="B56EAF2A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437A55C1"/>
    <w:multiLevelType w:val="hybridMultilevel"/>
    <w:tmpl w:val="65FAB8A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541246F"/>
    <w:multiLevelType w:val="hybridMultilevel"/>
    <w:tmpl w:val="6C766842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2E2DF2"/>
    <w:multiLevelType w:val="hybridMultilevel"/>
    <w:tmpl w:val="AEA81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42403"/>
    <w:multiLevelType w:val="hybridMultilevel"/>
    <w:tmpl w:val="71C8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34366"/>
    <w:multiLevelType w:val="hybridMultilevel"/>
    <w:tmpl w:val="72F0E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710886"/>
    <w:multiLevelType w:val="hybridMultilevel"/>
    <w:tmpl w:val="3FE0F8A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5310AE0"/>
    <w:multiLevelType w:val="hybridMultilevel"/>
    <w:tmpl w:val="0CEE60C4"/>
    <w:lvl w:ilvl="0" w:tplc="D2C0C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59F0CA3"/>
    <w:multiLevelType w:val="hybridMultilevel"/>
    <w:tmpl w:val="0D385AB4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177571B"/>
    <w:multiLevelType w:val="hybridMultilevel"/>
    <w:tmpl w:val="66064FF8"/>
    <w:lvl w:ilvl="0" w:tplc="D254804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64F31566"/>
    <w:multiLevelType w:val="hybridMultilevel"/>
    <w:tmpl w:val="6096CF04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EF6068"/>
    <w:multiLevelType w:val="multilevel"/>
    <w:tmpl w:val="96BAF8CA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F94555C"/>
    <w:multiLevelType w:val="hybridMultilevel"/>
    <w:tmpl w:val="630400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4E1B66"/>
    <w:multiLevelType w:val="hybridMultilevel"/>
    <w:tmpl w:val="BB4E24D6"/>
    <w:lvl w:ilvl="0" w:tplc="4BFEA8CE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531E28"/>
    <w:multiLevelType w:val="hybridMultilevel"/>
    <w:tmpl w:val="29EC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721C9"/>
    <w:multiLevelType w:val="hybridMultilevel"/>
    <w:tmpl w:val="4CCED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708379">
    <w:abstractNumId w:val="0"/>
  </w:num>
  <w:num w:numId="2" w16cid:durableId="1045179310">
    <w:abstractNumId w:val="2"/>
  </w:num>
  <w:num w:numId="3" w16cid:durableId="456535090">
    <w:abstractNumId w:val="14"/>
  </w:num>
  <w:num w:numId="4" w16cid:durableId="579608303">
    <w:abstractNumId w:val="7"/>
  </w:num>
  <w:num w:numId="5" w16cid:durableId="638610286">
    <w:abstractNumId w:val="4"/>
  </w:num>
  <w:num w:numId="6" w16cid:durableId="1070542584">
    <w:abstractNumId w:val="15"/>
  </w:num>
  <w:num w:numId="7" w16cid:durableId="1675258441">
    <w:abstractNumId w:val="17"/>
  </w:num>
  <w:num w:numId="8" w16cid:durableId="1765346444">
    <w:abstractNumId w:val="9"/>
  </w:num>
  <w:num w:numId="9" w16cid:durableId="1870797658">
    <w:abstractNumId w:val="20"/>
  </w:num>
  <w:num w:numId="10" w16cid:durableId="208995560">
    <w:abstractNumId w:val="6"/>
  </w:num>
  <w:num w:numId="11" w16cid:durableId="971180317">
    <w:abstractNumId w:val="1"/>
  </w:num>
  <w:num w:numId="12" w16cid:durableId="1370380441">
    <w:abstractNumId w:val="5"/>
  </w:num>
  <w:num w:numId="13" w16cid:durableId="1844778329">
    <w:abstractNumId w:val="16"/>
  </w:num>
  <w:num w:numId="14" w16cid:durableId="1368531305">
    <w:abstractNumId w:val="10"/>
  </w:num>
  <w:num w:numId="15" w16cid:durableId="244995204">
    <w:abstractNumId w:val="3"/>
  </w:num>
  <w:num w:numId="16" w16cid:durableId="764498356">
    <w:abstractNumId w:val="19"/>
  </w:num>
  <w:num w:numId="17" w16cid:durableId="289364425">
    <w:abstractNumId w:val="22"/>
  </w:num>
  <w:num w:numId="18" w16cid:durableId="2047094954">
    <w:abstractNumId w:val="12"/>
  </w:num>
  <w:num w:numId="19" w16cid:durableId="1947081196">
    <w:abstractNumId w:val="18"/>
  </w:num>
  <w:num w:numId="20" w16cid:durableId="1135876149">
    <w:abstractNumId w:val="12"/>
  </w:num>
  <w:num w:numId="21" w16cid:durableId="1815683944">
    <w:abstractNumId w:val="21"/>
  </w:num>
  <w:num w:numId="22" w16cid:durableId="904148970">
    <w:abstractNumId w:val="11"/>
  </w:num>
  <w:num w:numId="23" w16cid:durableId="709259966">
    <w:abstractNumId w:val="13"/>
  </w:num>
  <w:num w:numId="24" w16cid:durableId="191739306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03"/>
    <w:rsid w:val="0000234E"/>
    <w:rsid w:val="000070DA"/>
    <w:rsid w:val="00010291"/>
    <w:rsid w:val="00012AE8"/>
    <w:rsid w:val="000168F4"/>
    <w:rsid w:val="00016F0C"/>
    <w:rsid w:val="00020515"/>
    <w:rsid w:val="00022357"/>
    <w:rsid w:val="000232E5"/>
    <w:rsid w:val="0002559C"/>
    <w:rsid w:val="0003155B"/>
    <w:rsid w:val="00032CCE"/>
    <w:rsid w:val="00034A43"/>
    <w:rsid w:val="0003618D"/>
    <w:rsid w:val="00036940"/>
    <w:rsid w:val="00037186"/>
    <w:rsid w:val="00040E4D"/>
    <w:rsid w:val="00041101"/>
    <w:rsid w:val="000449BC"/>
    <w:rsid w:val="000454A2"/>
    <w:rsid w:val="000521A6"/>
    <w:rsid w:val="00054005"/>
    <w:rsid w:val="00055008"/>
    <w:rsid w:val="00057C85"/>
    <w:rsid w:val="00062666"/>
    <w:rsid w:val="00063E86"/>
    <w:rsid w:val="00065BDD"/>
    <w:rsid w:val="00071DFF"/>
    <w:rsid w:val="00073724"/>
    <w:rsid w:val="000753CA"/>
    <w:rsid w:val="0007791C"/>
    <w:rsid w:val="000825DC"/>
    <w:rsid w:val="00086B33"/>
    <w:rsid w:val="000913FF"/>
    <w:rsid w:val="00091B07"/>
    <w:rsid w:val="000948ED"/>
    <w:rsid w:val="000977FC"/>
    <w:rsid w:val="00097BCB"/>
    <w:rsid w:val="000A38F8"/>
    <w:rsid w:val="000A3939"/>
    <w:rsid w:val="000A64F2"/>
    <w:rsid w:val="000B04CC"/>
    <w:rsid w:val="000C4099"/>
    <w:rsid w:val="000C4564"/>
    <w:rsid w:val="000C4A4D"/>
    <w:rsid w:val="000D0F67"/>
    <w:rsid w:val="000D164A"/>
    <w:rsid w:val="000D5658"/>
    <w:rsid w:val="000E4F78"/>
    <w:rsid w:val="000E70E9"/>
    <w:rsid w:val="000F1B73"/>
    <w:rsid w:val="00100E0A"/>
    <w:rsid w:val="001024B4"/>
    <w:rsid w:val="00102FE5"/>
    <w:rsid w:val="00111537"/>
    <w:rsid w:val="00115F3F"/>
    <w:rsid w:val="00117985"/>
    <w:rsid w:val="00120BDC"/>
    <w:rsid w:val="00127C66"/>
    <w:rsid w:val="00132012"/>
    <w:rsid w:val="00135342"/>
    <w:rsid w:val="00136FEB"/>
    <w:rsid w:val="00140E9B"/>
    <w:rsid w:val="00145CDB"/>
    <w:rsid w:val="0014724B"/>
    <w:rsid w:val="0015097C"/>
    <w:rsid w:val="00154EFB"/>
    <w:rsid w:val="00161693"/>
    <w:rsid w:val="00172E1C"/>
    <w:rsid w:val="0017784A"/>
    <w:rsid w:val="001846DE"/>
    <w:rsid w:val="00184EB7"/>
    <w:rsid w:val="001858B0"/>
    <w:rsid w:val="00186F30"/>
    <w:rsid w:val="00192529"/>
    <w:rsid w:val="00196D1F"/>
    <w:rsid w:val="001A2D35"/>
    <w:rsid w:val="001A419B"/>
    <w:rsid w:val="001B0CA5"/>
    <w:rsid w:val="001B3B8C"/>
    <w:rsid w:val="001B598D"/>
    <w:rsid w:val="001B73D0"/>
    <w:rsid w:val="001C035C"/>
    <w:rsid w:val="001C4111"/>
    <w:rsid w:val="001C5FF0"/>
    <w:rsid w:val="001C7AF5"/>
    <w:rsid w:val="001D14E2"/>
    <w:rsid w:val="001D2DF4"/>
    <w:rsid w:val="001D3952"/>
    <w:rsid w:val="001D47A2"/>
    <w:rsid w:val="001D5A61"/>
    <w:rsid w:val="001D6184"/>
    <w:rsid w:val="001E09FF"/>
    <w:rsid w:val="001E36C0"/>
    <w:rsid w:val="001E5855"/>
    <w:rsid w:val="001F15B7"/>
    <w:rsid w:val="001F47C8"/>
    <w:rsid w:val="00202C57"/>
    <w:rsid w:val="00203208"/>
    <w:rsid w:val="002107DC"/>
    <w:rsid w:val="00214DD1"/>
    <w:rsid w:val="00217DD4"/>
    <w:rsid w:val="002224AD"/>
    <w:rsid w:val="00230346"/>
    <w:rsid w:val="002306BD"/>
    <w:rsid w:val="0024346B"/>
    <w:rsid w:val="0024414B"/>
    <w:rsid w:val="002447EF"/>
    <w:rsid w:val="00244D78"/>
    <w:rsid w:val="00252180"/>
    <w:rsid w:val="00253655"/>
    <w:rsid w:val="00254644"/>
    <w:rsid w:val="0025610A"/>
    <w:rsid w:val="00257B2B"/>
    <w:rsid w:val="002611D8"/>
    <w:rsid w:val="002654E5"/>
    <w:rsid w:val="002672B9"/>
    <w:rsid w:val="00267FEC"/>
    <w:rsid w:val="00273682"/>
    <w:rsid w:val="00275CD2"/>
    <w:rsid w:val="002806C3"/>
    <w:rsid w:val="00280A6F"/>
    <w:rsid w:val="00280FDC"/>
    <w:rsid w:val="00282E2F"/>
    <w:rsid w:val="00286020"/>
    <w:rsid w:val="0029042F"/>
    <w:rsid w:val="00292A73"/>
    <w:rsid w:val="002A1F7A"/>
    <w:rsid w:val="002A2DC6"/>
    <w:rsid w:val="002A36D3"/>
    <w:rsid w:val="002B2AC4"/>
    <w:rsid w:val="002B3836"/>
    <w:rsid w:val="002B7F74"/>
    <w:rsid w:val="002C076E"/>
    <w:rsid w:val="002C0F64"/>
    <w:rsid w:val="002C3755"/>
    <w:rsid w:val="002C56CC"/>
    <w:rsid w:val="002C7EAF"/>
    <w:rsid w:val="002D348E"/>
    <w:rsid w:val="002D673B"/>
    <w:rsid w:val="002D786B"/>
    <w:rsid w:val="002E0B4A"/>
    <w:rsid w:val="002E2213"/>
    <w:rsid w:val="002E6D16"/>
    <w:rsid w:val="002F00AB"/>
    <w:rsid w:val="00301CEA"/>
    <w:rsid w:val="003038F9"/>
    <w:rsid w:val="00303EEF"/>
    <w:rsid w:val="0030486B"/>
    <w:rsid w:val="00307273"/>
    <w:rsid w:val="003136EB"/>
    <w:rsid w:val="00320260"/>
    <w:rsid w:val="00324525"/>
    <w:rsid w:val="003332F5"/>
    <w:rsid w:val="00335722"/>
    <w:rsid w:val="00336B63"/>
    <w:rsid w:val="00343BA0"/>
    <w:rsid w:val="00343EEE"/>
    <w:rsid w:val="003456E4"/>
    <w:rsid w:val="0034758A"/>
    <w:rsid w:val="003505CC"/>
    <w:rsid w:val="00360B03"/>
    <w:rsid w:val="0036123A"/>
    <w:rsid w:val="003619AA"/>
    <w:rsid w:val="0036273F"/>
    <w:rsid w:val="0036312B"/>
    <w:rsid w:val="00365DAA"/>
    <w:rsid w:val="00366447"/>
    <w:rsid w:val="0037033A"/>
    <w:rsid w:val="00371848"/>
    <w:rsid w:val="00372919"/>
    <w:rsid w:val="00373002"/>
    <w:rsid w:val="0037396D"/>
    <w:rsid w:val="00376052"/>
    <w:rsid w:val="00376CF0"/>
    <w:rsid w:val="00380121"/>
    <w:rsid w:val="00380E53"/>
    <w:rsid w:val="0038448E"/>
    <w:rsid w:val="00384494"/>
    <w:rsid w:val="00385778"/>
    <w:rsid w:val="0038715A"/>
    <w:rsid w:val="003876F1"/>
    <w:rsid w:val="00387C69"/>
    <w:rsid w:val="00390376"/>
    <w:rsid w:val="00391291"/>
    <w:rsid w:val="0039407C"/>
    <w:rsid w:val="003946B3"/>
    <w:rsid w:val="003A0607"/>
    <w:rsid w:val="003A193B"/>
    <w:rsid w:val="003A65BD"/>
    <w:rsid w:val="003A6637"/>
    <w:rsid w:val="003B2B40"/>
    <w:rsid w:val="003B504C"/>
    <w:rsid w:val="003C1872"/>
    <w:rsid w:val="003C3F2F"/>
    <w:rsid w:val="003C71FE"/>
    <w:rsid w:val="003C7405"/>
    <w:rsid w:val="003D0921"/>
    <w:rsid w:val="003D1784"/>
    <w:rsid w:val="003D284C"/>
    <w:rsid w:val="003D5149"/>
    <w:rsid w:val="003D6338"/>
    <w:rsid w:val="003D7D49"/>
    <w:rsid w:val="003E16A4"/>
    <w:rsid w:val="003E28A8"/>
    <w:rsid w:val="003E3DEB"/>
    <w:rsid w:val="003E65E5"/>
    <w:rsid w:val="003F2C92"/>
    <w:rsid w:val="003F42D5"/>
    <w:rsid w:val="003F4866"/>
    <w:rsid w:val="003F496E"/>
    <w:rsid w:val="00401C0E"/>
    <w:rsid w:val="004028E0"/>
    <w:rsid w:val="00402E79"/>
    <w:rsid w:val="00402FAF"/>
    <w:rsid w:val="00403617"/>
    <w:rsid w:val="00406CE7"/>
    <w:rsid w:val="00410048"/>
    <w:rsid w:val="00426F10"/>
    <w:rsid w:val="00432878"/>
    <w:rsid w:val="00432C78"/>
    <w:rsid w:val="00435DC5"/>
    <w:rsid w:val="004365F2"/>
    <w:rsid w:val="00443256"/>
    <w:rsid w:val="00444543"/>
    <w:rsid w:val="00446E32"/>
    <w:rsid w:val="00450B76"/>
    <w:rsid w:val="00454667"/>
    <w:rsid w:val="00457054"/>
    <w:rsid w:val="004609D1"/>
    <w:rsid w:val="00461798"/>
    <w:rsid w:val="0046236D"/>
    <w:rsid w:val="00462F0D"/>
    <w:rsid w:val="0046535B"/>
    <w:rsid w:val="00466514"/>
    <w:rsid w:val="00471B3C"/>
    <w:rsid w:val="00471ED4"/>
    <w:rsid w:val="0047425F"/>
    <w:rsid w:val="00474F6E"/>
    <w:rsid w:val="0048002C"/>
    <w:rsid w:val="00483B1D"/>
    <w:rsid w:val="00490CE7"/>
    <w:rsid w:val="00491B2C"/>
    <w:rsid w:val="004926F7"/>
    <w:rsid w:val="00492863"/>
    <w:rsid w:val="00492BBA"/>
    <w:rsid w:val="0049592C"/>
    <w:rsid w:val="004970EE"/>
    <w:rsid w:val="004B2507"/>
    <w:rsid w:val="004B31B6"/>
    <w:rsid w:val="004B5531"/>
    <w:rsid w:val="004C1B25"/>
    <w:rsid w:val="004C2F61"/>
    <w:rsid w:val="004C3F11"/>
    <w:rsid w:val="004C4128"/>
    <w:rsid w:val="004C4759"/>
    <w:rsid w:val="004C498C"/>
    <w:rsid w:val="004C6528"/>
    <w:rsid w:val="004D086D"/>
    <w:rsid w:val="004D1133"/>
    <w:rsid w:val="004D4226"/>
    <w:rsid w:val="004D4B70"/>
    <w:rsid w:val="004E15AC"/>
    <w:rsid w:val="004E2C1B"/>
    <w:rsid w:val="004E50F3"/>
    <w:rsid w:val="004E7678"/>
    <w:rsid w:val="004F375D"/>
    <w:rsid w:val="004F3897"/>
    <w:rsid w:val="00503561"/>
    <w:rsid w:val="005043E3"/>
    <w:rsid w:val="00504910"/>
    <w:rsid w:val="0050533F"/>
    <w:rsid w:val="00506123"/>
    <w:rsid w:val="005127A0"/>
    <w:rsid w:val="00516EDC"/>
    <w:rsid w:val="005234E2"/>
    <w:rsid w:val="00523A09"/>
    <w:rsid w:val="00524A6F"/>
    <w:rsid w:val="00526E17"/>
    <w:rsid w:val="005332E6"/>
    <w:rsid w:val="00534F24"/>
    <w:rsid w:val="00535448"/>
    <w:rsid w:val="00540376"/>
    <w:rsid w:val="00540DA0"/>
    <w:rsid w:val="0054144D"/>
    <w:rsid w:val="00541FDE"/>
    <w:rsid w:val="00542C20"/>
    <w:rsid w:val="005443EF"/>
    <w:rsid w:val="00546351"/>
    <w:rsid w:val="0054715E"/>
    <w:rsid w:val="00547CE9"/>
    <w:rsid w:val="0055000D"/>
    <w:rsid w:val="00551D0D"/>
    <w:rsid w:val="0055215F"/>
    <w:rsid w:val="00553CB2"/>
    <w:rsid w:val="0055476D"/>
    <w:rsid w:val="00563576"/>
    <w:rsid w:val="005646B4"/>
    <w:rsid w:val="0056515A"/>
    <w:rsid w:val="0057674A"/>
    <w:rsid w:val="005801B2"/>
    <w:rsid w:val="00580FD1"/>
    <w:rsid w:val="00583370"/>
    <w:rsid w:val="00591B5E"/>
    <w:rsid w:val="00591DB5"/>
    <w:rsid w:val="00593614"/>
    <w:rsid w:val="0059619B"/>
    <w:rsid w:val="005A160A"/>
    <w:rsid w:val="005A162C"/>
    <w:rsid w:val="005A209B"/>
    <w:rsid w:val="005A32A6"/>
    <w:rsid w:val="005A4264"/>
    <w:rsid w:val="005A47DD"/>
    <w:rsid w:val="005B6FCC"/>
    <w:rsid w:val="005B7525"/>
    <w:rsid w:val="005C0225"/>
    <w:rsid w:val="005C33FC"/>
    <w:rsid w:val="005C4DD0"/>
    <w:rsid w:val="005D5C9C"/>
    <w:rsid w:val="005E3839"/>
    <w:rsid w:val="005E7F40"/>
    <w:rsid w:val="005F2503"/>
    <w:rsid w:val="006000A1"/>
    <w:rsid w:val="00606B95"/>
    <w:rsid w:val="00615178"/>
    <w:rsid w:val="006230F1"/>
    <w:rsid w:val="00627932"/>
    <w:rsid w:val="0063063B"/>
    <w:rsid w:val="00632B14"/>
    <w:rsid w:val="00632CD9"/>
    <w:rsid w:val="00641056"/>
    <w:rsid w:val="00642105"/>
    <w:rsid w:val="0065047C"/>
    <w:rsid w:val="006504AC"/>
    <w:rsid w:val="0065460F"/>
    <w:rsid w:val="00656019"/>
    <w:rsid w:val="00660D51"/>
    <w:rsid w:val="006665A1"/>
    <w:rsid w:val="006675EC"/>
    <w:rsid w:val="00672852"/>
    <w:rsid w:val="00682081"/>
    <w:rsid w:val="00682334"/>
    <w:rsid w:val="00683C2B"/>
    <w:rsid w:val="00683DAB"/>
    <w:rsid w:val="006847BB"/>
    <w:rsid w:val="006902DF"/>
    <w:rsid w:val="006921AD"/>
    <w:rsid w:val="00693D32"/>
    <w:rsid w:val="00696AC7"/>
    <w:rsid w:val="00697BFC"/>
    <w:rsid w:val="006A1C1D"/>
    <w:rsid w:val="006A2407"/>
    <w:rsid w:val="006A3903"/>
    <w:rsid w:val="006B0544"/>
    <w:rsid w:val="006B1B8C"/>
    <w:rsid w:val="006B2AA0"/>
    <w:rsid w:val="006C0A23"/>
    <w:rsid w:val="006C41DD"/>
    <w:rsid w:val="006D058F"/>
    <w:rsid w:val="006D0622"/>
    <w:rsid w:val="006D3300"/>
    <w:rsid w:val="006E0999"/>
    <w:rsid w:val="006E1D3F"/>
    <w:rsid w:val="006E700B"/>
    <w:rsid w:val="006F251C"/>
    <w:rsid w:val="006F2E33"/>
    <w:rsid w:val="006F3145"/>
    <w:rsid w:val="006F4ED9"/>
    <w:rsid w:val="00701B24"/>
    <w:rsid w:val="0070215D"/>
    <w:rsid w:val="00702FB1"/>
    <w:rsid w:val="0070516E"/>
    <w:rsid w:val="00706603"/>
    <w:rsid w:val="00716FF6"/>
    <w:rsid w:val="00717211"/>
    <w:rsid w:val="007234C6"/>
    <w:rsid w:val="00724954"/>
    <w:rsid w:val="00725D55"/>
    <w:rsid w:val="00730199"/>
    <w:rsid w:val="0073089F"/>
    <w:rsid w:val="00735AC2"/>
    <w:rsid w:val="00735FA8"/>
    <w:rsid w:val="00736235"/>
    <w:rsid w:val="0074117B"/>
    <w:rsid w:val="007418D1"/>
    <w:rsid w:val="00745268"/>
    <w:rsid w:val="007465A6"/>
    <w:rsid w:val="00747416"/>
    <w:rsid w:val="00752C0E"/>
    <w:rsid w:val="007532A7"/>
    <w:rsid w:val="00756B1C"/>
    <w:rsid w:val="007573DA"/>
    <w:rsid w:val="00760412"/>
    <w:rsid w:val="007615F3"/>
    <w:rsid w:val="00772E17"/>
    <w:rsid w:val="00775570"/>
    <w:rsid w:val="00777CA3"/>
    <w:rsid w:val="00782404"/>
    <w:rsid w:val="0078620D"/>
    <w:rsid w:val="00786B4D"/>
    <w:rsid w:val="00793F0B"/>
    <w:rsid w:val="0079426A"/>
    <w:rsid w:val="00794B6A"/>
    <w:rsid w:val="007A41FB"/>
    <w:rsid w:val="007B2F3D"/>
    <w:rsid w:val="007B3267"/>
    <w:rsid w:val="007B6CDB"/>
    <w:rsid w:val="007C044C"/>
    <w:rsid w:val="007C14C8"/>
    <w:rsid w:val="007D15EE"/>
    <w:rsid w:val="007D2DDB"/>
    <w:rsid w:val="007E34DC"/>
    <w:rsid w:val="007F0EF4"/>
    <w:rsid w:val="007F10F3"/>
    <w:rsid w:val="007F263E"/>
    <w:rsid w:val="007F3D7E"/>
    <w:rsid w:val="007F7390"/>
    <w:rsid w:val="007F7AE8"/>
    <w:rsid w:val="00801EC3"/>
    <w:rsid w:val="0080270B"/>
    <w:rsid w:val="00803777"/>
    <w:rsid w:val="008069B2"/>
    <w:rsid w:val="00812E69"/>
    <w:rsid w:val="0081313E"/>
    <w:rsid w:val="0081355F"/>
    <w:rsid w:val="00816970"/>
    <w:rsid w:val="008176B3"/>
    <w:rsid w:val="00817E22"/>
    <w:rsid w:val="00821DE7"/>
    <w:rsid w:val="008236E9"/>
    <w:rsid w:val="00826D08"/>
    <w:rsid w:val="00827AF1"/>
    <w:rsid w:val="008348A5"/>
    <w:rsid w:val="0083516F"/>
    <w:rsid w:val="00840127"/>
    <w:rsid w:val="0084647B"/>
    <w:rsid w:val="00850A25"/>
    <w:rsid w:val="0085797D"/>
    <w:rsid w:val="00861B93"/>
    <w:rsid w:val="00864D40"/>
    <w:rsid w:val="008656BD"/>
    <w:rsid w:val="008729AF"/>
    <w:rsid w:val="00873443"/>
    <w:rsid w:val="00874C4C"/>
    <w:rsid w:val="00875148"/>
    <w:rsid w:val="00876DB2"/>
    <w:rsid w:val="00881323"/>
    <w:rsid w:val="00884765"/>
    <w:rsid w:val="00891BD7"/>
    <w:rsid w:val="00892CDD"/>
    <w:rsid w:val="008945E9"/>
    <w:rsid w:val="008A117C"/>
    <w:rsid w:val="008A218B"/>
    <w:rsid w:val="008B271F"/>
    <w:rsid w:val="008B4EA6"/>
    <w:rsid w:val="008B558B"/>
    <w:rsid w:val="008B76C0"/>
    <w:rsid w:val="008D63A6"/>
    <w:rsid w:val="008E05A4"/>
    <w:rsid w:val="008F1359"/>
    <w:rsid w:val="008F1FE4"/>
    <w:rsid w:val="008F2480"/>
    <w:rsid w:val="008F2508"/>
    <w:rsid w:val="008F45A7"/>
    <w:rsid w:val="00900301"/>
    <w:rsid w:val="0091228F"/>
    <w:rsid w:val="00912C52"/>
    <w:rsid w:val="00915318"/>
    <w:rsid w:val="009157F6"/>
    <w:rsid w:val="00923397"/>
    <w:rsid w:val="009238A2"/>
    <w:rsid w:val="00932760"/>
    <w:rsid w:val="0093276B"/>
    <w:rsid w:val="00936BC7"/>
    <w:rsid w:val="00955804"/>
    <w:rsid w:val="009607F0"/>
    <w:rsid w:val="00972155"/>
    <w:rsid w:val="009724D2"/>
    <w:rsid w:val="00973037"/>
    <w:rsid w:val="009737DD"/>
    <w:rsid w:val="00976799"/>
    <w:rsid w:val="009803A2"/>
    <w:rsid w:val="00981EE2"/>
    <w:rsid w:val="009820AE"/>
    <w:rsid w:val="0098406B"/>
    <w:rsid w:val="009874F7"/>
    <w:rsid w:val="00990CA9"/>
    <w:rsid w:val="00993DDC"/>
    <w:rsid w:val="0099799F"/>
    <w:rsid w:val="009A176B"/>
    <w:rsid w:val="009A4377"/>
    <w:rsid w:val="009A76F2"/>
    <w:rsid w:val="009B07ED"/>
    <w:rsid w:val="009B12C2"/>
    <w:rsid w:val="009B21F7"/>
    <w:rsid w:val="009B6A36"/>
    <w:rsid w:val="009C0A13"/>
    <w:rsid w:val="009C21EF"/>
    <w:rsid w:val="009D0C95"/>
    <w:rsid w:val="009D1CB3"/>
    <w:rsid w:val="009D1CDB"/>
    <w:rsid w:val="009D27DD"/>
    <w:rsid w:val="009D6444"/>
    <w:rsid w:val="009D6827"/>
    <w:rsid w:val="009D702D"/>
    <w:rsid w:val="009E11FA"/>
    <w:rsid w:val="009E1670"/>
    <w:rsid w:val="009E31D9"/>
    <w:rsid w:val="009E55D3"/>
    <w:rsid w:val="009E74F8"/>
    <w:rsid w:val="009F4410"/>
    <w:rsid w:val="009F4E90"/>
    <w:rsid w:val="00A00242"/>
    <w:rsid w:val="00A011FF"/>
    <w:rsid w:val="00A02104"/>
    <w:rsid w:val="00A0249F"/>
    <w:rsid w:val="00A05A1A"/>
    <w:rsid w:val="00A060CC"/>
    <w:rsid w:val="00A122E5"/>
    <w:rsid w:val="00A13A0C"/>
    <w:rsid w:val="00A14486"/>
    <w:rsid w:val="00A16BDE"/>
    <w:rsid w:val="00A21A4F"/>
    <w:rsid w:val="00A22D1F"/>
    <w:rsid w:val="00A26D97"/>
    <w:rsid w:val="00A2730E"/>
    <w:rsid w:val="00A2795F"/>
    <w:rsid w:val="00A354B0"/>
    <w:rsid w:val="00A36198"/>
    <w:rsid w:val="00A376C9"/>
    <w:rsid w:val="00A409A5"/>
    <w:rsid w:val="00A443C9"/>
    <w:rsid w:val="00A47807"/>
    <w:rsid w:val="00A538BD"/>
    <w:rsid w:val="00A53D4A"/>
    <w:rsid w:val="00A56260"/>
    <w:rsid w:val="00A56B27"/>
    <w:rsid w:val="00A62B19"/>
    <w:rsid w:val="00A674BD"/>
    <w:rsid w:val="00A676CF"/>
    <w:rsid w:val="00A7124D"/>
    <w:rsid w:val="00A73951"/>
    <w:rsid w:val="00A76AB9"/>
    <w:rsid w:val="00A770A0"/>
    <w:rsid w:val="00A8189F"/>
    <w:rsid w:val="00A81C31"/>
    <w:rsid w:val="00A87996"/>
    <w:rsid w:val="00A90718"/>
    <w:rsid w:val="00A91EF3"/>
    <w:rsid w:val="00A94001"/>
    <w:rsid w:val="00A97EAC"/>
    <w:rsid w:val="00AA145D"/>
    <w:rsid w:val="00AB15FA"/>
    <w:rsid w:val="00AB3935"/>
    <w:rsid w:val="00AC2564"/>
    <w:rsid w:val="00AC3AF0"/>
    <w:rsid w:val="00AC505B"/>
    <w:rsid w:val="00AC666E"/>
    <w:rsid w:val="00AD0CDF"/>
    <w:rsid w:val="00AD60AB"/>
    <w:rsid w:val="00AE15A4"/>
    <w:rsid w:val="00AE3AA7"/>
    <w:rsid w:val="00AE4A6C"/>
    <w:rsid w:val="00B02748"/>
    <w:rsid w:val="00B03D26"/>
    <w:rsid w:val="00B12118"/>
    <w:rsid w:val="00B133BB"/>
    <w:rsid w:val="00B175FE"/>
    <w:rsid w:val="00B2219A"/>
    <w:rsid w:val="00B2473B"/>
    <w:rsid w:val="00B25ACD"/>
    <w:rsid w:val="00B31278"/>
    <w:rsid w:val="00B33BCC"/>
    <w:rsid w:val="00B4009F"/>
    <w:rsid w:val="00B42BF9"/>
    <w:rsid w:val="00B46428"/>
    <w:rsid w:val="00B464AC"/>
    <w:rsid w:val="00B46ACB"/>
    <w:rsid w:val="00B54D7E"/>
    <w:rsid w:val="00B55D3E"/>
    <w:rsid w:val="00B6076F"/>
    <w:rsid w:val="00B6770E"/>
    <w:rsid w:val="00B7495D"/>
    <w:rsid w:val="00B752AE"/>
    <w:rsid w:val="00B7592A"/>
    <w:rsid w:val="00B81041"/>
    <w:rsid w:val="00B83777"/>
    <w:rsid w:val="00B8487D"/>
    <w:rsid w:val="00B84B0B"/>
    <w:rsid w:val="00B85A64"/>
    <w:rsid w:val="00B87AA2"/>
    <w:rsid w:val="00B90417"/>
    <w:rsid w:val="00B96BE5"/>
    <w:rsid w:val="00B97DB0"/>
    <w:rsid w:val="00BA085F"/>
    <w:rsid w:val="00BA3CBC"/>
    <w:rsid w:val="00BA3E27"/>
    <w:rsid w:val="00BA3E2C"/>
    <w:rsid w:val="00BB05D5"/>
    <w:rsid w:val="00BB2CEE"/>
    <w:rsid w:val="00BB4B6F"/>
    <w:rsid w:val="00BB563F"/>
    <w:rsid w:val="00BB7023"/>
    <w:rsid w:val="00BC15DA"/>
    <w:rsid w:val="00BC4207"/>
    <w:rsid w:val="00BD1C70"/>
    <w:rsid w:val="00BD3831"/>
    <w:rsid w:val="00BD54D9"/>
    <w:rsid w:val="00BD770D"/>
    <w:rsid w:val="00BE41F7"/>
    <w:rsid w:val="00BF0642"/>
    <w:rsid w:val="00BF5AF4"/>
    <w:rsid w:val="00C0327B"/>
    <w:rsid w:val="00C04006"/>
    <w:rsid w:val="00C065D3"/>
    <w:rsid w:val="00C07DF1"/>
    <w:rsid w:val="00C12996"/>
    <w:rsid w:val="00C142F3"/>
    <w:rsid w:val="00C20E03"/>
    <w:rsid w:val="00C21B78"/>
    <w:rsid w:val="00C23C5E"/>
    <w:rsid w:val="00C24E3A"/>
    <w:rsid w:val="00C31F41"/>
    <w:rsid w:val="00C37848"/>
    <w:rsid w:val="00C41D6A"/>
    <w:rsid w:val="00C41DFE"/>
    <w:rsid w:val="00C44053"/>
    <w:rsid w:val="00C44F63"/>
    <w:rsid w:val="00C45485"/>
    <w:rsid w:val="00C46D10"/>
    <w:rsid w:val="00C521A3"/>
    <w:rsid w:val="00C52980"/>
    <w:rsid w:val="00C53427"/>
    <w:rsid w:val="00C53D46"/>
    <w:rsid w:val="00C53F58"/>
    <w:rsid w:val="00C547D3"/>
    <w:rsid w:val="00C604EB"/>
    <w:rsid w:val="00C62663"/>
    <w:rsid w:val="00C64BE2"/>
    <w:rsid w:val="00C67393"/>
    <w:rsid w:val="00C73FFA"/>
    <w:rsid w:val="00C744A8"/>
    <w:rsid w:val="00C74544"/>
    <w:rsid w:val="00C83C6D"/>
    <w:rsid w:val="00C86E48"/>
    <w:rsid w:val="00C9097D"/>
    <w:rsid w:val="00CA7346"/>
    <w:rsid w:val="00CB19B8"/>
    <w:rsid w:val="00CB345A"/>
    <w:rsid w:val="00CC0873"/>
    <w:rsid w:val="00CC47BE"/>
    <w:rsid w:val="00CD4C4C"/>
    <w:rsid w:val="00CE28B1"/>
    <w:rsid w:val="00CE38A0"/>
    <w:rsid w:val="00CE4DE2"/>
    <w:rsid w:val="00CF0815"/>
    <w:rsid w:val="00CF3682"/>
    <w:rsid w:val="00CF5A87"/>
    <w:rsid w:val="00D009F5"/>
    <w:rsid w:val="00D03E64"/>
    <w:rsid w:val="00D052E1"/>
    <w:rsid w:val="00D06D76"/>
    <w:rsid w:val="00D11D9B"/>
    <w:rsid w:val="00D2505F"/>
    <w:rsid w:val="00D2618A"/>
    <w:rsid w:val="00D27182"/>
    <w:rsid w:val="00D339C4"/>
    <w:rsid w:val="00D33D6A"/>
    <w:rsid w:val="00D350CE"/>
    <w:rsid w:val="00D35C33"/>
    <w:rsid w:val="00D43DE1"/>
    <w:rsid w:val="00D44305"/>
    <w:rsid w:val="00D46729"/>
    <w:rsid w:val="00D50303"/>
    <w:rsid w:val="00D55383"/>
    <w:rsid w:val="00D55B9C"/>
    <w:rsid w:val="00D60280"/>
    <w:rsid w:val="00D6199A"/>
    <w:rsid w:val="00D64D96"/>
    <w:rsid w:val="00D654B5"/>
    <w:rsid w:val="00D66EA3"/>
    <w:rsid w:val="00D74497"/>
    <w:rsid w:val="00D85197"/>
    <w:rsid w:val="00D86B31"/>
    <w:rsid w:val="00D92D7E"/>
    <w:rsid w:val="00D94090"/>
    <w:rsid w:val="00D9700C"/>
    <w:rsid w:val="00D97FF4"/>
    <w:rsid w:val="00DA1AE2"/>
    <w:rsid w:val="00DA35A8"/>
    <w:rsid w:val="00DA3C7C"/>
    <w:rsid w:val="00DA4287"/>
    <w:rsid w:val="00DA573B"/>
    <w:rsid w:val="00DB436A"/>
    <w:rsid w:val="00DB6631"/>
    <w:rsid w:val="00DD414D"/>
    <w:rsid w:val="00DD510B"/>
    <w:rsid w:val="00DD67DF"/>
    <w:rsid w:val="00DE076F"/>
    <w:rsid w:val="00DE1DF8"/>
    <w:rsid w:val="00DE33F5"/>
    <w:rsid w:val="00DE643D"/>
    <w:rsid w:val="00E004C7"/>
    <w:rsid w:val="00E05A8D"/>
    <w:rsid w:val="00E12F02"/>
    <w:rsid w:val="00E131D0"/>
    <w:rsid w:val="00E266AB"/>
    <w:rsid w:val="00E26B49"/>
    <w:rsid w:val="00E26E53"/>
    <w:rsid w:val="00E30A4A"/>
    <w:rsid w:val="00E333B7"/>
    <w:rsid w:val="00E3418F"/>
    <w:rsid w:val="00E34639"/>
    <w:rsid w:val="00E347A9"/>
    <w:rsid w:val="00E36072"/>
    <w:rsid w:val="00E40D27"/>
    <w:rsid w:val="00E410EC"/>
    <w:rsid w:val="00E51FF0"/>
    <w:rsid w:val="00E5309A"/>
    <w:rsid w:val="00E54DCE"/>
    <w:rsid w:val="00E5678C"/>
    <w:rsid w:val="00E57C4A"/>
    <w:rsid w:val="00E60B68"/>
    <w:rsid w:val="00E617BE"/>
    <w:rsid w:val="00E63747"/>
    <w:rsid w:val="00E70281"/>
    <w:rsid w:val="00E711C6"/>
    <w:rsid w:val="00E82F41"/>
    <w:rsid w:val="00E87BBD"/>
    <w:rsid w:val="00E92B0A"/>
    <w:rsid w:val="00E952CE"/>
    <w:rsid w:val="00E96CFC"/>
    <w:rsid w:val="00EA0040"/>
    <w:rsid w:val="00EA0917"/>
    <w:rsid w:val="00EA1750"/>
    <w:rsid w:val="00EA3017"/>
    <w:rsid w:val="00EA7EBA"/>
    <w:rsid w:val="00EB1E4E"/>
    <w:rsid w:val="00EC1356"/>
    <w:rsid w:val="00EC55C3"/>
    <w:rsid w:val="00EC649C"/>
    <w:rsid w:val="00EC67EF"/>
    <w:rsid w:val="00EC7367"/>
    <w:rsid w:val="00ED1BDC"/>
    <w:rsid w:val="00EE07AC"/>
    <w:rsid w:val="00EE15A8"/>
    <w:rsid w:val="00EE4034"/>
    <w:rsid w:val="00EE51E9"/>
    <w:rsid w:val="00EE56B8"/>
    <w:rsid w:val="00EE7105"/>
    <w:rsid w:val="00EE78DE"/>
    <w:rsid w:val="00EF3807"/>
    <w:rsid w:val="00EF5450"/>
    <w:rsid w:val="00EF69F7"/>
    <w:rsid w:val="00F00502"/>
    <w:rsid w:val="00F026EF"/>
    <w:rsid w:val="00F07481"/>
    <w:rsid w:val="00F107F5"/>
    <w:rsid w:val="00F128E2"/>
    <w:rsid w:val="00F1656D"/>
    <w:rsid w:val="00F2205E"/>
    <w:rsid w:val="00F25559"/>
    <w:rsid w:val="00F27E7E"/>
    <w:rsid w:val="00F31291"/>
    <w:rsid w:val="00F3503D"/>
    <w:rsid w:val="00F37390"/>
    <w:rsid w:val="00F37F09"/>
    <w:rsid w:val="00F42A53"/>
    <w:rsid w:val="00F430F7"/>
    <w:rsid w:val="00F44529"/>
    <w:rsid w:val="00F45A2E"/>
    <w:rsid w:val="00F46A6C"/>
    <w:rsid w:val="00F4748F"/>
    <w:rsid w:val="00F6197D"/>
    <w:rsid w:val="00F61AEA"/>
    <w:rsid w:val="00F63900"/>
    <w:rsid w:val="00F653C1"/>
    <w:rsid w:val="00F66AA6"/>
    <w:rsid w:val="00F67CF6"/>
    <w:rsid w:val="00F7031A"/>
    <w:rsid w:val="00F76840"/>
    <w:rsid w:val="00F81C98"/>
    <w:rsid w:val="00F82670"/>
    <w:rsid w:val="00F85E1E"/>
    <w:rsid w:val="00F87BCC"/>
    <w:rsid w:val="00F9334E"/>
    <w:rsid w:val="00FA1DAB"/>
    <w:rsid w:val="00FA1E1C"/>
    <w:rsid w:val="00FA5CE6"/>
    <w:rsid w:val="00FA6DBE"/>
    <w:rsid w:val="00FC0AEF"/>
    <w:rsid w:val="00FC1566"/>
    <w:rsid w:val="00FC4BDB"/>
    <w:rsid w:val="00FC542E"/>
    <w:rsid w:val="00FC74A2"/>
    <w:rsid w:val="00FD0CE0"/>
    <w:rsid w:val="00FD24D9"/>
    <w:rsid w:val="00FD5A3E"/>
    <w:rsid w:val="00FD5AA5"/>
    <w:rsid w:val="00FD68F7"/>
    <w:rsid w:val="00FE2542"/>
    <w:rsid w:val="00FE72F4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EAC8D"/>
  <w15:chartTrackingRefBased/>
  <w15:docId w15:val="{195AC946-6236-4722-8C61-7F62FF6D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47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49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496E"/>
    <w:pPr>
      <w:tabs>
        <w:tab w:val="center" w:pos="4320"/>
        <w:tab w:val="right" w:pos="8640"/>
      </w:tabs>
    </w:pPr>
  </w:style>
  <w:style w:type="character" w:styleId="Hyperlink">
    <w:name w:val="Hyperlink"/>
    <w:rsid w:val="003C1872"/>
    <w:rPr>
      <w:color w:val="0000FF"/>
      <w:u w:val="single"/>
    </w:rPr>
  </w:style>
  <w:style w:type="character" w:styleId="FollowedHyperlink">
    <w:name w:val="FollowedHyperlink"/>
    <w:rsid w:val="00B87AA2"/>
    <w:rPr>
      <w:color w:val="800080"/>
      <w:u w:val="single"/>
    </w:rPr>
  </w:style>
  <w:style w:type="character" w:styleId="CommentReference">
    <w:name w:val="annotation reference"/>
    <w:semiHidden/>
    <w:rsid w:val="00F7031A"/>
    <w:rPr>
      <w:sz w:val="16"/>
      <w:szCs w:val="16"/>
    </w:rPr>
  </w:style>
  <w:style w:type="paragraph" w:styleId="CommentText">
    <w:name w:val="annotation text"/>
    <w:basedOn w:val="Normal"/>
    <w:semiHidden/>
    <w:rsid w:val="00F7031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F7031A"/>
    <w:rPr>
      <w:b/>
      <w:bCs/>
    </w:rPr>
  </w:style>
  <w:style w:type="paragraph" w:styleId="BalloonText">
    <w:name w:val="Balloon Text"/>
    <w:basedOn w:val="Normal"/>
    <w:semiHidden/>
    <w:rsid w:val="00F703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9042F"/>
    <w:pPr>
      <w:ind w:left="720"/>
      <w:contextualSpacing/>
    </w:pPr>
  </w:style>
  <w:style w:type="paragraph" w:styleId="NormalWeb">
    <w:name w:val="Normal (Web)"/>
    <w:basedOn w:val="Normal"/>
    <w:uiPriority w:val="99"/>
    <w:rsid w:val="00192529"/>
    <w:pPr>
      <w:spacing w:before="100" w:beforeAutospacing="1" w:after="100" w:afterAutospacing="1"/>
    </w:pPr>
    <w:rPr>
      <w:rFonts w:ascii="Trebuchet MS" w:hAnsi="Trebuchet MS"/>
      <w:color w:val="444444"/>
      <w:sz w:val="20"/>
      <w:szCs w:val="20"/>
    </w:rPr>
  </w:style>
  <w:style w:type="character" w:customStyle="1" w:styleId="whuggins">
    <w:name w:val="whuggins"/>
    <w:semiHidden/>
    <w:rsid w:val="005443EF"/>
    <w:rPr>
      <w:rFonts w:ascii="Arial" w:hAnsi="Arial" w:cs="Arial"/>
      <w:color w:val="000080"/>
      <w:sz w:val="20"/>
      <w:szCs w:val="20"/>
    </w:rPr>
  </w:style>
  <w:style w:type="character" w:styleId="Strong">
    <w:name w:val="Strong"/>
    <w:qFormat/>
    <w:rsid w:val="0014724B"/>
    <w:rPr>
      <w:b/>
      <w:bCs/>
    </w:rPr>
  </w:style>
  <w:style w:type="table" w:styleId="TableGrid">
    <w:name w:val="Table Grid"/>
    <w:basedOn w:val="TableNormal"/>
    <w:rsid w:val="00660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4672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C5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7920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8779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19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9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4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4419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82745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52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26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23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1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6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787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9489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8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0788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92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27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0697">
          <w:marLeft w:val="0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03592">
                  <w:marLeft w:val="15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52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5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37//0022-3514.67.6.1063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x.doi.org/10.1016%2Fs0027-9684(15)30733-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j.jpainsymman.2006.08.01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37/1040-3590.18.4.4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11/j.1469-7610.2004.00372.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6E660-83D5-44FD-984F-681E0FCD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Birthplace</vt:lpstr>
    </vt:vector>
  </TitlesOfParts>
  <Manager/>
  <Company>RTI International</Company>
  <LinksUpToDate>false</LinksUpToDate>
  <CharactersWithSpaces>5729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Ives, Cataia</cp:lastModifiedBy>
  <cp:revision>4</cp:revision>
  <cp:lastPrinted>2016-11-18T13:56:00Z</cp:lastPrinted>
  <dcterms:created xsi:type="dcterms:W3CDTF">2022-08-17T15:34:00Z</dcterms:created>
  <dcterms:modified xsi:type="dcterms:W3CDTF">2022-08-31T14:06:00Z</dcterms:modified>
  <cp:category/>
</cp:coreProperties>
</file>