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Rare Genetic Conditions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Genetic Variant Nomenclature Standards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is a standardized method to determine the nucleotide and/or protein name of a sequence alteration in an individual’s DNA and/or RNA.</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Human Genome Variation Society’s (HGVS’s) guidelines for sequence variant nomenclature is a comprehensive guide on how to describe (i.e., name) any identified variant by a standardized method.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Mutalyzer is a free online tool which is primarily used to check that sequence variant descriptions follow the HGVS nomenclature guidelines.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Use of the HGVS guidelines and Mutalyzer allows researchers to describe sequence variants in a consistent, standardized manner at the DNA, RNA, and protein levels.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sz w:val="22"/>
                <w:szCs w:val="22"/>
              </w:rPr>
              <w:t>The Human Genome Variation Society (HGVS) guide is available on their website (</w:t>
            </w:r>
            <w:hyperlink r:id="rId2">
              <w:r>
                <w:rPr>
                  <w:rStyle w:val="InternetLink"/>
                  <w:rFonts w:cs="Arial" w:ascii="Arial" w:hAnsi="Arial"/>
                  <w:sz w:val="22"/>
                  <w:szCs w:val="22"/>
                </w:rPr>
                <w:t>www.hgvs.org</w:t>
              </w:r>
            </w:hyperlink>
            <w:r>
              <w:rPr>
                <w:rFonts w:cs="Arial" w:ascii="Arial" w:hAnsi="Arial"/>
                <w:sz w:val="22"/>
                <w:szCs w:val="22"/>
              </w:rPr>
              <w:t xml:space="preserve"> or </w:t>
            </w:r>
            <w:hyperlink r:id="rId3">
              <w:r>
                <w:rPr>
                  <w:rStyle w:val="InternetLink"/>
                  <w:rFonts w:cs="Arial" w:ascii="Arial" w:hAnsi="Arial"/>
                  <w:sz w:val="22"/>
                  <w:szCs w:val="22"/>
                </w:rPr>
                <w:t>www.hgvs.org/mutnomen</w:t>
              </w:r>
            </w:hyperlink>
            <w:r>
              <w:rPr>
                <w:rFonts w:cs="Arial" w:ascii="Arial" w:hAnsi="Arial"/>
                <w:sz w:val="22"/>
                <w:szCs w:val="22"/>
              </w:rPr>
              <w:t>) The guide includes general and detailed recommendations as well as explanations/examples of how to describe a sequence variant at the DNA, RNA, and protein levels. Additionally, the guide includes definitions for standard terms and symbols used in sequence variant nomenclature.</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 xml:space="preserve">The Mutation Analyzer (i.e., Mutalyzer) was developed by Drs. Wildeman, van Ophuizen, den Dunnen, and Taschner and is available online at </w:t>
            </w:r>
            <w:hyperlink r:id="rId4">
              <w:r>
                <w:rPr>
                  <w:rStyle w:val="InternetLink"/>
                  <w:rFonts w:cs="Arial" w:ascii="Arial" w:hAnsi="Arial"/>
                  <w:sz w:val="22"/>
                  <w:szCs w:val="22"/>
                </w:rPr>
                <w:t>www.mutalyzer.nl</w:t>
              </w:r>
            </w:hyperlink>
            <w:r>
              <w:rPr>
                <w:rFonts w:cs="Arial" w:ascii="Arial" w:hAnsi="Arial"/>
                <w:sz w:val="22"/>
                <w:szCs w:val="22"/>
              </w:rPr>
              <w:t>. When a user enters a sequence variant into this tool, it conducts an automated analysis using a reference sequence. If the analysis determines the sequence is invalid, it will correct the sequence to the HGVS nomenclature, when possible.</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Mutalyzer has various functionalities, which include Name Checker, Syntax Checker, Position Converter, SNP Converter, Name Generator, Description Extractor, Reference File Loader, Batch Checkers, and Web Services. The information provided from this online tool depends on which functionality the user selects.</w:t>
            </w:r>
          </w:p>
          <w:p>
            <w:pPr>
              <w:pStyle w:val="Normal"/>
              <w:spacing w:before="0" w:after="0"/>
              <w:contextualSpacing/>
              <w:rPr>
                <w:rFonts w:ascii="Arial" w:hAnsi="Arial" w:cs="Arial"/>
                <w:sz w:val="22"/>
                <w:szCs w:val="22"/>
              </w:rPr>
            </w:pPr>
            <w:r>
              <w:rPr>
                <w:rFonts w:cs="Arial" w:ascii="Arial" w:hAnsi="Arial"/>
                <w:sz w:val="22"/>
                <w:szCs w:val="22"/>
              </w:rPr>
            </w:r>
          </w:p>
          <w:p>
            <w:pPr>
              <w:pStyle w:val="Default"/>
              <w:rPr>
                <w:sz w:val="22"/>
                <w:szCs w:val="22"/>
              </w:rPr>
            </w:pPr>
            <w:r>
              <w:rPr>
                <w:sz w:val="22"/>
                <w:szCs w:val="22"/>
              </w:rPr>
              <w:t>The information from Mutalyzer allows researchers to confirm the description of a sequence variant is valid per the HGVS nomenclature guidelines and to report research findings in a consistent, standard manner.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Fetus, or from birth to adulthood</w:t>
            </w:r>
          </w:p>
        </w:tc>
      </w:tr>
      <w:tr>
        <w:trPr>
          <w:trHeight w:val="370"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Human Genome Variation Society (HGVS):</w:t>
            </w:r>
          </w:p>
          <w:p>
            <w:pPr>
              <w:pStyle w:val="Normal"/>
              <w:spacing w:before="0" w:after="0"/>
              <w:contextualSpacing/>
              <w:rPr>
                <w:rFonts w:ascii="Arial" w:hAnsi="Arial" w:cs="Arial"/>
                <w:sz w:val="22"/>
                <w:szCs w:val="22"/>
              </w:rPr>
            </w:pPr>
            <w:r>
              <w:rPr>
                <w:rFonts w:cs="Arial" w:ascii="Arial" w:hAnsi="Arial"/>
                <w:sz w:val="22"/>
                <w:szCs w:val="22"/>
              </w:rPr>
              <w:t xml:space="preserve">den Dunnen, J. T., &amp; Antonarakis, S. E. (2000). Mutation nomenclature extensions and suggestions to describe complex mutations: A discussion. </w:t>
            </w:r>
            <w:r>
              <w:rPr>
                <w:rFonts w:cs="Arial" w:ascii="Arial" w:hAnsi="Arial"/>
                <w:i/>
                <w:sz w:val="22"/>
                <w:szCs w:val="22"/>
              </w:rPr>
              <w:t>Human Mutation, 15</w:t>
            </w:r>
            <w:r>
              <w:rPr>
                <w:rFonts w:cs="Arial" w:ascii="Arial" w:hAnsi="Arial"/>
                <w:sz w:val="22"/>
                <w:szCs w:val="22"/>
              </w:rPr>
              <w:t xml:space="preserve">(1), 7–12.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Mutalyzer:</w:t>
            </w:r>
          </w:p>
          <w:p>
            <w:pPr>
              <w:pStyle w:val="NormalWeb"/>
              <w:spacing w:before="0" w:after="0"/>
              <w:rPr>
                <w:rFonts w:ascii="Arial" w:hAnsi="Arial" w:cs="Arial"/>
                <w:color w:val="000000"/>
                <w:sz w:val="22"/>
                <w:szCs w:val="22"/>
              </w:rPr>
            </w:pPr>
            <w:r>
              <w:rPr>
                <w:rFonts w:cs="Arial" w:ascii="Arial" w:hAnsi="Arial"/>
                <w:color w:val="000000"/>
                <w:sz w:val="22"/>
                <w:szCs w:val="22"/>
              </w:rPr>
              <w:t xml:space="preserve">Wildeman, M., van Ophuizen, E., den Dunnen, J. T., &amp; Taschner, P. E. (2008). Improving sequence variant descriptions in mutation databases and literature using the MUTALYZER sequence variation nomenclature checker. </w:t>
            </w:r>
            <w:r>
              <w:rPr>
                <w:rFonts w:cs="Arial" w:ascii="Arial" w:hAnsi="Arial"/>
                <w:i/>
                <w:color w:val="000000"/>
                <w:sz w:val="22"/>
                <w:szCs w:val="22"/>
              </w:rPr>
              <w:t>Human Mutation, 29,</w:t>
            </w:r>
            <w:r>
              <w:rPr>
                <w:rFonts w:cs="Arial" w:ascii="Arial" w:hAnsi="Arial"/>
                <w:color w:val="000000"/>
                <w:sz w:val="22"/>
                <w:szCs w:val="22"/>
              </w:rPr>
              <w:t xml:space="preserve"> 6–13.</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color w:val="000000"/>
                <w:sz w:val="22"/>
                <w:szCs w:val="22"/>
              </w:rPr>
              <w:t xml:space="preserve">Clinical Laboratory Improvement Amendments–certified laboratories listed at </w:t>
            </w:r>
            <w:hyperlink r:id="rId5">
              <w:r>
                <w:rPr>
                  <w:rStyle w:val="InternetLink"/>
                  <w:rFonts w:cs="Arial" w:ascii="Arial" w:hAnsi="Arial"/>
                  <w:color w:val="0000FF"/>
                  <w:sz w:val="22"/>
                  <w:szCs w:val="22"/>
                  <w:u w:val="single"/>
                </w:rPr>
                <w:t>www.genetests.org</w:t>
              </w:r>
            </w:hyperlink>
            <w:r>
              <w:rPr>
                <w:rFonts w:cs="Arial" w:ascii="Arial" w:hAnsi="Arial"/>
                <w:color w:val="000000"/>
                <w:sz w:val="22"/>
                <w:szCs w:val="22"/>
              </w:rPr>
              <w:t xml:space="preserve"> are qualified to complete genetic testing which provides the location of a sequence variant in an individual’s DNA/RNA.</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color w:val="000000"/>
                <w:sz w:val="22"/>
                <w:szCs w:val="22"/>
              </w:rPr>
              <w:t xml:space="preserve">Clinical Laboratory Improvement Amendments–certified laboratories listed at </w:t>
            </w:r>
            <w:hyperlink r:id="rId6">
              <w:r>
                <w:rPr>
                  <w:rStyle w:val="InternetLink"/>
                  <w:rFonts w:cs="Arial" w:ascii="Arial" w:hAnsi="Arial"/>
                  <w:color w:val="0000FF"/>
                  <w:sz w:val="22"/>
                  <w:szCs w:val="22"/>
                  <w:u w:val="single"/>
                </w:rPr>
                <w:t>www.genetests.org</w:t>
              </w:r>
            </w:hyperlink>
            <w:r>
              <w:rPr>
                <w:rFonts w:cs="Arial" w:ascii="Arial" w:hAnsi="Arial"/>
                <w:color w:val="000000"/>
                <w:sz w:val="22"/>
                <w:szCs w:val="22"/>
              </w:rPr>
              <w: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Bioassay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sz w:val="22"/>
                <w:szCs w:val="22"/>
              </w:rPr>
              <w:t>Human Genome Variation Society (HGVS):</w:t>
            </w:r>
          </w:p>
          <w:p>
            <w:pPr>
              <w:pStyle w:val="Normal"/>
              <w:spacing w:before="0" w:after="0"/>
              <w:contextualSpacing/>
              <w:rPr>
                <w:rFonts w:ascii="Arial" w:hAnsi="Arial" w:cs="Arial"/>
                <w:sz w:val="22"/>
                <w:szCs w:val="22"/>
              </w:rPr>
            </w:pPr>
            <w:r>
              <w:rPr>
                <w:rFonts w:cs="Arial" w:ascii="Arial" w:hAnsi="Arial"/>
                <w:sz w:val="22"/>
                <w:szCs w:val="22"/>
              </w:rPr>
              <w:t xml:space="preserve">Beaudet, A. L., &amp; Tsui, L. C. (1993). A suggested nomenclature for designating mutations. </w:t>
            </w:r>
            <w:r>
              <w:rPr>
                <w:rFonts w:cs="Arial" w:ascii="Arial" w:hAnsi="Arial"/>
                <w:i/>
                <w:iCs/>
                <w:sz w:val="22"/>
                <w:szCs w:val="22"/>
              </w:rPr>
              <w:t>Human Mutation,</w:t>
            </w:r>
            <w:r>
              <w:rPr>
                <w:rFonts w:cs="Arial" w:ascii="Arial" w:hAnsi="Arial"/>
                <w:sz w:val="22"/>
                <w:szCs w:val="22"/>
              </w:rPr>
              <w:t xml:space="preserve"> </w:t>
            </w:r>
            <w:r>
              <w:rPr>
                <w:rFonts w:cs="Arial" w:ascii="Arial" w:hAnsi="Arial"/>
                <w:i/>
                <w:sz w:val="22"/>
                <w:szCs w:val="22"/>
              </w:rPr>
              <w:t>2</w:t>
            </w:r>
            <w:r>
              <w:rPr>
                <w:rFonts w:cs="Arial" w:ascii="Arial" w:hAnsi="Arial"/>
                <w:sz w:val="22"/>
                <w:szCs w:val="22"/>
              </w:rPr>
              <w:t>(4), 245–248.</w:t>
            </w:r>
          </w:p>
          <w:p>
            <w:pPr>
              <w:pStyle w:val="Normal"/>
              <w:spacing w:before="0" w:after="0"/>
              <w:contextualSpacing/>
              <w:rPr>
                <w:rFonts w:ascii="Arial" w:hAnsi="Arial" w:cs="Arial"/>
                <w:sz w:val="22"/>
                <w:szCs w:val="22"/>
              </w:rPr>
            </w:pPr>
            <w:r>
              <w:rPr>
                <w:rFonts w:cs="Arial" w:ascii="Arial" w:hAnsi="Arial"/>
                <w:sz w:val="22"/>
                <w:szCs w:val="22"/>
              </w:rPr>
            </w:r>
          </w:p>
          <w:p>
            <w:pPr>
              <w:pStyle w:val="Normal"/>
              <w:ind w:left="-43" w:hanging="0"/>
              <w:rPr>
                <w:rFonts w:ascii="Arial" w:hAnsi="Arial" w:cs="Arial"/>
                <w:sz w:val="22"/>
                <w:szCs w:val="22"/>
              </w:rPr>
            </w:pPr>
            <w:r>
              <w:rPr>
                <w:rFonts w:cs="Arial" w:ascii="Arial" w:hAnsi="Arial"/>
                <w:sz w:val="22"/>
                <w:szCs w:val="22"/>
              </w:rPr>
              <w:t xml:space="preserve">Beutler, E. (1993). The designation of mutations. </w:t>
            </w:r>
            <w:r>
              <w:rPr>
                <w:rFonts w:cs="Arial" w:ascii="Arial" w:hAnsi="Arial"/>
                <w:i/>
                <w:sz w:val="22"/>
                <w:szCs w:val="22"/>
              </w:rPr>
              <w:t>American Journal of Human Genetics,</w:t>
            </w:r>
            <w:r>
              <w:rPr>
                <w:rFonts w:cs="Arial" w:ascii="Arial" w:hAnsi="Arial"/>
                <w:sz w:val="22"/>
                <w:szCs w:val="22"/>
              </w:rPr>
              <w:t xml:space="preserve"> </w:t>
            </w:r>
            <w:r>
              <w:rPr>
                <w:rFonts w:cs="Arial" w:ascii="Arial" w:hAnsi="Arial"/>
                <w:i/>
                <w:sz w:val="22"/>
                <w:szCs w:val="22"/>
              </w:rPr>
              <w:t>53</w:t>
            </w:r>
            <w:r>
              <w:rPr>
                <w:rFonts w:cs="Arial" w:ascii="Arial" w:hAnsi="Arial"/>
                <w:sz w:val="22"/>
                <w:szCs w:val="22"/>
              </w:rPr>
              <w:t xml:space="preserve">(3), 783–785. </w:t>
            </w:r>
          </w:p>
          <w:p>
            <w:pPr>
              <w:pStyle w:val="Normal"/>
              <w:ind w:left="-43" w:hanging="0"/>
              <w:rPr>
                <w:rFonts w:ascii="Arial" w:hAnsi="Arial" w:cs="Arial"/>
                <w:sz w:val="22"/>
                <w:szCs w:val="22"/>
              </w:rPr>
            </w:pPr>
            <w:r>
              <w:rPr>
                <w:rFonts w:cs="Arial" w:ascii="Arial" w:hAnsi="Arial"/>
                <w:sz w:val="22"/>
                <w:szCs w:val="22"/>
              </w:rPr>
            </w:r>
          </w:p>
          <w:p>
            <w:pPr>
              <w:pStyle w:val="Normal"/>
              <w:ind w:left="-43" w:hanging="0"/>
              <w:rPr>
                <w:rFonts w:ascii="Arial" w:hAnsi="Arial" w:cs="Arial"/>
                <w:sz w:val="22"/>
                <w:szCs w:val="22"/>
              </w:rPr>
            </w:pPr>
            <w:r>
              <w:rPr>
                <w:rFonts w:cs="Arial" w:ascii="Arial" w:hAnsi="Arial"/>
                <w:sz w:val="22"/>
                <w:szCs w:val="22"/>
              </w:rPr>
              <w:t xml:space="preserve">Taschner, P. E. M., &amp; den Dunnen, J. T. (2011). </w:t>
            </w:r>
            <w:r>
              <w:rPr>
                <w:rStyle w:val="Emphasis"/>
                <w:rFonts w:cs="Arial" w:ascii="Arial" w:hAnsi="Arial"/>
                <w:i w:val="false"/>
                <w:sz w:val="22"/>
                <w:szCs w:val="22"/>
              </w:rPr>
              <w:t>Describing structural changes by extending HGVS sequence variation nomenclature</w:t>
            </w:r>
            <w:r>
              <w:rPr>
                <w:rFonts w:cs="Arial" w:ascii="Arial" w:hAnsi="Arial"/>
                <w:i/>
                <w:sz w:val="22"/>
                <w:szCs w:val="22"/>
              </w:rPr>
              <w:t>.</w:t>
            </w:r>
            <w:r>
              <w:rPr>
                <w:rFonts w:cs="Arial" w:ascii="Arial" w:hAnsi="Arial"/>
                <w:sz w:val="22"/>
                <w:szCs w:val="22"/>
              </w:rPr>
              <w:t xml:space="preserve"> </w:t>
            </w:r>
            <w:r>
              <w:rPr>
                <w:rFonts w:cs="Arial" w:ascii="Arial" w:hAnsi="Arial"/>
                <w:i/>
                <w:sz w:val="22"/>
                <w:szCs w:val="22"/>
              </w:rPr>
              <w:t>Human Mutation,</w:t>
            </w:r>
            <w:r>
              <w:rPr>
                <w:rFonts w:cs="Arial" w:ascii="Arial" w:hAnsi="Arial"/>
                <w:sz w:val="22"/>
                <w:szCs w:val="22"/>
              </w:rPr>
              <w:t xml:space="preserve"> </w:t>
            </w:r>
            <w:r>
              <w:rPr>
                <w:rFonts w:cs="Arial" w:ascii="Arial" w:hAnsi="Arial"/>
                <w:i/>
                <w:sz w:val="22"/>
                <w:szCs w:val="22"/>
              </w:rPr>
              <w:t>32</w:t>
            </w:r>
            <w:r>
              <w:rPr>
                <w:rFonts w:cs="Arial" w:ascii="Arial" w:hAnsi="Arial"/>
                <w:sz w:val="22"/>
                <w:szCs w:val="22"/>
              </w:rPr>
              <w:t xml:space="preserve">(5), 507–511. </w:t>
            </w:r>
          </w:p>
          <w:p>
            <w:pPr>
              <w:pStyle w:val="Normal"/>
              <w:ind w:left="-43" w:hanging="0"/>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Mutalyzer:</w:t>
            </w:r>
          </w:p>
          <w:p>
            <w:pPr>
              <w:pStyle w:val="Normal"/>
              <w:spacing w:before="0" w:after="0"/>
              <w:contextualSpacing/>
              <w:rPr>
                <w:rFonts w:ascii="Arial" w:hAnsi="Arial" w:cs="Arial"/>
                <w:sz w:val="22"/>
                <w:szCs w:val="22"/>
              </w:rPr>
            </w:pPr>
            <w:r>
              <w:rPr>
                <w:rFonts w:cs="Arial" w:ascii="Arial" w:hAnsi="Arial"/>
                <w:sz w:val="22"/>
                <w:szCs w:val="22"/>
              </w:rPr>
              <w:t xml:space="preserve">Mantuano, E., Romano, S., Veneziano, L., Gellera, C., Castellotti, B., Caimi, S., et al. (2010). Identification of novel and recurrent CACNA1A gene mutations in fifteen patients with episodic ataxia type 2. </w:t>
            </w:r>
            <w:r>
              <w:rPr>
                <w:rFonts w:cs="Arial" w:ascii="Arial" w:hAnsi="Arial"/>
                <w:i/>
                <w:sz w:val="22"/>
                <w:szCs w:val="22"/>
              </w:rPr>
              <w:t>Journal of the Neurological Sciences</w:t>
            </w:r>
            <w:r>
              <w:rPr>
                <w:rFonts w:cs="Arial" w:ascii="Arial" w:hAnsi="Arial"/>
                <w:sz w:val="22"/>
                <w:szCs w:val="22"/>
              </w:rPr>
              <w:t>,</w:t>
            </w:r>
            <w:r>
              <w:rPr>
                <w:i/>
                <w:sz w:val="22"/>
                <w:szCs w:val="22"/>
              </w:rPr>
              <w:t> </w:t>
            </w:r>
            <w:r>
              <w:rPr>
                <w:rFonts w:cs="Arial" w:ascii="Arial" w:hAnsi="Arial"/>
                <w:i/>
                <w:sz w:val="22"/>
                <w:szCs w:val="22"/>
              </w:rPr>
              <w:t>291</w:t>
            </w:r>
            <w:r>
              <w:rPr>
                <w:rFonts w:cs="Arial" w:ascii="Arial" w:hAnsi="Arial"/>
                <w:sz w:val="22"/>
                <w:szCs w:val="22"/>
              </w:rPr>
              <w:t>(1), 30–36.</w:t>
            </w:r>
          </w:p>
          <w:p>
            <w:pPr>
              <w:pStyle w:val="Normal"/>
              <w:spacing w:before="0" w:after="0"/>
              <w:contextualSpacing/>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shd w:fill="FFFFFF" w:val="clear"/>
              </w:rPr>
              <w:t xml:space="preserve">Oetting, W. S. (2007). The 2006 Human Genome Variation Society scientific meeting. </w:t>
            </w:r>
            <w:r>
              <w:rPr>
                <w:rFonts w:cs="Arial" w:ascii="Arial" w:hAnsi="Arial"/>
                <w:i/>
                <w:iCs/>
                <w:sz w:val="22"/>
                <w:szCs w:val="22"/>
                <w:shd w:fill="FFFFFF" w:val="clear"/>
              </w:rPr>
              <w:t>Human Mutation</w:t>
            </w:r>
            <w:r>
              <w:rPr>
                <w:rFonts w:cs="Arial" w:ascii="Arial" w:hAnsi="Arial"/>
                <w:sz w:val="22"/>
                <w:szCs w:val="22"/>
                <w:shd w:fill="FFFFFF" w:val="clear"/>
              </w:rPr>
              <w:t>,</w:t>
            </w:r>
            <w:r>
              <w:rPr>
                <w:rStyle w:val="Appleconvertedspace"/>
                <w:rFonts w:cs="Arial" w:ascii="Arial" w:hAnsi="Arial"/>
                <w:sz w:val="22"/>
                <w:szCs w:val="22"/>
                <w:shd w:fill="FFFFFF" w:val="clear"/>
              </w:rPr>
              <w:t> </w:t>
            </w:r>
            <w:r>
              <w:rPr>
                <w:rFonts w:cs="Arial" w:ascii="Arial" w:hAnsi="Arial"/>
                <w:i/>
                <w:iCs/>
                <w:sz w:val="22"/>
                <w:szCs w:val="22"/>
                <w:shd w:fill="FFFFFF" w:val="clear"/>
              </w:rPr>
              <w:t>28</w:t>
            </w:r>
            <w:r>
              <w:rPr>
                <w:rFonts w:cs="Arial" w:ascii="Arial" w:hAnsi="Arial"/>
                <w:sz w:val="22"/>
                <w:szCs w:val="22"/>
                <w:shd w:fill="FFFFFF" w:val="clear"/>
              </w:rPr>
              <w:t>(5), 517–521.</w:t>
            </w:r>
          </w:p>
        </w:tc>
      </w:tr>
    </w:tbl>
    <w:p>
      <w:pPr>
        <w:pStyle w:val="Normal"/>
        <w:spacing w:before="0" w:after="0"/>
        <w:contextualSpacing/>
        <w:rPr/>
      </w:pPr>
      <w:r>
        <w:rPr/>
      </w:r>
    </w:p>
    <w:sectPr>
      <w:headerReference w:type="default" r:id="rId7"/>
      <w:footerReference w:type="default" r:id="rId8"/>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Naming Genetic Mutations</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Rare Genetic Conditions</w:t>
    </w:r>
  </w:p>
  <w:p>
    <w:pPr>
      <w:pStyle w:val="Normal"/>
      <w:rPr>
        <w:rFonts w:ascii="Arial" w:hAnsi="Arial" w:cs="Arial"/>
        <w:b/>
        <w:b/>
        <w:sz w:val="20"/>
        <w:szCs w:val="20"/>
      </w:rPr>
    </w:pPr>
    <w:r>
      <w:rPr>
        <w:rFonts w:cs="Arial" w:ascii="Arial" w:hAnsi="Arial"/>
        <w:b/>
        <w:sz w:val="20"/>
        <w:szCs w:val="20"/>
      </w:rPr>
      <w:t>Release Date: TBD</w:t>
    </w:r>
  </w:p>
  <w:p>
    <w:pPr>
      <w:pStyle w:val="Normal"/>
      <w:rPr/>
    </w:pPr>
    <w:r>
      <w:rPr>
        <w:rFonts w:cs="Arial" w:ascii="Arial" w:hAnsi="Arial"/>
        <w:b/>
        <w:bCs/>
        <w:sz w:val="20"/>
        <w:szCs w:val="20"/>
      </w:rPr>
      <w:t>Genetic Variant Nomenclature Standards</w:t>
    </w:r>
    <w:r>
      <w:rPr>
        <w:rFonts w:cs="Arial" w:ascii="Arial" w:hAnsi="Arial"/>
        <w:b/>
        <w:sz w:val="20"/>
        <w:szCs w:val="20"/>
      </w:rPr>
      <w:tab/>
      <w:tab/>
      <w:tab/>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Icon">
    <w:name w:val="icon"/>
    <w:qFormat/>
    <w:rPr/>
  </w:style>
  <w:style w:type="character" w:styleId="Emphasis">
    <w:name w:val="Emphasis"/>
    <w:qFormat/>
    <w:rPr>
      <w:i/>
      <w:iCs/>
    </w:rPr>
  </w:style>
  <w:style w:type="character" w:styleId="Appleconvertedspace">
    <w:name w:val="apple-converted-space"/>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gvs.org/" TargetMode="External"/><Relationship Id="rId3" Type="http://schemas.openxmlformats.org/officeDocument/2006/relationships/hyperlink" Target="http://www.hgvs.org/mutnomen" TargetMode="External"/><Relationship Id="rId4" Type="http://schemas.openxmlformats.org/officeDocument/2006/relationships/hyperlink" Target="http://www.mutalyzer.nl/" TargetMode="External"/><Relationship Id="rId5" Type="http://schemas.openxmlformats.org/officeDocument/2006/relationships/hyperlink" Target="http://www.genetests.org/" TargetMode="External"/><Relationship Id="rId6" Type="http://schemas.openxmlformats.org/officeDocument/2006/relationships/hyperlink" Target="http://www.genetests.or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2015-05-01T18:20:00Z</dcterms:created>
  <dc:creator>whuggins</dc:creator>
  <dc:description/>
  <cp:keywords/>
  <dc:language>en-US</dc:language>
  <cp:lastModifiedBy>Grant, Tracey</cp:lastModifiedBy>
  <cp:lastPrinted>2014-11-12T14:22:00Z</cp:lastPrinted>
  <dcterms:modified xsi:type="dcterms:W3CDTF">2015-05-01T18:29:00Z</dcterms:modified>
  <cp:revision>5</cp:revision>
  <dc:subject/>
  <dc:title/>
</cp:coreProperties>
</file>