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Respiratory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Allergy Skin Prick Test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Allergy skin prick testing is a method to diagnose allergies by provoking a small, controlled allergic response.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microscopic amount of an allergen is introduced into a person’s skin by p</w:t>
            </w:r>
            <w:r>
              <w:rPr>
                <w:rFonts w:cs="Arial" w:ascii="Arial" w:hAnsi="Arial"/>
                <w:sz w:val="22"/>
                <w:szCs w:val="22"/>
                <w:lang w:val="en"/>
              </w:rPr>
              <w:t>ricking the skin with a plastic pick. The health care professional closely watches the skin for signs of a reaction, usually swelling and redness of the site. Results are usually seen within 15–20 minutes.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i/>
                <w:i/>
                <w:sz w:val="22"/>
              </w:rPr>
            </w:pPr>
            <w:r>
              <w:rPr>
                <w:rFonts w:cs="Arial" w:ascii="Arial" w:hAnsi="Arial"/>
                <w:b/>
                <w:i/>
                <w:sz w:val="22"/>
              </w:rPr>
              <w:t>Allergen Extracts</w:t>
            </w:r>
          </w:p>
          <w:p>
            <w:pPr>
              <w:pStyle w:val="Normal"/>
              <w:rPr/>
            </w:pPr>
            <w:r>
              <w:rPr>
                <w:rFonts w:cs="Arial" w:ascii="Arial" w:hAnsi="Arial"/>
                <w:sz w:val="22"/>
                <w:szCs w:val="22"/>
              </w:rPr>
              <w:t>Each participant is tested to a core battery of allergens. The core allergens include:</w:t>
            </w:r>
          </w:p>
          <w:p>
            <w:pPr>
              <w:pStyle w:val="ListBullet"/>
              <w:numPr>
                <w:ilvl w:val="0"/>
                <w:numId w:val="0"/>
              </w:numPr>
              <w:ind w:left="0" w:hanging="0"/>
              <w:rPr>
                <w:sz w:val="22"/>
                <w:szCs w:val="24"/>
              </w:rPr>
            </w:pPr>
            <w:r>
              <w:rPr>
                <w:sz w:val="22"/>
                <w:szCs w:val="24"/>
              </w:rPr>
              <w:t>A1</w:t>
              <w:tab/>
              <w:t xml:space="preserve">Negative control (glycerin) GNCS </w:t>
            </w:r>
          </w:p>
          <w:p>
            <w:pPr>
              <w:pStyle w:val="ListBullet"/>
              <w:numPr>
                <w:ilvl w:val="0"/>
                <w:numId w:val="0"/>
              </w:numPr>
              <w:ind w:left="0" w:hanging="0"/>
              <w:rPr>
                <w:sz w:val="22"/>
                <w:szCs w:val="24"/>
              </w:rPr>
            </w:pPr>
            <w:r>
              <w:rPr>
                <w:sz w:val="22"/>
                <w:szCs w:val="24"/>
              </w:rPr>
              <w:t>A2</w:t>
              <w:tab/>
              <w:t>Standardized Cat: TE3</w:t>
            </w:r>
          </w:p>
          <w:p>
            <w:pPr>
              <w:pStyle w:val="ListBullet"/>
              <w:numPr>
                <w:ilvl w:val="0"/>
                <w:numId w:val="0"/>
              </w:numPr>
              <w:ind w:left="0" w:hanging="0"/>
              <w:rPr>
                <w:sz w:val="22"/>
                <w:szCs w:val="24"/>
              </w:rPr>
            </w:pPr>
            <w:r>
              <w:rPr>
                <w:sz w:val="22"/>
                <w:szCs w:val="24"/>
              </w:rPr>
              <w:t>A3</w:t>
              <w:tab/>
              <w:t>Dog epithelium) E7</w:t>
            </w:r>
          </w:p>
          <w:p>
            <w:pPr>
              <w:pStyle w:val="ListBullet"/>
              <w:numPr>
                <w:ilvl w:val="0"/>
                <w:numId w:val="0"/>
              </w:numPr>
              <w:ind w:left="0" w:hanging="0"/>
              <w:rPr>
                <w:sz w:val="22"/>
                <w:szCs w:val="24"/>
              </w:rPr>
            </w:pPr>
            <w:r>
              <w:rPr>
                <w:sz w:val="22"/>
                <w:szCs w:val="24"/>
              </w:rPr>
              <w:t>A4</w:t>
              <w:tab/>
              <w:t>Mouse E20</w:t>
            </w:r>
          </w:p>
          <w:p>
            <w:pPr>
              <w:pStyle w:val="ListBullet"/>
              <w:numPr>
                <w:ilvl w:val="0"/>
                <w:numId w:val="0"/>
              </w:numPr>
              <w:ind w:left="0" w:hanging="0"/>
              <w:rPr>
                <w:sz w:val="22"/>
                <w:szCs w:val="24"/>
              </w:rPr>
            </w:pPr>
            <w:r>
              <w:rPr>
                <w:sz w:val="22"/>
                <w:szCs w:val="24"/>
              </w:rPr>
              <w:t>A5</w:t>
              <w:tab/>
              <w:t xml:space="preserve">Rat E25 </w:t>
            </w:r>
          </w:p>
          <w:p>
            <w:pPr>
              <w:pStyle w:val="ListBullet"/>
              <w:numPr>
                <w:ilvl w:val="0"/>
                <w:numId w:val="0"/>
              </w:numPr>
              <w:ind w:left="0" w:hanging="0"/>
              <w:rPr>
                <w:sz w:val="22"/>
                <w:szCs w:val="24"/>
              </w:rPr>
            </w:pPr>
            <w:r>
              <w:rPr>
                <w:sz w:val="22"/>
                <w:szCs w:val="24"/>
              </w:rPr>
              <w:t>A6</w:t>
              <w:tab/>
              <w:t>Mold mix #1 (alternaria, aspergillus, helmithosporium, cladosporium, penicillium): MO1</w:t>
            </w:r>
          </w:p>
          <w:p>
            <w:pPr>
              <w:pStyle w:val="ListBullet"/>
              <w:numPr>
                <w:ilvl w:val="0"/>
                <w:numId w:val="0"/>
              </w:numPr>
              <w:ind w:left="0" w:hanging="0"/>
              <w:rPr>
                <w:sz w:val="22"/>
                <w:szCs w:val="24"/>
              </w:rPr>
            </w:pPr>
            <w:r>
              <w:rPr>
                <w:sz w:val="22"/>
                <w:szCs w:val="24"/>
              </w:rPr>
              <w:t>A7</w:t>
              <w:tab/>
              <w:t>American/German cockroach insect mix: BO12</w:t>
            </w:r>
          </w:p>
          <w:p>
            <w:pPr>
              <w:pStyle w:val="ListBullet"/>
              <w:numPr>
                <w:ilvl w:val="0"/>
                <w:numId w:val="0"/>
              </w:numPr>
              <w:ind w:left="0" w:hanging="0"/>
              <w:rPr>
                <w:sz w:val="22"/>
                <w:szCs w:val="24"/>
              </w:rPr>
            </w:pPr>
            <w:r>
              <w:rPr>
                <w:sz w:val="22"/>
                <w:szCs w:val="24"/>
              </w:rPr>
              <w:t>A8</w:t>
              <w:tab/>
              <w:t xml:space="preserve">Positive control (Histamine 10 mg/ml *) CHS </w:t>
            </w:r>
          </w:p>
          <w:p>
            <w:pPr>
              <w:pStyle w:val="ListBullet"/>
              <w:numPr>
                <w:ilvl w:val="0"/>
                <w:numId w:val="0"/>
              </w:numPr>
              <w:ind w:left="0" w:hanging="0"/>
              <w:rPr>
                <w:sz w:val="22"/>
                <w:szCs w:val="24"/>
              </w:rPr>
            </w:pPr>
            <w:r>
              <w:rPr>
                <w:sz w:val="22"/>
                <w:szCs w:val="24"/>
              </w:rPr>
              <w:t>B1</w:t>
              <w:tab/>
              <w:t>Standardized Southern Grass mix (9 grass mix plus Bermuda, Johnson): P19</w:t>
            </w:r>
          </w:p>
          <w:p>
            <w:pPr>
              <w:pStyle w:val="ListBullet"/>
              <w:numPr>
                <w:ilvl w:val="0"/>
                <w:numId w:val="0"/>
              </w:numPr>
              <w:ind w:left="0" w:hanging="0"/>
              <w:rPr>
                <w:sz w:val="22"/>
                <w:szCs w:val="24"/>
              </w:rPr>
            </w:pPr>
            <w:r>
              <w:rPr>
                <w:sz w:val="22"/>
                <w:szCs w:val="24"/>
              </w:rPr>
              <w:t>B2</w:t>
              <w:tab/>
              <w:t>Eastern 8 tree mix (ash, beech, birch, cottonwood, hickory, oak, elm, maple): P48</w:t>
            </w:r>
          </w:p>
          <w:p>
            <w:pPr>
              <w:pStyle w:val="ListBullet"/>
              <w:numPr>
                <w:ilvl w:val="0"/>
                <w:numId w:val="0"/>
              </w:numPr>
              <w:ind w:left="0" w:hanging="0"/>
              <w:rPr>
                <w:sz w:val="22"/>
                <w:szCs w:val="24"/>
              </w:rPr>
            </w:pPr>
            <w:r>
              <w:rPr>
                <w:sz w:val="22"/>
                <w:szCs w:val="24"/>
              </w:rPr>
              <w:t>B3</w:t>
              <w:tab/>
              <w:t>Mountain cedar 83</w:t>
            </w:r>
          </w:p>
          <w:p>
            <w:pPr>
              <w:pStyle w:val="ListBullet"/>
              <w:numPr>
                <w:ilvl w:val="0"/>
                <w:numId w:val="0"/>
              </w:numPr>
              <w:ind w:left="0" w:hanging="0"/>
              <w:rPr>
                <w:sz w:val="22"/>
                <w:szCs w:val="24"/>
              </w:rPr>
            </w:pPr>
            <w:r>
              <w:rPr>
                <w:sz w:val="22"/>
                <w:szCs w:val="24"/>
              </w:rPr>
              <w:t>B4</w:t>
              <w:tab/>
              <w:t>National weed mix (cocklebur, lambs quarter, rough pigweed, giant &amp; short ragweed): P3</w:t>
            </w:r>
          </w:p>
          <w:p>
            <w:pPr>
              <w:pStyle w:val="ListBullet"/>
              <w:numPr>
                <w:ilvl w:val="0"/>
                <w:numId w:val="0"/>
              </w:numPr>
              <w:ind w:left="0" w:hanging="0"/>
              <w:rPr>
                <w:sz w:val="22"/>
                <w:szCs w:val="24"/>
              </w:rPr>
            </w:pPr>
            <w:r>
              <w:rPr>
                <w:sz w:val="22"/>
                <w:szCs w:val="24"/>
              </w:rPr>
              <w:t>B5</w:t>
              <w:tab/>
              <w:t>Standardized Mite mix (Dermatophagoides pteronyssinus/farinae): BO3</w:t>
            </w:r>
          </w:p>
          <w:p>
            <w:pPr>
              <w:pStyle w:val="ListBullet"/>
              <w:numPr>
                <w:ilvl w:val="0"/>
                <w:numId w:val="0"/>
              </w:numPr>
              <w:ind w:left="0" w:hanging="0"/>
              <w:rPr>
                <w:sz w:val="22"/>
                <w:szCs w:val="24"/>
              </w:rPr>
            </w:pPr>
            <w:r>
              <w:rPr>
                <w:sz w:val="22"/>
                <w:szCs w:val="24"/>
              </w:rPr>
              <w:t>B6</w:t>
              <w:tab/>
              <w:t>Cow Milk: F293</w:t>
            </w:r>
          </w:p>
          <w:p>
            <w:pPr>
              <w:pStyle w:val="ListBullet"/>
              <w:numPr>
                <w:ilvl w:val="0"/>
                <w:numId w:val="0"/>
              </w:numPr>
              <w:ind w:left="0" w:hanging="0"/>
              <w:rPr>
                <w:sz w:val="22"/>
                <w:szCs w:val="24"/>
              </w:rPr>
            </w:pPr>
            <w:r>
              <w:rPr>
                <w:sz w:val="22"/>
                <w:szCs w:val="24"/>
              </w:rPr>
              <w:t>B7</w:t>
              <w:tab/>
              <w:t>Egg, Chicken, Whole: F271</w:t>
            </w:r>
          </w:p>
          <w:p>
            <w:pPr>
              <w:pStyle w:val="ListBullet"/>
              <w:numPr>
                <w:ilvl w:val="0"/>
                <w:numId w:val="0"/>
              </w:numPr>
              <w:ind w:left="360" w:hanging="360"/>
              <w:rPr>
                <w:rFonts w:cs="Arial"/>
                <w:sz w:val="22"/>
                <w:szCs w:val="22"/>
              </w:rPr>
            </w:pPr>
            <w:r>
              <w:rPr>
                <w:sz w:val="22"/>
                <w:szCs w:val="24"/>
              </w:rPr>
              <w:t>B8</w:t>
              <w:tab/>
              <w:tab/>
              <w:t>Peanut: F171</w:t>
            </w:r>
          </w:p>
          <w:p>
            <w:pPr>
              <w:pStyle w:val="Heading2"/>
              <w:numPr>
                <w:ilvl w:val="0"/>
                <w:numId w:val="0"/>
              </w:numPr>
              <w:ind w:left="576" w:hanging="576"/>
              <w:rPr>
                <w:rFonts w:cs="Arial"/>
                <w:sz w:val="22"/>
                <w:szCs w:val="24"/>
              </w:rPr>
            </w:pPr>
            <w:r>
              <w:rPr>
                <w:rFonts w:cs="Arial"/>
                <w:sz w:val="22"/>
                <w:szCs w:val="24"/>
              </w:rPr>
              <w:t>Skin Test Confounders</w:t>
            </w:r>
          </w:p>
          <w:p>
            <w:pPr>
              <w:pStyle w:val="Normal"/>
              <w:rPr>
                <w:rFonts w:ascii="Arial" w:hAnsi="Arial" w:cs="Arial"/>
                <w:sz w:val="22"/>
              </w:rPr>
            </w:pPr>
            <w:r>
              <w:rPr>
                <w:rFonts w:cs="Arial" w:ascii="Arial" w:hAnsi="Arial"/>
                <w:sz w:val="22"/>
              </w:rPr>
              <w:t>Please note that classical and non-sedating antihistamines, H2 blockers, such as ranitidine/cimetidine and certain herbal supplements and antidepressants (especially the tricyclics) may interfere with skin testing. If possible, and under direction of the study participant’s PMD, the skin test confounder should be stopped prior to testing for an appropriate length of time.  See Appendix 1 for a list of drugs that interfere with skin testing and the recommended periods of withholding prior to skin testing.</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i/>
                <w:i/>
                <w:sz w:val="22"/>
              </w:rPr>
            </w:pPr>
            <w:r>
              <w:rPr>
                <w:rFonts w:cs="Arial" w:ascii="Arial" w:hAnsi="Arial"/>
                <w:b/>
                <w:i/>
                <w:sz w:val="22"/>
              </w:rPr>
              <w:t>Percutaneous skin testing procedure</w:t>
            </w:r>
          </w:p>
          <w:p>
            <w:pPr>
              <w:pStyle w:val="Normal"/>
              <w:rPr>
                <w:rFonts w:ascii="Arial" w:hAnsi="Arial" w:cs="Arial"/>
                <w:sz w:val="22"/>
                <w:szCs w:val="22"/>
              </w:rPr>
            </w:pPr>
            <w:r>
              <w:rPr>
                <w:rFonts w:cs="Arial" w:ascii="Arial" w:hAnsi="Arial"/>
                <w:sz w:val="22"/>
                <w:szCs w:val="22"/>
              </w:rPr>
              <w:t>Supplies Needed:</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Multi-Test II skin test applicators (two)</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Multi-Test Dipwell tray</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Isopropyl alcohol or alcohol swabs</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Black marking pen</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 xml:space="preserve">Transparent tape, 5/8" wide or wider </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Kleenex, paper toweling or other blotter</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Timer</w:t>
            </w:r>
          </w:p>
          <w:p>
            <w:pPr>
              <w:pStyle w:val="Normal"/>
              <w:ind w:left="227" w:hanging="0"/>
              <w:rPr>
                <w:rFonts w:ascii="Arial" w:hAnsi="Arial" w:cs="Arial"/>
                <w:sz w:val="22"/>
                <w:szCs w:val="22"/>
              </w:rPr>
            </w:pPr>
            <w:r>
              <w:rPr>
                <w:rFonts w:cs="Arial" w:ascii="Arial" w:hAnsi="Arial"/>
                <w:sz w:val="22"/>
                <w:szCs w:val="22"/>
              </w:rPr>
              <w:t>•</w:t>
            </w:r>
            <w:r>
              <w:rPr>
                <w:rFonts w:cs="Arial" w:ascii="Arial" w:hAnsi="Arial"/>
                <w:sz w:val="22"/>
                <w:szCs w:val="22"/>
              </w:rPr>
              <w:tab/>
              <w:t>Millimeter ruler</w:t>
            </w:r>
          </w:p>
          <w:p>
            <w:pPr>
              <w:pStyle w:val="Normal"/>
              <w:ind w:left="677" w:hanging="450"/>
              <w:rPr/>
            </w:pPr>
            <w:r>
              <w:rPr>
                <w:rFonts w:cs="Arial" w:ascii="Arial" w:hAnsi="Arial"/>
                <w:sz w:val="22"/>
                <w:szCs w:val="22"/>
              </w:rPr>
              <w:t>•</w:t>
            </w:r>
            <w:r>
              <w:rPr>
                <w:rFonts w:cs="Arial" w:ascii="Arial" w:hAnsi="Arial"/>
                <w:sz w:val="22"/>
                <w:szCs w:val="22"/>
              </w:rPr>
              <w:tab/>
              <w:t>EpiPen autoinjectors (adult and/or pediatric) or 1:1000 epinephrine ampule/vial for subcutaneous or intramuscular injection use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Placing the Skin Test:</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 xml:space="preserve">Make sure a physician is readily available in the event that the skin testing procedure produces a systemic reaction. </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Take a medication history to make sure that the study participant is eligible for skin testing and that the appropriate wash out period has occurred.  See Appendix 1 for a list of medications that may interfere with skin testing.</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If a specific allergen will not be used (i.e. study participant has a known allergy to a specific food allergen), the Multi-Test arm should be broken off.</w:t>
            </w:r>
          </w:p>
          <w:p>
            <w:pPr>
              <w:pStyle w:val="Normal"/>
              <w:ind w:left="677" w:hanging="360"/>
              <w:rPr>
                <w:rFonts w:ascii="Arial" w:hAnsi="Arial" w:cs="Arial"/>
                <w:sz w:val="22"/>
                <w:szCs w:val="22"/>
              </w:rPr>
            </w:pPr>
            <w:r>
              <w:rPr>
                <w:rFonts w:cs="Arial" w:ascii="Arial" w:hAnsi="Arial"/>
                <w:sz w:val="22"/>
                <w:szCs w:val="22"/>
              </w:rPr>
              <w:t>•</w:t>
            </w:r>
            <w:r>
              <w:rPr>
                <w:rFonts w:cs="Arial" w:ascii="Arial" w:hAnsi="Arial"/>
                <w:sz w:val="22"/>
                <w:szCs w:val="22"/>
              </w:rPr>
              <w:tab/>
              <w:t>Percutaneous puncture skin testing is to be performed using the MultiTest II skin test applicators on the back of children &lt; 5 years of age and on the back or forearm(s) of children &gt; 5 years of age and adults. Always avoid placing the skin test in the spinal area. Avoid hairy areas whenever possible since the reactions may be more difficult to interpret.</w:t>
            </w:r>
          </w:p>
          <w:p>
            <w:pPr>
              <w:pStyle w:val="Normal"/>
              <w:rPr>
                <w:rFonts w:ascii="Arial" w:hAnsi="Arial" w:cs="Arial"/>
                <w:sz w:val="22"/>
                <w:szCs w:val="22"/>
              </w:rPr>
            </w:pPr>
            <w:r>
              <w:rPr/>
              <w:object w:dxaOrig="4896" w:dyaOrig="219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6.35pt;height:151.05pt" filled="f" o:ole="">
                  <v:imagedata r:id="rId3" o:title=""/>
                </v:shape>
                <o:OLEObject Type="Embed" ProgID="" ShapeID="ole_rId2" DrawAspect="Content" ObjectID="_1414560127" r:id="rId2"/>
              </w:object>
            </w: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Cleanse the skin with alcohol and allow to dry.</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Place the Multi-Test II skin test applicator into the Dipwell Tray. It will only fit in one direction because of the T-bar of the applicator. Multi-Test applicator A will have allergens A1-A8 and Multi-Test applicator B will have allergens B1-B8.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Carefully, while holding the Dipwell Tray level, inspect that all applicator heads are submerged in allergen. It is ideal to make sure that the Dipwell Tray is fully loaded with enough allergen before introducing the Multi-Test II skin test applicators. However, that may be difficult to estimate until the applicator is in position. Carefully, add more allergen to the well if the applicator head is not submerged.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Carefully remove Multi-Test II applicator from the Dipwell Tray. DO NOT SHAKE.</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Point the “T-bar” end of the Multi-Test II applicator toward a constant reference point such as the head of the study participant being tested and press the fully loaded applicator A into the skin with sufficient pressure to allow adequate penetration of the points.  With proper pressure, a distinct puncture pattern from the points will be observed at each test site.  If the skin is taut, less pressure is required to gain proper penetration of points.  With proper pressure, bleeding rarely occurs.  In some cases, the contour of the testing area may be such that slight “rocking” of the Multi-Test II applicator will be required to gain adequate and uniform penetration of points from all test heads. Repeat with Multi-Test applicator B.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Make an identification mark on the skin noting the placement of the skin test allergens.  If necessary, the allergens may be blotted to avoid dripping.</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Discard Multi-Test II applicators after one use using universal precautions.  DO NOT REUSE!!  </w:t>
            </w:r>
          </w:p>
          <w:p>
            <w:pPr>
              <w:pStyle w:val="Normal"/>
              <w:ind w:left="677" w:hanging="270"/>
              <w:rPr>
                <w:rFonts w:ascii="Arial" w:hAnsi="Arial" w:cs="Arial"/>
                <w:sz w:val="22"/>
                <w:szCs w:val="22"/>
              </w:rPr>
            </w:pPr>
            <w:r>
              <w:rPr>
                <w:rFonts w:cs="Arial" w:ascii="Arial" w:hAnsi="Arial"/>
                <w:sz w:val="22"/>
                <w:szCs w:val="22"/>
              </w:rPr>
              <w:t>•</w:t>
            </w:r>
            <w:r>
              <w:rPr>
                <w:rFonts w:cs="Arial" w:ascii="Arial" w:hAnsi="Arial"/>
                <w:sz w:val="22"/>
                <w:szCs w:val="22"/>
              </w:rPr>
              <w:tab/>
              <w:t xml:space="preserve">Set a timer for 20 minutes. For safety reasons, the study participant should not be left alone during this interval. </w:t>
            </w:r>
          </w:p>
          <w:p>
            <w:pPr>
              <w:pStyle w:val="Normal"/>
              <w:spacing w:before="0" w:after="0"/>
              <w:ind w:left="676" w:hanging="270"/>
              <w:contextualSpacing/>
              <w:rPr>
                <w:rFonts w:ascii="Arial" w:hAnsi="Arial" w:cs="Arial"/>
                <w:sz w:val="22"/>
                <w:szCs w:val="22"/>
              </w:rPr>
            </w:pPr>
            <w:r>
              <w:rPr>
                <w:rFonts w:cs="Arial" w:ascii="Arial" w:hAnsi="Arial"/>
                <w:sz w:val="22"/>
                <w:szCs w:val="22"/>
              </w:rPr>
              <w:t>•</w:t>
            </w:r>
            <w:r>
              <w:rPr>
                <w:rFonts w:cs="Arial" w:ascii="Arial" w:hAnsi="Arial"/>
                <w:sz w:val="22"/>
                <w:szCs w:val="22"/>
              </w:rPr>
              <w:tab/>
              <w:t>If a very large reaction begins, that specific allergen should be washed off the skin, not just blotted.  The wheal should still be measured at 20 minutes regardless of whether the allergen was washed off.</w:t>
            </w:r>
          </w:p>
          <w:p>
            <w:pPr>
              <w:pStyle w:val="Normal"/>
              <w:spacing w:before="0" w:after="0"/>
              <w:contextualSpacing/>
              <w:rPr>
                <w:rFonts w:ascii="Arial" w:hAnsi="Arial" w:cs="Arial"/>
                <w:sz w:val="22"/>
                <w:szCs w:val="22"/>
              </w:rPr>
            </w:pPr>
            <w:r>
              <w:rPr>
                <w:rFonts w:cs="Arial" w:ascii="Arial" w:hAnsi="Arial"/>
                <w:sz w:val="22"/>
                <w:szCs w:val="22"/>
              </w:rPr>
            </w:r>
          </w:p>
          <w:p>
            <w:pPr>
              <w:pStyle w:val="Normal"/>
              <w:keepNext w:val="true"/>
              <w:rPr>
                <w:rFonts w:ascii="Arial" w:hAnsi="Arial" w:cs="Arial"/>
                <w:b/>
                <w:b/>
                <w:bCs/>
                <w:sz w:val="22"/>
                <w:szCs w:val="22"/>
              </w:rPr>
            </w:pPr>
            <w:r>
              <w:rPr>
                <w:rFonts w:cs="Arial" w:ascii="Arial" w:hAnsi="Arial"/>
                <w:b/>
                <w:bCs/>
                <w:sz w:val="22"/>
                <w:szCs w:val="22"/>
              </w:rPr>
              <w:t>Appendix 1. Drugs to Hold Prior to Skin Testing</w:t>
            </w:r>
          </w:p>
          <w:p>
            <w:pPr>
              <w:pStyle w:val="TextBody"/>
              <w:spacing w:before="0" w:after="0"/>
              <w:rPr>
                <w:sz w:val="22"/>
              </w:rPr>
            </w:pPr>
            <w:r>
              <w:rPr>
                <w:sz w:val="22"/>
              </w:rPr>
              <w:t>The following drugs are known or suspected to interfere with skin testing. Advise the participant to withhold medication for the specified period of time.</w:t>
            </w:r>
          </w:p>
          <w:p>
            <w:pPr>
              <w:pStyle w:val="TextBody"/>
              <w:spacing w:before="0" w:after="0"/>
              <w:rPr>
                <w:sz w:val="22"/>
              </w:rPr>
            </w:pPr>
            <w:r>
              <w:rPr>
                <w:sz w:val="22"/>
              </w:rPr>
            </w:r>
          </w:p>
          <w:p>
            <w:pPr>
              <w:pStyle w:val="TextBody"/>
              <w:spacing w:before="0" w:after="0"/>
              <w:rPr>
                <w:rFonts w:cs="Arial"/>
                <w:b/>
                <w:b/>
                <w:sz w:val="22"/>
                <w:szCs w:val="22"/>
              </w:rPr>
            </w:pPr>
            <w:r>
              <w:rPr>
                <w:rFonts w:cs="Arial"/>
                <w:b/>
                <w:sz w:val="22"/>
                <w:szCs w:val="22"/>
              </w:rPr>
              <w:t>Antihistamines</w:t>
            </w:r>
          </w:p>
          <w:p>
            <w:pPr>
              <w:pStyle w:val="TextBody"/>
              <w:spacing w:before="0" w:after="0"/>
              <w:rPr>
                <w:rFonts w:cs="Arial"/>
                <w:i/>
                <w:i/>
                <w:iCs/>
                <w:sz w:val="22"/>
                <w:szCs w:val="22"/>
                <w:u w:val="single"/>
              </w:rPr>
            </w:pPr>
            <w:r>
              <w:rPr>
                <w:rFonts w:cs="Arial"/>
                <w:sz w:val="22"/>
                <w:szCs w:val="22"/>
                <w:u w:val="single"/>
              </w:rPr>
              <w:t>First-generation antihistamines</w:t>
            </w:r>
            <w:r>
              <w:rPr>
                <w:rFonts w:cs="Arial"/>
                <w:i/>
                <w:iCs/>
                <w:sz w:val="22"/>
                <w:szCs w:val="22"/>
                <w:u w:val="single"/>
              </w:rPr>
              <w:t xml:space="preserve"> </w:t>
            </w:r>
            <w:r>
              <w:rPr>
                <w:rFonts w:cs="Arial"/>
                <w:sz w:val="22"/>
                <w:szCs w:val="22"/>
                <w:u w:val="single"/>
              </w:rPr>
              <w:t>(withhold 3 days before testing)</w:t>
            </w:r>
          </w:p>
          <w:p>
            <w:pPr>
              <w:pStyle w:val="List"/>
              <w:rPr>
                <w:rFonts w:cs="Arial"/>
                <w:sz w:val="22"/>
                <w:szCs w:val="22"/>
              </w:rPr>
            </w:pPr>
            <w:r>
              <w:rPr>
                <w:rFonts w:cs="Arial"/>
                <w:sz w:val="22"/>
                <w:szCs w:val="22"/>
              </w:rPr>
              <w:t>4-Way Cold Tablets® (Bristol-Myers Squibb)</w:t>
            </w:r>
          </w:p>
          <w:p>
            <w:pPr>
              <w:pStyle w:val="List"/>
              <w:rPr>
                <w:rFonts w:cs="Arial"/>
                <w:sz w:val="22"/>
                <w:szCs w:val="22"/>
              </w:rPr>
            </w:pPr>
            <w:r>
              <w:rPr>
                <w:rFonts w:cs="Arial"/>
                <w:sz w:val="22"/>
                <w:szCs w:val="22"/>
              </w:rPr>
              <w:t>A.R.M. Allergy Relief Medicine® (Ascher)</w:t>
            </w:r>
          </w:p>
          <w:p>
            <w:pPr>
              <w:pStyle w:val="List"/>
              <w:rPr>
                <w:rFonts w:cs="Arial"/>
                <w:sz w:val="22"/>
                <w:szCs w:val="22"/>
              </w:rPr>
            </w:pPr>
            <w:r>
              <w:rPr>
                <w:rFonts w:cs="Arial"/>
                <w:sz w:val="22"/>
                <w:szCs w:val="22"/>
              </w:rPr>
              <w:t xml:space="preserve">Actifed® (GlaxoSmithKline) </w:t>
            </w:r>
          </w:p>
          <w:p>
            <w:pPr>
              <w:pStyle w:val="List"/>
              <w:rPr>
                <w:rFonts w:cs="Arial"/>
                <w:sz w:val="22"/>
                <w:szCs w:val="22"/>
              </w:rPr>
            </w:pPr>
            <w:r>
              <w:rPr>
                <w:rFonts w:cs="Arial"/>
                <w:sz w:val="22"/>
                <w:szCs w:val="22"/>
              </w:rPr>
              <w:t xml:space="preserve">Actifed Cold &amp; Allergy Tablets® (GlaxoSmithKline)  </w:t>
            </w:r>
          </w:p>
          <w:p>
            <w:pPr>
              <w:pStyle w:val="List"/>
              <w:rPr>
                <w:rFonts w:cs="Arial"/>
                <w:sz w:val="22"/>
                <w:szCs w:val="22"/>
              </w:rPr>
            </w:pPr>
            <w:r>
              <w:rPr>
                <w:rFonts w:cs="Arial"/>
                <w:sz w:val="22"/>
                <w:szCs w:val="22"/>
              </w:rPr>
              <w:t xml:space="preserve">Actifed Cold &amp; Sinus Caplets® (GlaxoSmithKline) </w:t>
            </w:r>
          </w:p>
          <w:p>
            <w:pPr>
              <w:pStyle w:val="List"/>
              <w:rPr>
                <w:rFonts w:cs="Arial"/>
                <w:sz w:val="22"/>
                <w:szCs w:val="22"/>
              </w:rPr>
            </w:pPr>
            <w:r>
              <w:rPr>
                <w:rFonts w:cs="Arial"/>
                <w:sz w:val="22"/>
                <w:szCs w:val="22"/>
              </w:rPr>
              <w:t>Allerest PE® (PrestigeBrands)</w:t>
            </w:r>
          </w:p>
          <w:p>
            <w:pPr>
              <w:pStyle w:val="List"/>
              <w:rPr>
                <w:rFonts w:cs="Arial"/>
                <w:sz w:val="22"/>
                <w:szCs w:val="22"/>
              </w:rPr>
            </w:pPr>
            <w:r>
              <w:rPr>
                <w:rFonts w:cs="Arial"/>
                <w:sz w:val="22"/>
                <w:szCs w:val="22"/>
              </w:rPr>
              <w:t>Ambenyl cough syrup® (Parke-Davis)</w:t>
            </w:r>
          </w:p>
          <w:p>
            <w:pPr>
              <w:pStyle w:val="List"/>
              <w:rPr>
                <w:rFonts w:cs="Arial"/>
                <w:sz w:val="22"/>
                <w:szCs w:val="22"/>
              </w:rPr>
            </w:pPr>
            <w:r>
              <w:rPr>
                <w:rFonts w:cs="Arial"/>
                <w:sz w:val="22"/>
                <w:szCs w:val="22"/>
              </w:rPr>
              <w:t>Atarax® (Pfizer Inc.)</w:t>
            </w:r>
          </w:p>
          <w:p>
            <w:pPr>
              <w:pStyle w:val="List"/>
              <w:rPr>
                <w:rFonts w:cs="Arial"/>
                <w:sz w:val="22"/>
                <w:szCs w:val="22"/>
              </w:rPr>
            </w:pPr>
            <w:r>
              <w:rPr>
                <w:rFonts w:cs="Arial"/>
                <w:sz w:val="22"/>
                <w:szCs w:val="22"/>
              </w:rPr>
              <w:t>Atrohist® (UCB, Inc.)</w:t>
            </w:r>
          </w:p>
          <w:p>
            <w:pPr>
              <w:pStyle w:val="List"/>
              <w:rPr>
                <w:rFonts w:cs="Arial"/>
                <w:b/>
                <w:b/>
                <w:sz w:val="22"/>
                <w:szCs w:val="22"/>
              </w:rPr>
            </w:pPr>
            <w:r>
              <w:rPr>
                <w:rFonts w:cs="Arial"/>
                <w:sz w:val="22"/>
                <w:szCs w:val="22"/>
              </w:rPr>
              <w:t>Benadryl® (Pfizer Inc.)</w:t>
            </w:r>
          </w:p>
          <w:p>
            <w:pPr>
              <w:pStyle w:val="List"/>
              <w:rPr>
                <w:rFonts w:cs="Arial"/>
                <w:sz w:val="22"/>
                <w:szCs w:val="22"/>
              </w:rPr>
            </w:pPr>
            <w:r>
              <w:rPr>
                <w:rFonts w:cs="Arial"/>
                <w:sz w:val="22"/>
                <w:szCs w:val="22"/>
              </w:rPr>
              <w:t>Benadryl Allergy Chewables® (Pfizer Inc.)</w:t>
            </w:r>
          </w:p>
          <w:p>
            <w:pPr>
              <w:pStyle w:val="List"/>
              <w:rPr>
                <w:rFonts w:cs="Arial"/>
                <w:sz w:val="22"/>
                <w:szCs w:val="22"/>
              </w:rPr>
            </w:pPr>
            <w:r>
              <w:rPr>
                <w:rFonts w:cs="Arial"/>
                <w:sz w:val="22"/>
                <w:szCs w:val="22"/>
              </w:rPr>
              <w:t>Benadryl Allergy Kapseal® (Pfizer Inc.)</w:t>
            </w:r>
          </w:p>
          <w:p>
            <w:pPr>
              <w:pStyle w:val="List"/>
              <w:rPr>
                <w:rFonts w:cs="Arial"/>
                <w:sz w:val="22"/>
                <w:szCs w:val="22"/>
              </w:rPr>
            </w:pPr>
            <w:r>
              <w:rPr>
                <w:rFonts w:cs="Arial"/>
                <w:sz w:val="22"/>
                <w:szCs w:val="22"/>
              </w:rPr>
              <w:t>Benadryl Allergy Liquid Medication® (Pfizer Inc.)</w:t>
            </w:r>
          </w:p>
          <w:p>
            <w:pPr>
              <w:pStyle w:val="List"/>
              <w:rPr>
                <w:rFonts w:cs="Arial"/>
                <w:sz w:val="22"/>
                <w:szCs w:val="22"/>
              </w:rPr>
            </w:pPr>
            <w:r>
              <w:rPr>
                <w:rFonts w:cs="Arial"/>
                <w:sz w:val="22"/>
                <w:szCs w:val="22"/>
              </w:rPr>
              <w:t>Benadryl Allergy Sinus Headache Caplets &amp; Gelcaps® (Pfizer Inc.)</w:t>
            </w:r>
          </w:p>
          <w:p>
            <w:pPr>
              <w:pStyle w:val="List"/>
              <w:rPr>
                <w:rFonts w:cs="Arial"/>
                <w:sz w:val="22"/>
                <w:szCs w:val="22"/>
              </w:rPr>
            </w:pPr>
            <w:r>
              <w:rPr>
                <w:rFonts w:cs="Arial"/>
                <w:sz w:val="22"/>
                <w:szCs w:val="22"/>
              </w:rPr>
              <w:t>Benadryl Allergy Ultratabs Tablets® (Pfizer Inc.)</w:t>
            </w:r>
          </w:p>
          <w:p>
            <w:pPr>
              <w:pStyle w:val="List"/>
              <w:rPr>
                <w:rFonts w:cs="Arial"/>
                <w:sz w:val="22"/>
                <w:szCs w:val="22"/>
              </w:rPr>
            </w:pPr>
            <w:r>
              <w:rPr>
                <w:rFonts w:cs="Arial"/>
                <w:sz w:val="22"/>
                <w:szCs w:val="22"/>
              </w:rPr>
              <w:t>Benadryl Allergy/Cold Tablets® (Pfizer Inc.)</w:t>
            </w:r>
          </w:p>
          <w:p>
            <w:pPr>
              <w:pStyle w:val="List"/>
              <w:rPr>
                <w:rFonts w:cs="Arial"/>
                <w:sz w:val="22"/>
                <w:szCs w:val="22"/>
              </w:rPr>
            </w:pPr>
            <w:r>
              <w:rPr>
                <w:rFonts w:cs="Arial"/>
                <w:sz w:val="22"/>
                <w:szCs w:val="22"/>
              </w:rPr>
              <w:t>Benadryl Allergy/Congestion Liquid Medication® (Pfizer Inc.)</w:t>
            </w:r>
          </w:p>
          <w:p>
            <w:pPr>
              <w:pStyle w:val="List"/>
              <w:rPr>
                <w:rFonts w:cs="Arial"/>
                <w:sz w:val="22"/>
                <w:szCs w:val="22"/>
              </w:rPr>
            </w:pPr>
            <w:r>
              <w:rPr>
                <w:rFonts w:cs="Arial"/>
                <w:sz w:val="22"/>
                <w:szCs w:val="22"/>
              </w:rPr>
              <w:t>Benadryl Allergy/Congestion Tablets® (Pfizer Inc.)</w:t>
            </w:r>
          </w:p>
          <w:p>
            <w:pPr>
              <w:pStyle w:val="List"/>
              <w:rPr>
                <w:rFonts w:cs="Arial"/>
                <w:sz w:val="22"/>
                <w:szCs w:val="22"/>
              </w:rPr>
            </w:pPr>
            <w:r>
              <w:rPr>
                <w:rFonts w:cs="Arial"/>
                <w:sz w:val="22"/>
                <w:szCs w:val="22"/>
              </w:rPr>
              <w:t>Benadryl Dye-Free Allergy Liquid Medication® (Pfizer Inc.)</w:t>
            </w:r>
          </w:p>
          <w:p>
            <w:pPr>
              <w:pStyle w:val="List"/>
              <w:rPr>
                <w:rFonts w:cs="Arial"/>
                <w:sz w:val="22"/>
                <w:szCs w:val="22"/>
              </w:rPr>
            </w:pPr>
            <w:r>
              <w:rPr>
                <w:rFonts w:cs="Arial"/>
                <w:sz w:val="22"/>
                <w:szCs w:val="22"/>
              </w:rPr>
              <w:t>Benadryl Dye-Free Allergy Liqui-Gels Softgels® (Pfizer Inc.)</w:t>
            </w:r>
          </w:p>
          <w:p>
            <w:pPr>
              <w:pStyle w:val="List"/>
              <w:rPr>
                <w:rFonts w:cs="Arial"/>
                <w:sz w:val="22"/>
                <w:szCs w:val="22"/>
              </w:rPr>
            </w:pPr>
            <w:r>
              <w:rPr>
                <w:rFonts w:cs="Arial"/>
                <w:sz w:val="22"/>
                <w:szCs w:val="22"/>
              </w:rPr>
              <w:t>Bromfed® (Victory Pharmaceuticals)</w:t>
            </w:r>
          </w:p>
          <w:p>
            <w:pPr>
              <w:pStyle w:val="List"/>
              <w:rPr/>
            </w:pPr>
            <w:r>
              <w:rPr>
                <w:rFonts w:cs="Arial"/>
                <w:sz w:val="22"/>
                <w:szCs w:val="22"/>
              </w:rPr>
              <w:t>Children's Tylenol Allergy-D Liquid and Chewable Tablets® (Ortho-McNeil-Janssen Pharmaceuticals, Inc.)</w:t>
            </w:r>
          </w:p>
          <w:p>
            <w:pPr>
              <w:pStyle w:val="List"/>
              <w:rPr>
                <w:rFonts w:cs="Arial"/>
                <w:sz w:val="22"/>
                <w:szCs w:val="22"/>
              </w:rPr>
            </w:pPr>
            <w:r>
              <w:rPr>
                <w:rFonts w:cs="Arial"/>
                <w:sz w:val="22"/>
                <w:szCs w:val="22"/>
              </w:rPr>
              <w:t>Children's Tylenol Cold Liquid and Chewable Tablets® (Ortho-McNeil-Janssen Pharmaceuticals, Inc.)</w:t>
            </w:r>
          </w:p>
          <w:p>
            <w:pPr>
              <w:pStyle w:val="List"/>
              <w:rPr>
                <w:rFonts w:cs="Arial"/>
                <w:sz w:val="22"/>
                <w:szCs w:val="22"/>
              </w:rPr>
            </w:pPr>
            <w:r>
              <w:rPr>
                <w:rFonts w:cs="Arial"/>
                <w:sz w:val="22"/>
                <w:szCs w:val="22"/>
              </w:rPr>
              <w:t>Children's Tylenol Cold Plus Cough Suspension Liquid and Chewable Tablets® (Ortho-McNeil-Janssen Pharmaceuticals, Inc.)</w:t>
            </w:r>
          </w:p>
          <w:p>
            <w:pPr>
              <w:pStyle w:val="List"/>
              <w:rPr>
                <w:rFonts w:cs="Arial"/>
                <w:sz w:val="22"/>
                <w:szCs w:val="22"/>
              </w:rPr>
            </w:pPr>
            <w:r>
              <w:rPr>
                <w:rFonts w:cs="Arial"/>
                <w:sz w:val="22"/>
                <w:szCs w:val="22"/>
              </w:rPr>
              <w:t>Children's Tylenol® Flu Suspension Liquid (Ortho-McNeil-Janssen Pharmaceuticals, Inc.)</w:t>
            </w:r>
          </w:p>
          <w:p>
            <w:pPr>
              <w:pStyle w:val="List"/>
              <w:rPr>
                <w:rFonts w:cs="Arial"/>
                <w:sz w:val="22"/>
                <w:szCs w:val="22"/>
              </w:rPr>
            </w:pPr>
            <w:r>
              <w:rPr>
                <w:rFonts w:cs="Arial"/>
                <w:sz w:val="22"/>
                <w:szCs w:val="22"/>
              </w:rPr>
              <w:t>Chlor-Trimeton® Allergy Decongestant tablets (Schering Plough HealthCare Products)</w:t>
            </w:r>
          </w:p>
          <w:p>
            <w:pPr>
              <w:pStyle w:val="List"/>
              <w:rPr>
                <w:rFonts w:cs="Arial"/>
                <w:sz w:val="22"/>
                <w:szCs w:val="22"/>
              </w:rPr>
            </w:pPr>
            <w:r>
              <w:rPr>
                <w:rFonts w:cs="Arial"/>
                <w:sz w:val="22"/>
                <w:szCs w:val="22"/>
              </w:rPr>
              <w:t>Chlor-Trimeton® Allergy Tablets (Johnson &amp; Johnson)</w:t>
            </w:r>
          </w:p>
          <w:p>
            <w:pPr>
              <w:pStyle w:val="List"/>
              <w:rPr>
                <w:rFonts w:cs="Arial"/>
                <w:sz w:val="22"/>
                <w:szCs w:val="22"/>
              </w:rPr>
            </w:pPr>
            <w:r>
              <w:rPr>
                <w:rFonts w:cs="Arial"/>
                <w:sz w:val="22"/>
                <w:szCs w:val="22"/>
              </w:rPr>
              <w:t>Codimal® (Schwarz Pharma)</w:t>
            </w:r>
          </w:p>
          <w:p>
            <w:pPr>
              <w:pStyle w:val="List"/>
              <w:rPr>
                <w:rFonts w:cs="Arial"/>
                <w:sz w:val="22"/>
                <w:szCs w:val="22"/>
              </w:rPr>
            </w:pPr>
            <w:r>
              <w:rPr>
                <w:rFonts w:cs="Arial"/>
                <w:sz w:val="22"/>
                <w:szCs w:val="22"/>
              </w:rPr>
              <w:t>Comhist® (Lee Pharm)</w:t>
            </w:r>
          </w:p>
          <w:p>
            <w:pPr>
              <w:pStyle w:val="List"/>
              <w:rPr>
                <w:rFonts w:cs="Arial"/>
                <w:sz w:val="22"/>
                <w:szCs w:val="22"/>
              </w:rPr>
            </w:pPr>
            <w:r>
              <w:rPr>
                <w:rFonts w:cs="Arial"/>
                <w:sz w:val="22"/>
                <w:szCs w:val="22"/>
              </w:rPr>
              <w:t>Comtrex® (Bristol-Myers Squibb)</w:t>
            </w:r>
          </w:p>
          <w:p>
            <w:pPr>
              <w:pStyle w:val="List"/>
              <w:rPr>
                <w:rFonts w:cs="Arial"/>
                <w:sz w:val="22"/>
                <w:szCs w:val="22"/>
              </w:rPr>
            </w:pPr>
            <w:r>
              <w:rPr>
                <w:rFonts w:cs="Arial"/>
                <w:sz w:val="22"/>
                <w:szCs w:val="22"/>
              </w:rPr>
              <w:t>Contac® Severe Cold &amp; Flu</w:t>
            </w:r>
            <w:r>
              <w:rPr>
                <w:rFonts w:cs="Arial"/>
                <w:b/>
                <w:bCs/>
                <w:sz w:val="22"/>
                <w:szCs w:val="22"/>
              </w:rPr>
              <w:t xml:space="preserve"> </w:t>
            </w:r>
            <w:r>
              <w:rPr>
                <w:rFonts w:cs="Arial"/>
                <w:sz w:val="22"/>
                <w:szCs w:val="22"/>
              </w:rPr>
              <w:t>Caplets Maximum Strength® (Meda Pharmaceuticals Inc.)</w:t>
            </w:r>
          </w:p>
          <w:p>
            <w:pPr>
              <w:pStyle w:val="List"/>
              <w:rPr>
                <w:rFonts w:cs="Arial"/>
                <w:sz w:val="22"/>
                <w:szCs w:val="22"/>
              </w:rPr>
            </w:pPr>
            <w:r>
              <w:rPr>
                <w:rFonts w:cs="Arial"/>
                <w:sz w:val="22"/>
                <w:szCs w:val="22"/>
              </w:rPr>
              <w:t>Contact® (Energique, Inc.)</w:t>
            </w:r>
          </w:p>
          <w:p>
            <w:pPr>
              <w:pStyle w:val="List"/>
              <w:rPr>
                <w:rFonts w:cs="Arial"/>
                <w:sz w:val="22"/>
                <w:szCs w:val="22"/>
              </w:rPr>
            </w:pPr>
            <w:r>
              <w:rPr>
                <w:rFonts w:cs="Arial"/>
                <w:sz w:val="22"/>
                <w:szCs w:val="22"/>
              </w:rPr>
              <w:t>Coricidin® (Merck &amp; Co.)</w:t>
            </w:r>
          </w:p>
          <w:p>
            <w:pPr>
              <w:pStyle w:val="List"/>
              <w:rPr>
                <w:rFonts w:cs="Arial"/>
                <w:sz w:val="22"/>
                <w:szCs w:val="22"/>
              </w:rPr>
            </w:pPr>
            <w:r>
              <w:rPr>
                <w:rFonts w:cs="Arial"/>
                <w:sz w:val="22"/>
                <w:szCs w:val="22"/>
              </w:rPr>
              <w:t>Coricidin® HBP</w:t>
            </w:r>
            <w:r>
              <w:rPr>
                <w:rFonts w:cs="Arial"/>
                <w:b/>
                <w:bCs/>
                <w:sz w:val="22"/>
                <w:szCs w:val="22"/>
              </w:rPr>
              <w:t xml:space="preserve"> </w:t>
            </w:r>
            <w:r>
              <w:rPr>
                <w:rFonts w:cs="Arial"/>
                <w:sz w:val="22"/>
                <w:szCs w:val="22"/>
              </w:rPr>
              <w:t>Cold &amp; Flu</w:t>
            </w:r>
            <w:r>
              <w:rPr>
                <w:rFonts w:cs="Arial"/>
                <w:b/>
                <w:bCs/>
                <w:sz w:val="22"/>
                <w:szCs w:val="22"/>
              </w:rPr>
              <w:t xml:space="preserve"> </w:t>
            </w:r>
            <w:r>
              <w:rPr>
                <w:rFonts w:cs="Arial"/>
                <w:sz w:val="22"/>
                <w:szCs w:val="22"/>
              </w:rPr>
              <w:t>Tablets (Merck &amp; Co.)</w:t>
            </w:r>
          </w:p>
          <w:p>
            <w:pPr>
              <w:pStyle w:val="List"/>
              <w:rPr>
                <w:rFonts w:cs="Arial"/>
                <w:sz w:val="22"/>
                <w:szCs w:val="22"/>
              </w:rPr>
            </w:pPr>
            <w:r>
              <w:rPr>
                <w:rFonts w:cs="Arial"/>
                <w:sz w:val="22"/>
                <w:szCs w:val="22"/>
              </w:rPr>
              <w:t>Coricidin® HBP</w:t>
            </w:r>
            <w:r>
              <w:rPr>
                <w:rFonts w:cs="Arial"/>
                <w:b/>
                <w:bCs/>
                <w:sz w:val="22"/>
                <w:szCs w:val="22"/>
              </w:rPr>
              <w:t xml:space="preserve"> </w:t>
            </w:r>
            <w:r>
              <w:rPr>
                <w:rFonts w:cs="Arial"/>
                <w:sz w:val="22"/>
                <w:szCs w:val="22"/>
              </w:rPr>
              <w:t>Cough &amp; Cold Tablets (Merck &amp; Co.)</w:t>
            </w:r>
          </w:p>
          <w:p>
            <w:pPr>
              <w:pStyle w:val="List"/>
              <w:rPr>
                <w:rFonts w:cs="Arial"/>
                <w:sz w:val="22"/>
                <w:szCs w:val="22"/>
              </w:rPr>
            </w:pPr>
            <w:r>
              <w:rPr>
                <w:rFonts w:cs="Arial"/>
                <w:sz w:val="22"/>
                <w:szCs w:val="22"/>
              </w:rPr>
              <w:t>Coricidin® HBP</w:t>
            </w:r>
            <w:r>
              <w:rPr>
                <w:rFonts w:cs="Arial"/>
                <w:b/>
                <w:bCs/>
                <w:sz w:val="22"/>
                <w:szCs w:val="22"/>
              </w:rPr>
              <w:t xml:space="preserve"> </w:t>
            </w:r>
            <w:r>
              <w:rPr>
                <w:rFonts w:cs="Arial"/>
                <w:sz w:val="22"/>
                <w:szCs w:val="22"/>
              </w:rPr>
              <w:t>Nighttime Cold &amp; Flu</w:t>
            </w:r>
            <w:r>
              <w:rPr>
                <w:rFonts w:cs="Arial"/>
                <w:b/>
                <w:bCs/>
                <w:sz w:val="22"/>
                <w:szCs w:val="22"/>
              </w:rPr>
              <w:t xml:space="preserve"> </w:t>
            </w:r>
            <w:r>
              <w:rPr>
                <w:rFonts w:cs="Arial"/>
                <w:sz w:val="22"/>
                <w:szCs w:val="22"/>
              </w:rPr>
              <w:t>Tablets (Merck &amp; Co.)</w:t>
            </w:r>
          </w:p>
          <w:p>
            <w:pPr>
              <w:pStyle w:val="List"/>
              <w:rPr>
                <w:rFonts w:cs="Arial"/>
                <w:sz w:val="22"/>
                <w:szCs w:val="22"/>
              </w:rPr>
            </w:pPr>
            <w:r>
              <w:rPr>
                <w:rFonts w:cs="Arial"/>
                <w:sz w:val="22"/>
                <w:szCs w:val="22"/>
              </w:rPr>
              <w:t>CTM (Discontinued)</w:t>
            </w:r>
          </w:p>
          <w:p>
            <w:pPr>
              <w:pStyle w:val="List"/>
              <w:rPr>
                <w:rFonts w:cs="Arial"/>
                <w:sz w:val="22"/>
                <w:szCs w:val="22"/>
              </w:rPr>
            </w:pPr>
            <w:r>
              <w:rPr>
                <w:rFonts w:cs="Arial"/>
                <w:sz w:val="22"/>
                <w:szCs w:val="22"/>
              </w:rPr>
              <w:t>Deconamine® (Sandoz Inc.)</w:t>
            </w:r>
          </w:p>
          <w:p>
            <w:pPr>
              <w:pStyle w:val="List"/>
              <w:rPr>
                <w:rFonts w:cs="Arial"/>
                <w:sz w:val="22"/>
                <w:szCs w:val="22"/>
              </w:rPr>
            </w:pPr>
            <w:r>
              <w:rPr>
                <w:rFonts w:cs="Arial"/>
                <w:sz w:val="22"/>
                <w:szCs w:val="22"/>
              </w:rPr>
              <w:t>Dimetane® Expectorant DC (Whitehall-Robins)</w:t>
            </w:r>
          </w:p>
          <w:p>
            <w:pPr>
              <w:pStyle w:val="List"/>
              <w:rPr>
                <w:rFonts w:cs="Arial"/>
                <w:sz w:val="22"/>
                <w:szCs w:val="22"/>
              </w:rPr>
            </w:pPr>
            <w:r>
              <w:rPr>
                <w:rFonts w:cs="Arial"/>
                <w:sz w:val="22"/>
                <w:szCs w:val="22"/>
              </w:rPr>
              <w:t>Dimetane® DX (Whitehall-Robins)</w:t>
            </w:r>
          </w:p>
          <w:p>
            <w:pPr>
              <w:pStyle w:val="List"/>
              <w:rPr>
                <w:rFonts w:cs="Arial"/>
                <w:sz w:val="22"/>
                <w:szCs w:val="22"/>
              </w:rPr>
            </w:pPr>
            <w:r>
              <w:rPr>
                <w:rFonts w:cs="Arial"/>
                <w:sz w:val="22"/>
                <w:szCs w:val="22"/>
              </w:rPr>
              <w:t>Dimetapp® (Pfizer, Inc.)</w:t>
            </w:r>
          </w:p>
          <w:p>
            <w:pPr>
              <w:pStyle w:val="List"/>
              <w:rPr/>
            </w:pPr>
            <w:r>
              <w:rPr>
                <w:rFonts w:cs="Arial"/>
                <w:sz w:val="22"/>
                <w:szCs w:val="22"/>
              </w:rPr>
              <w:t>Children’s Dimetapp® Cold &amp; Cough (Pfizer, Inc.)</w:t>
            </w:r>
          </w:p>
          <w:p>
            <w:pPr>
              <w:pStyle w:val="List"/>
              <w:rPr>
                <w:rFonts w:cs="Arial"/>
                <w:sz w:val="22"/>
                <w:szCs w:val="22"/>
              </w:rPr>
            </w:pPr>
            <w:r>
              <w:rPr>
                <w:rFonts w:cs="Arial"/>
                <w:sz w:val="22"/>
                <w:szCs w:val="22"/>
              </w:rPr>
              <w:t>Dimetapp Cold and Fever Suspension® (Pfizer Inc.)</w:t>
            </w:r>
          </w:p>
          <w:p>
            <w:pPr>
              <w:pStyle w:val="List"/>
              <w:rPr>
                <w:rFonts w:cs="Arial"/>
                <w:sz w:val="22"/>
                <w:szCs w:val="22"/>
              </w:rPr>
            </w:pPr>
            <w:r>
              <w:rPr>
                <w:rFonts w:cs="Arial"/>
                <w:sz w:val="22"/>
                <w:szCs w:val="22"/>
              </w:rPr>
              <w:t>Diphenhydramine® HCL (Eon Labs, Inc.)</w:t>
            </w:r>
          </w:p>
          <w:p>
            <w:pPr>
              <w:pStyle w:val="List"/>
              <w:rPr>
                <w:rFonts w:cs="Arial"/>
                <w:sz w:val="22"/>
                <w:szCs w:val="22"/>
              </w:rPr>
            </w:pPr>
            <w:r>
              <w:rPr>
                <w:rFonts w:cs="Arial"/>
                <w:sz w:val="22"/>
                <w:szCs w:val="22"/>
              </w:rPr>
              <w:t>Dristan® (Pfizer, Inc.)</w:t>
            </w:r>
          </w:p>
          <w:p>
            <w:pPr>
              <w:pStyle w:val="List"/>
              <w:rPr>
                <w:rFonts w:cs="Arial"/>
                <w:sz w:val="22"/>
                <w:szCs w:val="22"/>
              </w:rPr>
            </w:pPr>
            <w:r>
              <w:rPr>
                <w:rFonts w:cs="Arial"/>
                <w:sz w:val="22"/>
                <w:szCs w:val="22"/>
              </w:rPr>
              <w:t>Drixoral® Cold &amp; Allergy ® (Merck &amp; Co.)</w:t>
            </w:r>
          </w:p>
          <w:p>
            <w:pPr>
              <w:pStyle w:val="List"/>
              <w:rPr>
                <w:rFonts w:cs="Arial"/>
                <w:sz w:val="22"/>
                <w:szCs w:val="22"/>
              </w:rPr>
            </w:pPr>
            <w:r>
              <w:rPr>
                <w:rFonts w:cs="Arial"/>
                <w:sz w:val="22"/>
                <w:szCs w:val="22"/>
              </w:rPr>
              <w:t>Drixoral® Cold &amp; Flu (Merck &amp; Co.)</w:t>
            </w:r>
          </w:p>
          <w:p>
            <w:pPr>
              <w:pStyle w:val="List"/>
              <w:rPr>
                <w:rFonts w:cs="Arial"/>
                <w:sz w:val="22"/>
                <w:szCs w:val="22"/>
              </w:rPr>
            </w:pPr>
            <w:r>
              <w:rPr>
                <w:rFonts w:cs="Arial"/>
                <w:sz w:val="22"/>
                <w:szCs w:val="22"/>
              </w:rPr>
              <w:t>Extendryl® (Cornerstone BioPharma, Inc.)</w:t>
            </w:r>
          </w:p>
          <w:p>
            <w:pPr>
              <w:pStyle w:val="List"/>
              <w:rPr/>
            </w:pPr>
            <w:r>
              <w:rPr>
                <w:rFonts w:cs="Arial"/>
                <w:sz w:val="22"/>
                <w:szCs w:val="22"/>
              </w:rPr>
              <w:t>Fedahist® (Schwarz Pharma)</w:t>
            </w:r>
          </w:p>
          <w:p>
            <w:pPr>
              <w:pStyle w:val="List"/>
              <w:rPr>
                <w:rFonts w:cs="Arial"/>
                <w:sz w:val="22"/>
                <w:szCs w:val="22"/>
              </w:rPr>
            </w:pPr>
            <w:r>
              <w:rPr>
                <w:rFonts w:cs="Arial"/>
                <w:sz w:val="22"/>
                <w:szCs w:val="22"/>
              </w:rPr>
              <w:t>Hismanal® (Ortho-McNeil-Janssen Pharmaceuticals, Inc.) (withhold 3 months)</w:t>
            </w:r>
          </w:p>
          <w:p>
            <w:pPr>
              <w:pStyle w:val="List"/>
              <w:rPr>
                <w:rFonts w:cs="Arial"/>
                <w:sz w:val="22"/>
                <w:szCs w:val="22"/>
              </w:rPr>
            </w:pPr>
            <w:r>
              <w:rPr>
                <w:rFonts w:cs="Arial"/>
                <w:sz w:val="22"/>
                <w:szCs w:val="22"/>
              </w:rPr>
              <w:t>Isoclor® (Novartis)</w:t>
            </w:r>
          </w:p>
          <w:p>
            <w:pPr>
              <w:pStyle w:val="List"/>
              <w:rPr>
                <w:rFonts w:cs="Arial"/>
                <w:sz w:val="22"/>
                <w:szCs w:val="22"/>
              </w:rPr>
            </w:pPr>
            <w:r>
              <w:rPr>
                <w:rFonts w:cs="Arial"/>
                <w:sz w:val="22"/>
                <w:szCs w:val="22"/>
              </w:rPr>
              <w:t>Kronofed® (Ferndale Laboratories)</w:t>
            </w:r>
          </w:p>
          <w:p>
            <w:pPr>
              <w:pStyle w:val="List"/>
              <w:rPr>
                <w:rFonts w:cs="Arial"/>
                <w:sz w:val="22"/>
                <w:szCs w:val="22"/>
              </w:rPr>
            </w:pPr>
            <w:r>
              <w:rPr>
                <w:rFonts w:cs="Arial"/>
                <w:sz w:val="22"/>
                <w:szCs w:val="22"/>
              </w:rPr>
              <w:t>Marax® (Rugby Laboratories)</w:t>
            </w:r>
          </w:p>
          <w:p>
            <w:pPr>
              <w:pStyle w:val="List"/>
              <w:rPr>
                <w:rFonts w:cs="Arial"/>
                <w:sz w:val="22"/>
                <w:szCs w:val="22"/>
              </w:rPr>
            </w:pPr>
            <w:r>
              <w:rPr>
                <w:rFonts w:cs="Arial"/>
                <w:sz w:val="22"/>
                <w:szCs w:val="22"/>
              </w:rPr>
              <w:t>Nolahist® (Discontinued)</w:t>
            </w:r>
          </w:p>
          <w:p>
            <w:pPr>
              <w:pStyle w:val="List"/>
              <w:rPr>
                <w:rFonts w:cs="Arial"/>
                <w:sz w:val="22"/>
                <w:szCs w:val="22"/>
              </w:rPr>
            </w:pPr>
            <w:r>
              <w:rPr>
                <w:rFonts w:cs="Arial"/>
                <w:sz w:val="22"/>
                <w:szCs w:val="22"/>
              </w:rPr>
              <w:t>Nolamine® (Amarin Pharmaceuticals)</w:t>
            </w:r>
          </w:p>
          <w:p>
            <w:pPr>
              <w:pStyle w:val="List"/>
              <w:rPr>
                <w:rFonts w:cs="Arial"/>
                <w:sz w:val="22"/>
                <w:szCs w:val="22"/>
              </w:rPr>
            </w:pPr>
            <w:r>
              <w:rPr>
                <w:rFonts w:cs="Arial"/>
                <w:sz w:val="22"/>
                <w:szCs w:val="22"/>
              </w:rPr>
              <w:t>Optimine® (Key Pharmaceuticals)</w:t>
            </w:r>
          </w:p>
          <w:p>
            <w:pPr>
              <w:pStyle w:val="List"/>
              <w:rPr>
                <w:rFonts w:cs="Arial"/>
                <w:sz w:val="22"/>
                <w:szCs w:val="22"/>
              </w:rPr>
            </w:pPr>
            <w:r>
              <w:rPr>
                <w:rFonts w:cs="Arial"/>
                <w:sz w:val="22"/>
                <w:szCs w:val="22"/>
              </w:rPr>
              <w:t>PBZ® (Novartis)</w:t>
            </w:r>
          </w:p>
          <w:p>
            <w:pPr>
              <w:pStyle w:val="List"/>
              <w:rPr>
                <w:rFonts w:cs="Arial"/>
                <w:sz w:val="22"/>
                <w:szCs w:val="22"/>
              </w:rPr>
            </w:pPr>
            <w:r>
              <w:rPr>
                <w:rFonts w:cs="Arial"/>
                <w:sz w:val="22"/>
                <w:szCs w:val="22"/>
              </w:rPr>
              <w:t>PediaCare Cough-Cold Liquid® (Johnson &amp; Johnson)</w:t>
            </w:r>
          </w:p>
          <w:p>
            <w:pPr>
              <w:pStyle w:val="List"/>
              <w:rPr>
                <w:rFonts w:cs="Arial"/>
                <w:sz w:val="22"/>
                <w:szCs w:val="22"/>
              </w:rPr>
            </w:pPr>
            <w:r>
              <w:rPr>
                <w:rFonts w:cs="Arial"/>
                <w:sz w:val="22"/>
                <w:szCs w:val="22"/>
              </w:rPr>
              <w:t>PediaCare NightRest Cough-Cold Liquid® (McNeil Consumer)</w:t>
            </w:r>
          </w:p>
          <w:p>
            <w:pPr>
              <w:pStyle w:val="List"/>
              <w:rPr>
                <w:rFonts w:cs="Arial"/>
                <w:sz w:val="22"/>
                <w:szCs w:val="22"/>
              </w:rPr>
            </w:pPr>
            <w:r>
              <w:rPr>
                <w:rFonts w:cs="Arial"/>
                <w:sz w:val="22"/>
                <w:szCs w:val="22"/>
              </w:rPr>
              <w:t>Pediatric Vicks 44M Cough &amp; Cold Relief® (Procter &amp; Gamble)</w:t>
            </w:r>
          </w:p>
          <w:p>
            <w:pPr>
              <w:pStyle w:val="List"/>
              <w:rPr>
                <w:rFonts w:cs="Arial"/>
                <w:sz w:val="22"/>
                <w:szCs w:val="22"/>
              </w:rPr>
            </w:pPr>
            <w:r>
              <w:rPr>
                <w:rFonts w:cs="Arial"/>
                <w:sz w:val="22"/>
                <w:szCs w:val="22"/>
              </w:rPr>
              <w:t>Percogesic® (Medtech Products Inc.)</w:t>
            </w:r>
          </w:p>
          <w:p>
            <w:pPr>
              <w:pStyle w:val="List"/>
              <w:rPr>
                <w:rFonts w:cs="Arial"/>
                <w:sz w:val="22"/>
                <w:szCs w:val="22"/>
              </w:rPr>
            </w:pPr>
            <w:r>
              <w:rPr>
                <w:rFonts w:cs="Arial"/>
                <w:sz w:val="22"/>
                <w:szCs w:val="22"/>
              </w:rPr>
              <w:t>Percogesic Aspirin-Free Coated Tablets® (Medtech Products Inc.)</w:t>
            </w:r>
          </w:p>
          <w:p>
            <w:pPr>
              <w:pStyle w:val="List"/>
              <w:rPr>
                <w:rFonts w:cs="Arial"/>
                <w:sz w:val="22"/>
                <w:szCs w:val="22"/>
              </w:rPr>
            </w:pPr>
            <w:r>
              <w:rPr>
                <w:rFonts w:cs="Arial"/>
                <w:sz w:val="22"/>
                <w:szCs w:val="22"/>
              </w:rPr>
              <w:t>Percogesic® Extra Strength (Medtech Products Inc.)</w:t>
            </w:r>
          </w:p>
          <w:p>
            <w:pPr>
              <w:pStyle w:val="List"/>
              <w:rPr>
                <w:rFonts w:cs="Arial"/>
                <w:sz w:val="22"/>
                <w:szCs w:val="22"/>
              </w:rPr>
            </w:pPr>
            <w:r>
              <w:rPr>
                <w:rFonts w:cs="Arial"/>
                <w:sz w:val="22"/>
                <w:szCs w:val="22"/>
              </w:rPr>
              <w:t>Periactin Phenergan® (Wyeth Pharmaceuticals)</w:t>
            </w:r>
          </w:p>
          <w:p>
            <w:pPr>
              <w:pStyle w:val="List"/>
              <w:rPr>
                <w:rFonts w:cs="Arial"/>
                <w:sz w:val="22"/>
                <w:szCs w:val="22"/>
              </w:rPr>
            </w:pPr>
            <w:r>
              <w:rPr>
                <w:rFonts w:cs="Arial"/>
                <w:sz w:val="22"/>
                <w:szCs w:val="22"/>
              </w:rPr>
              <w:t>Polaramine® (Bayer HealthCare Pharmaceuticals Inc.)</w:t>
            </w:r>
          </w:p>
          <w:p>
            <w:pPr>
              <w:pStyle w:val="List"/>
              <w:rPr>
                <w:rFonts w:cs="Arial"/>
                <w:b/>
                <w:b/>
                <w:bCs/>
                <w:sz w:val="22"/>
                <w:szCs w:val="22"/>
              </w:rPr>
            </w:pPr>
            <w:r>
              <w:rPr>
                <w:rFonts w:cs="Arial"/>
                <w:sz w:val="22"/>
                <w:szCs w:val="22"/>
              </w:rPr>
              <w:t>Robitussin Nighttime Honey Flu® (Wyeth Pharmaceuticals)</w:t>
            </w:r>
          </w:p>
          <w:p>
            <w:pPr>
              <w:pStyle w:val="List"/>
              <w:rPr>
                <w:rFonts w:cs="Arial"/>
                <w:sz w:val="22"/>
                <w:szCs w:val="22"/>
              </w:rPr>
            </w:pPr>
            <w:r>
              <w:rPr>
                <w:rFonts w:cs="Arial"/>
                <w:sz w:val="22"/>
                <w:szCs w:val="22"/>
              </w:rPr>
              <w:t>Rondec® (Alliant Pharmaceuticals)</w:t>
            </w:r>
          </w:p>
          <w:p>
            <w:pPr>
              <w:pStyle w:val="List"/>
              <w:rPr>
                <w:rFonts w:cs="Arial"/>
                <w:sz w:val="22"/>
                <w:szCs w:val="22"/>
              </w:rPr>
            </w:pPr>
            <w:r>
              <w:rPr>
                <w:rFonts w:cs="Arial"/>
                <w:sz w:val="22"/>
                <w:szCs w:val="22"/>
              </w:rPr>
              <w:t>Ru-Tuss® (Sage Pharm. Inc.)</w:t>
            </w:r>
          </w:p>
          <w:p>
            <w:pPr>
              <w:pStyle w:val="List"/>
              <w:rPr>
                <w:rFonts w:cs="Arial"/>
                <w:sz w:val="22"/>
                <w:szCs w:val="22"/>
              </w:rPr>
            </w:pPr>
            <w:r>
              <w:rPr>
                <w:rFonts w:cs="Arial"/>
                <w:sz w:val="22"/>
                <w:szCs w:val="22"/>
              </w:rPr>
              <w:t>Ryna Liquid® (MedPointe)</w:t>
            </w:r>
          </w:p>
          <w:p>
            <w:pPr>
              <w:pStyle w:val="List"/>
              <w:rPr>
                <w:rFonts w:cs="Arial"/>
                <w:sz w:val="22"/>
                <w:szCs w:val="22"/>
              </w:rPr>
            </w:pPr>
            <w:r>
              <w:rPr>
                <w:rFonts w:cs="Arial"/>
                <w:sz w:val="22"/>
                <w:szCs w:val="22"/>
              </w:rPr>
              <w:t>Ryna-C Liquid® (MedPointe)</w:t>
            </w:r>
          </w:p>
          <w:p>
            <w:pPr>
              <w:pStyle w:val="List"/>
              <w:rPr>
                <w:rFonts w:cs="Arial"/>
                <w:sz w:val="22"/>
                <w:szCs w:val="22"/>
              </w:rPr>
            </w:pPr>
            <w:r>
              <w:rPr>
                <w:rFonts w:cs="Arial"/>
                <w:sz w:val="22"/>
                <w:szCs w:val="22"/>
              </w:rPr>
              <w:t>Rynatan® (Meda Pharmaceuticals Inc.)</w:t>
            </w:r>
          </w:p>
          <w:p>
            <w:pPr>
              <w:pStyle w:val="List"/>
              <w:rPr>
                <w:rFonts w:cs="Arial"/>
                <w:sz w:val="22"/>
                <w:szCs w:val="22"/>
              </w:rPr>
            </w:pPr>
            <w:r>
              <w:rPr>
                <w:rFonts w:cs="Arial"/>
                <w:sz w:val="22"/>
                <w:szCs w:val="22"/>
              </w:rPr>
              <w:t>Sinarest® (Centaur Pharmaceuticals Pvt.Ltd.)</w:t>
            </w:r>
          </w:p>
          <w:p>
            <w:pPr>
              <w:pStyle w:val="List"/>
              <w:rPr>
                <w:rFonts w:cs="Arial"/>
                <w:sz w:val="22"/>
                <w:szCs w:val="22"/>
              </w:rPr>
            </w:pPr>
            <w:r>
              <w:rPr>
                <w:rFonts w:cs="Arial"/>
                <w:sz w:val="22"/>
                <w:szCs w:val="22"/>
              </w:rPr>
              <w:t>Singlet Caplets® (GlaxoSmithKline)</w:t>
            </w:r>
          </w:p>
          <w:p>
            <w:pPr>
              <w:pStyle w:val="List"/>
              <w:rPr>
                <w:rFonts w:cs="Arial"/>
                <w:sz w:val="22"/>
                <w:szCs w:val="22"/>
              </w:rPr>
            </w:pPr>
            <w:r>
              <w:rPr>
                <w:rFonts w:cs="Arial"/>
                <w:sz w:val="22"/>
                <w:szCs w:val="22"/>
              </w:rPr>
              <w:t>Sinulin® (Amarin Pharmaceuticals)</w:t>
            </w:r>
          </w:p>
          <w:p>
            <w:pPr>
              <w:pStyle w:val="List"/>
              <w:rPr>
                <w:rFonts w:cs="Arial"/>
                <w:sz w:val="22"/>
                <w:szCs w:val="22"/>
              </w:rPr>
            </w:pPr>
            <w:r>
              <w:rPr>
                <w:rFonts w:cs="Arial"/>
                <w:sz w:val="22"/>
                <w:szCs w:val="22"/>
              </w:rPr>
              <w:t>Sinutab Sinus Allergy Medication, Maximum Strength Formula, Tablets &amp; Caplets® (Warner-Lambert)</w:t>
            </w:r>
          </w:p>
          <w:p>
            <w:pPr>
              <w:pStyle w:val="List"/>
              <w:rPr>
                <w:rFonts w:cs="Arial"/>
                <w:sz w:val="22"/>
                <w:szCs w:val="22"/>
              </w:rPr>
            </w:pPr>
            <w:r>
              <w:rPr>
                <w:rFonts w:cs="Arial"/>
                <w:sz w:val="22"/>
                <w:szCs w:val="22"/>
              </w:rPr>
              <w:t>Sudafed Cold &amp; Allergy Tablets® (Johnson &amp; Johnson)</w:t>
            </w:r>
          </w:p>
          <w:p>
            <w:pPr>
              <w:pStyle w:val="List"/>
              <w:rPr>
                <w:rFonts w:cs="Arial"/>
                <w:sz w:val="22"/>
                <w:szCs w:val="22"/>
              </w:rPr>
            </w:pPr>
            <w:r>
              <w:rPr>
                <w:rFonts w:cs="Arial"/>
                <w:sz w:val="22"/>
                <w:szCs w:val="22"/>
              </w:rPr>
              <w:t>Tacaryl® (Westwood-Squibb Pharmaceuticals)</w:t>
            </w:r>
          </w:p>
          <w:p>
            <w:pPr>
              <w:pStyle w:val="List"/>
              <w:rPr>
                <w:rFonts w:cs="Arial"/>
                <w:sz w:val="22"/>
                <w:szCs w:val="22"/>
              </w:rPr>
            </w:pPr>
            <w:r>
              <w:rPr>
                <w:rFonts w:cs="Arial"/>
                <w:sz w:val="22"/>
                <w:szCs w:val="22"/>
              </w:rPr>
              <w:t>Tavist® (Novartis)</w:t>
            </w:r>
          </w:p>
          <w:p>
            <w:pPr>
              <w:pStyle w:val="List"/>
              <w:rPr>
                <w:rFonts w:cs="Arial"/>
                <w:sz w:val="22"/>
                <w:szCs w:val="22"/>
              </w:rPr>
            </w:pPr>
            <w:r>
              <w:rPr>
                <w:rFonts w:cs="Arial"/>
                <w:sz w:val="22"/>
                <w:szCs w:val="22"/>
              </w:rPr>
              <w:t>Tavist Allergy 12-Hour Tablets® (Novartis)</w:t>
            </w:r>
          </w:p>
          <w:p>
            <w:pPr>
              <w:pStyle w:val="List"/>
              <w:rPr>
                <w:rFonts w:cs="Arial"/>
                <w:sz w:val="22"/>
                <w:szCs w:val="22"/>
              </w:rPr>
            </w:pPr>
            <w:r>
              <w:rPr>
                <w:rFonts w:cs="Arial"/>
                <w:sz w:val="22"/>
                <w:szCs w:val="22"/>
              </w:rPr>
              <w:t>Teldrin® (Novartis)</w:t>
            </w:r>
          </w:p>
          <w:p>
            <w:pPr>
              <w:pStyle w:val="List"/>
              <w:tabs>
                <w:tab w:val="clear" w:pos="720"/>
                <w:tab w:val="left" w:pos="1373" w:leader="none"/>
              </w:tabs>
              <w:rPr>
                <w:rFonts w:cs="Arial"/>
                <w:sz w:val="22"/>
                <w:szCs w:val="22"/>
              </w:rPr>
            </w:pPr>
            <w:r>
              <w:rPr>
                <w:rFonts w:cs="Arial"/>
                <w:sz w:val="22"/>
                <w:szCs w:val="22"/>
              </w:rPr>
              <w:t>Temaril® (Allergan Pharmaceuticals)</w:t>
            </w:r>
          </w:p>
          <w:p>
            <w:pPr>
              <w:pStyle w:val="List"/>
              <w:rPr>
                <w:rFonts w:cs="Arial"/>
                <w:sz w:val="22"/>
                <w:szCs w:val="22"/>
              </w:rPr>
            </w:pPr>
            <w:r>
              <w:rPr>
                <w:rFonts w:cs="Arial"/>
                <w:sz w:val="22"/>
                <w:szCs w:val="22"/>
              </w:rPr>
              <w:t>TheraFlu Flu</w:t>
            </w:r>
            <w:r>
              <w:rPr>
                <w:rFonts w:cs="Arial"/>
                <w:b/>
                <w:bCs/>
                <w:sz w:val="22"/>
                <w:szCs w:val="22"/>
              </w:rPr>
              <w:t xml:space="preserve"> </w:t>
            </w:r>
            <w:r>
              <w:rPr>
                <w:rFonts w:cs="Arial"/>
                <w:sz w:val="22"/>
                <w:szCs w:val="22"/>
              </w:rPr>
              <w:t>and Cold Medicine® (Novartis)</w:t>
            </w:r>
          </w:p>
          <w:p>
            <w:pPr>
              <w:pStyle w:val="List"/>
              <w:rPr>
                <w:rFonts w:cs="Arial"/>
                <w:sz w:val="22"/>
                <w:szCs w:val="22"/>
              </w:rPr>
            </w:pPr>
            <w:r>
              <w:rPr>
                <w:rFonts w:cs="Arial"/>
                <w:sz w:val="22"/>
                <w:szCs w:val="22"/>
              </w:rPr>
              <w:t>TheraFlu Maximum Strength Flu</w:t>
            </w:r>
            <w:r>
              <w:rPr>
                <w:rFonts w:cs="Arial"/>
                <w:b/>
                <w:bCs/>
                <w:sz w:val="22"/>
                <w:szCs w:val="22"/>
              </w:rPr>
              <w:t xml:space="preserve"> </w:t>
            </w:r>
            <w:r>
              <w:rPr>
                <w:rFonts w:cs="Arial"/>
                <w:sz w:val="22"/>
                <w:szCs w:val="22"/>
              </w:rPr>
              <w:t>and Cold Medicine for Sore Throat® (Novartis)</w:t>
            </w:r>
          </w:p>
          <w:p>
            <w:pPr>
              <w:pStyle w:val="List"/>
              <w:rPr>
                <w:rFonts w:cs="Arial"/>
                <w:sz w:val="22"/>
                <w:szCs w:val="22"/>
              </w:rPr>
            </w:pPr>
            <w:r>
              <w:rPr>
                <w:rFonts w:cs="Arial"/>
                <w:sz w:val="22"/>
                <w:szCs w:val="22"/>
              </w:rPr>
              <w:t>TheraFlu Maximum Strength NightTime Flu,</w:t>
            </w:r>
            <w:r>
              <w:rPr>
                <w:rFonts w:cs="Arial"/>
                <w:b/>
                <w:bCs/>
                <w:sz w:val="22"/>
                <w:szCs w:val="22"/>
              </w:rPr>
              <w:t xml:space="preserve"> </w:t>
            </w:r>
            <w:r>
              <w:rPr>
                <w:rFonts w:cs="Arial"/>
                <w:sz w:val="22"/>
                <w:szCs w:val="22"/>
              </w:rPr>
              <w:t>Cold &amp; Cough Caplets® (Novartis)</w:t>
            </w:r>
          </w:p>
          <w:p>
            <w:pPr>
              <w:pStyle w:val="List"/>
              <w:rPr>
                <w:rFonts w:cs="Arial"/>
                <w:sz w:val="22"/>
                <w:szCs w:val="22"/>
              </w:rPr>
            </w:pPr>
            <w:r>
              <w:rPr>
                <w:rFonts w:cs="Arial"/>
                <w:sz w:val="22"/>
                <w:szCs w:val="22"/>
              </w:rPr>
              <w:t>TheraFlu Maximum Strength NightTime Flu,</w:t>
            </w:r>
            <w:r>
              <w:rPr>
                <w:rFonts w:cs="Arial"/>
                <w:b/>
                <w:bCs/>
                <w:sz w:val="22"/>
                <w:szCs w:val="22"/>
              </w:rPr>
              <w:t xml:space="preserve"> </w:t>
            </w:r>
            <w:r>
              <w:rPr>
                <w:rFonts w:cs="Arial"/>
                <w:sz w:val="22"/>
                <w:szCs w:val="22"/>
              </w:rPr>
              <w:t>Cold &amp; Cough Hot Liquid® (Novartis)</w:t>
            </w:r>
          </w:p>
          <w:p>
            <w:pPr>
              <w:pStyle w:val="List"/>
              <w:rPr>
                <w:rFonts w:cs="Arial"/>
                <w:sz w:val="22"/>
                <w:szCs w:val="22"/>
              </w:rPr>
            </w:pPr>
            <w:r>
              <w:rPr>
                <w:rFonts w:cs="Arial"/>
                <w:sz w:val="22"/>
                <w:szCs w:val="22"/>
              </w:rPr>
              <w:t>TheraFlu Maximum Strength Sore Throat and Cough Flu, Cold and Cough Hot Liquid® (Novartis)</w:t>
            </w:r>
          </w:p>
          <w:p>
            <w:pPr>
              <w:pStyle w:val="List"/>
              <w:rPr>
                <w:rFonts w:cs="Arial"/>
                <w:sz w:val="22"/>
                <w:szCs w:val="22"/>
              </w:rPr>
            </w:pPr>
            <w:r>
              <w:rPr>
                <w:rFonts w:cs="Arial"/>
                <w:sz w:val="22"/>
                <w:szCs w:val="22"/>
              </w:rPr>
              <w:t>TheraFlu, Cold and Cough Medicine® (Novartis)</w:t>
            </w:r>
          </w:p>
          <w:p>
            <w:pPr>
              <w:pStyle w:val="List"/>
              <w:rPr>
                <w:rFonts w:cs="Arial"/>
                <w:sz w:val="22"/>
                <w:szCs w:val="22"/>
              </w:rPr>
            </w:pPr>
            <w:r>
              <w:rPr>
                <w:rFonts w:cs="Arial"/>
                <w:sz w:val="22"/>
                <w:szCs w:val="22"/>
              </w:rPr>
              <w:t>Triaminic® (Novartis)</w:t>
            </w:r>
          </w:p>
          <w:p>
            <w:pPr>
              <w:pStyle w:val="List"/>
              <w:rPr>
                <w:rFonts w:cs="Arial"/>
                <w:sz w:val="22"/>
                <w:szCs w:val="22"/>
              </w:rPr>
            </w:pPr>
            <w:r>
              <w:rPr>
                <w:rFonts w:cs="Arial"/>
                <w:sz w:val="22"/>
                <w:szCs w:val="22"/>
              </w:rPr>
              <w:t>Triaminic Cold &amp; Allergy Soft chews® (Novartis)</w:t>
            </w:r>
          </w:p>
          <w:p>
            <w:pPr>
              <w:pStyle w:val="List"/>
              <w:rPr>
                <w:rFonts w:cs="Arial"/>
                <w:sz w:val="22"/>
                <w:szCs w:val="22"/>
              </w:rPr>
            </w:pPr>
            <w:r>
              <w:rPr>
                <w:rFonts w:cs="Arial"/>
                <w:sz w:val="22"/>
                <w:szCs w:val="22"/>
              </w:rPr>
              <w:t>Triaminic Cold &amp; Cough Soft chews® (Novartis)</w:t>
            </w:r>
          </w:p>
          <w:p>
            <w:pPr>
              <w:pStyle w:val="List"/>
              <w:rPr>
                <w:rFonts w:cs="Arial"/>
                <w:sz w:val="22"/>
                <w:szCs w:val="22"/>
              </w:rPr>
            </w:pPr>
            <w:r>
              <w:rPr>
                <w:rFonts w:cs="Arial"/>
                <w:sz w:val="22"/>
                <w:szCs w:val="22"/>
              </w:rPr>
              <w:t>Triaminic Night Time® (Novartis)</w:t>
            </w:r>
          </w:p>
          <w:p>
            <w:pPr>
              <w:pStyle w:val="List"/>
              <w:rPr>
                <w:rFonts w:cs="Arial"/>
                <w:sz w:val="22"/>
                <w:szCs w:val="22"/>
              </w:rPr>
            </w:pPr>
            <w:r>
              <w:rPr>
                <w:rFonts w:cs="Arial"/>
                <w:sz w:val="22"/>
                <w:szCs w:val="22"/>
              </w:rPr>
              <w:t>Triaminic Severe Cold &amp; Fever® (Novartis)</w:t>
            </w:r>
          </w:p>
          <w:p>
            <w:pPr>
              <w:pStyle w:val="List"/>
              <w:rPr>
                <w:rFonts w:cs="Arial"/>
                <w:sz w:val="22"/>
                <w:szCs w:val="22"/>
              </w:rPr>
            </w:pPr>
            <w:r>
              <w:rPr>
                <w:rFonts w:cs="Arial"/>
                <w:sz w:val="22"/>
                <w:szCs w:val="22"/>
              </w:rPr>
              <w:t>Triaminic Triaminicol Cold &amp; Cough® (Novartis)</w:t>
            </w:r>
          </w:p>
          <w:p>
            <w:pPr>
              <w:pStyle w:val="List"/>
              <w:rPr>
                <w:rFonts w:cs="Arial"/>
                <w:sz w:val="22"/>
                <w:szCs w:val="22"/>
              </w:rPr>
            </w:pPr>
            <w:r>
              <w:rPr>
                <w:rFonts w:cs="Arial"/>
                <w:sz w:val="22"/>
                <w:szCs w:val="22"/>
              </w:rPr>
              <w:t>Trinalin® (Schering)</w:t>
            </w:r>
          </w:p>
          <w:p>
            <w:pPr>
              <w:pStyle w:val="List"/>
              <w:rPr>
                <w:rFonts w:cs="Arial"/>
                <w:sz w:val="22"/>
                <w:szCs w:val="22"/>
              </w:rPr>
            </w:pPr>
            <w:r>
              <w:rPr>
                <w:rFonts w:cs="Arial"/>
                <w:sz w:val="22"/>
                <w:szCs w:val="22"/>
              </w:rPr>
              <w:t>Tussionex® (</w:t>
            </w:r>
            <w:r>
              <w:rPr>
                <w:sz w:val="22"/>
                <w:szCs w:val="24"/>
              </w:rPr>
              <w:t>Aventis Pharmaceuticals</w:t>
            </w:r>
            <w:r>
              <w:rPr>
                <w:rFonts w:cs="Arial"/>
                <w:sz w:val="22"/>
                <w:szCs w:val="22"/>
              </w:rPr>
              <w:t>)</w:t>
            </w:r>
          </w:p>
          <w:p>
            <w:pPr>
              <w:pStyle w:val="List"/>
              <w:rPr>
                <w:rFonts w:cs="Arial"/>
                <w:sz w:val="22"/>
                <w:szCs w:val="22"/>
              </w:rPr>
            </w:pPr>
            <w:r>
              <w:rPr>
                <w:rFonts w:cs="Arial"/>
                <w:sz w:val="22"/>
                <w:szCs w:val="22"/>
              </w:rPr>
              <w:t>Tylenol Allergy Sinus NightTime, Maximum Strength Caplets® (McNeil Consumer)</w:t>
            </w:r>
          </w:p>
          <w:p>
            <w:pPr>
              <w:pStyle w:val="List"/>
              <w:rPr>
                <w:rFonts w:cs="Arial"/>
                <w:sz w:val="22"/>
                <w:szCs w:val="22"/>
              </w:rPr>
            </w:pPr>
            <w:r>
              <w:rPr>
                <w:rFonts w:cs="Arial"/>
                <w:sz w:val="22"/>
                <w:szCs w:val="22"/>
              </w:rPr>
              <w:t>Tylenol Allergy Sinus, Maximum Strength Caplets, Gelcaps, and Geltabs® (McNeil Consumer)</w:t>
            </w:r>
          </w:p>
          <w:p>
            <w:pPr>
              <w:pStyle w:val="List"/>
              <w:rPr>
                <w:rFonts w:cs="Arial"/>
                <w:sz w:val="22"/>
                <w:szCs w:val="22"/>
              </w:rPr>
            </w:pPr>
            <w:r>
              <w:rPr>
                <w:rFonts w:cs="Arial"/>
                <w:sz w:val="22"/>
                <w:szCs w:val="22"/>
              </w:rPr>
              <w:t>Tylenol Cold Complete Formula, Multi-Symptom Tablets and Caplets® (McNeil Consumer)</w:t>
            </w:r>
          </w:p>
          <w:p>
            <w:pPr>
              <w:pStyle w:val="List"/>
              <w:rPr>
                <w:rFonts w:cs="Arial"/>
                <w:b/>
                <w:b/>
                <w:sz w:val="22"/>
                <w:szCs w:val="22"/>
              </w:rPr>
            </w:pPr>
            <w:r>
              <w:rPr>
                <w:rFonts w:cs="Arial"/>
                <w:sz w:val="22"/>
                <w:szCs w:val="22"/>
              </w:rPr>
              <w:t>Tylenol Flu NightTime Maximum Strength Gelcaps® (McNeil Consumer)</w:t>
            </w:r>
          </w:p>
          <w:p>
            <w:pPr>
              <w:pStyle w:val="List"/>
              <w:rPr>
                <w:rFonts w:cs="Arial"/>
                <w:sz w:val="22"/>
                <w:szCs w:val="22"/>
              </w:rPr>
            </w:pPr>
            <w:r>
              <w:rPr>
                <w:rFonts w:cs="Arial"/>
                <w:sz w:val="22"/>
                <w:szCs w:val="22"/>
              </w:rPr>
              <w:t>Tylenol Flu NightTime Maximum Strength Powder® (McNeil Consumer)</w:t>
            </w:r>
          </w:p>
          <w:p>
            <w:pPr>
              <w:pStyle w:val="List"/>
              <w:rPr>
                <w:rFonts w:cs="Arial"/>
                <w:sz w:val="22"/>
                <w:szCs w:val="22"/>
              </w:rPr>
            </w:pPr>
            <w:r>
              <w:rPr>
                <w:rFonts w:cs="Arial"/>
                <w:sz w:val="22"/>
                <w:szCs w:val="22"/>
              </w:rPr>
              <w:t>Tylenol PM Pain Reliever/Sleep Aid, Extra Strength Caplets, Geltabs and Gelcaps® (McNeil Consumer)</w:t>
            </w:r>
          </w:p>
          <w:p>
            <w:pPr>
              <w:pStyle w:val="List"/>
              <w:rPr>
                <w:rFonts w:cs="Arial"/>
                <w:b/>
                <w:b/>
                <w:sz w:val="22"/>
                <w:szCs w:val="22"/>
              </w:rPr>
            </w:pPr>
            <w:r>
              <w:rPr>
                <w:rFonts w:cs="Arial"/>
                <w:sz w:val="22"/>
                <w:szCs w:val="22"/>
              </w:rPr>
              <w:t>Tylenol Severe Allergy Caplets® (McNeil Consumer)</w:t>
            </w:r>
          </w:p>
          <w:p>
            <w:pPr>
              <w:pStyle w:val="List"/>
              <w:rPr>
                <w:rFonts w:cs="Arial"/>
                <w:sz w:val="22"/>
                <w:szCs w:val="22"/>
              </w:rPr>
            </w:pPr>
            <w:r>
              <w:rPr>
                <w:rFonts w:cs="Arial"/>
                <w:sz w:val="22"/>
                <w:szCs w:val="22"/>
              </w:rPr>
              <w:t>Tylenol Sinus NightTime, Maximum Strength Caplets® (McNeil Consumer)</w:t>
            </w:r>
          </w:p>
          <w:p>
            <w:pPr>
              <w:pStyle w:val="List"/>
              <w:rPr>
                <w:rFonts w:cs="Arial"/>
                <w:sz w:val="22"/>
                <w:szCs w:val="22"/>
              </w:rPr>
            </w:pPr>
            <w:r>
              <w:rPr>
                <w:rFonts w:cs="Arial"/>
                <w:sz w:val="22"/>
                <w:szCs w:val="22"/>
              </w:rPr>
              <w:t>Vicks 44M Cough, Cold &amp; Flu Relief® (Proctor &amp; Gamble)</w:t>
            </w:r>
          </w:p>
          <w:p>
            <w:pPr>
              <w:pStyle w:val="List"/>
              <w:rPr>
                <w:rFonts w:cs="Arial"/>
                <w:sz w:val="22"/>
                <w:szCs w:val="22"/>
              </w:rPr>
            </w:pPr>
            <w:r>
              <w:rPr>
                <w:rFonts w:cs="Arial"/>
                <w:sz w:val="22"/>
                <w:szCs w:val="22"/>
              </w:rPr>
              <w:t>Vicks® Children’s NyQuil Cold &amp; Cough (Proctor &amp; Gamble)</w:t>
            </w:r>
          </w:p>
          <w:p>
            <w:pPr>
              <w:pStyle w:val="List"/>
              <w:rPr>
                <w:rFonts w:cs="Arial"/>
                <w:sz w:val="22"/>
                <w:szCs w:val="22"/>
              </w:rPr>
            </w:pPr>
            <w:r>
              <w:rPr>
                <w:rFonts w:cs="Arial"/>
                <w:sz w:val="22"/>
                <w:szCs w:val="22"/>
              </w:rPr>
              <w:t>Vistaril® (Pfizer Inc.)</w:t>
            </w:r>
          </w:p>
          <w:p>
            <w:pPr>
              <w:pStyle w:val="Normal"/>
              <w:autoSpaceDE w:val="false"/>
              <w:rPr>
                <w:rFonts w:ascii="Arial" w:hAnsi="Arial" w:cs="Arial"/>
                <w:sz w:val="22"/>
                <w:szCs w:val="22"/>
              </w:rPr>
            </w:pPr>
            <w:r>
              <w:rPr>
                <w:rFonts w:cs="Arial" w:ascii="Arial" w:hAnsi="Arial"/>
                <w:sz w:val="22"/>
                <w:szCs w:val="22"/>
              </w:rPr>
            </w:r>
          </w:p>
          <w:p>
            <w:pPr>
              <w:pStyle w:val="TextBody"/>
              <w:spacing w:before="0" w:after="0"/>
              <w:rPr>
                <w:rFonts w:cs="Arial"/>
                <w:sz w:val="22"/>
                <w:szCs w:val="22"/>
              </w:rPr>
            </w:pPr>
            <w:r>
              <w:rPr>
                <w:rFonts w:cs="Arial"/>
                <w:sz w:val="22"/>
                <w:szCs w:val="22"/>
                <w:u w:val="single"/>
              </w:rPr>
              <w:t>Second-generation antihistamines (withhold 7 days before testing)</w:t>
            </w:r>
          </w:p>
          <w:p>
            <w:pPr>
              <w:pStyle w:val="List"/>
              <w:rPr>
                <w:rFonts w:cs="Arial"/>
                <w:sz w:val="22"/>
                <w:szCs w:val="22"/>
              </w:rPr>
            </w:pPr>
            <w:r>
              <w:rPr>
                <w:rFonts w:cs="Arial"/>
                <w:sz w:val="22"/>
                <w:szCs w:val="22"/>
              </w:rPr>
              <w:t>Allegra® (fexofenadine) (</w:t>
            </w:r>
            <w:r>
              <w:rPr>
                <w:sz w:val="22"/>
                <w:szCs w:val="24"/>
              </w:rPr>
              <w:t>Aventis Pharmaceuticals</w:t>
            </w:r>
            <w:r>
              <w:rPr>
                <w:rFonts w:cs="Arial"/>
                <w:sz w:val="22"/>
                <w:szCs w:val="22"/>
              </w:rPr>
              <w:t>)</w:t>
            </w:r>
          </w:p>
          <w:p>
            <w:pPr>
              <w:pStyle w:val="List"/>
              <w:rPr>
                <w:rFonts w:cs="Arial"/>
                <w:sz w:val="22"/>
                <w:szCs w:val="22"/>
              </w:rPr>
            </w:pPr>
            <w:r>
              <w:rPr>
                <w:rFonts w:cs="Arial"/>
                <w:sz w:val="22"/>
                <w:szCs w:val="22"/>
              </w:rPr>
              <w:t>Clarinex® (desloratadine) (Merck &amp; Co.)</w:t>
            </w:r>
          </w:p>
          <w:p>
            <w:pPr>
              <w:pStyle w:val="List"/>
              <w:rPr>
                <w:rFonts w:cs="Arial"/>
                <w:sz w:val="22"/>
                <w:szCs w:val="22"/>
              </w:rPr>
            </w:pPr>
            <w:r>
              <w:rPr>
                <w:rFonts w:cs="Arial"/>
                <w:sz w:val="22"/>
                <w:szCs w:val="22"/>
              </w:rPr>
              <w:t>Claritin® (loratadine) – now over the counter (MSD Consumer Care)</w:t>
            </w:r>
          </w:p>
          <w:p>
            <w:pPr>
              <w:pStyle w:val="List"/>
              <w:rPr>
                <w:rFonts w:cs="Arial"/>
                <w:sz w:val="22"/>
                <w:szCs w:val="22"/>
              </w:rPr>
            </w:pPr>
            <w:r>
              <w:rPr>
                <w:rFonts w:cs="Arial"/>
                <w:sz w:val="22"/>
                <w:szCs w:val="22"/>
              </w:rPr>
              <w:t>Zyrtec® (cetirizine) (Johnson &amp; Johnson)</w:t>
            </w:r>
          </w:p>
          <w:p>
            <w:pPr>
              <w:pStyle w:val="Normal"/>
              <w:autoSpaceDE w:val="false"/>
              <w:rPr>
                <w:rFonts w:ascii="Arial" w:hAnsi="Arial" w:cs="Arial"/>
                <w:sz w:val="22"/>
                <w:szCs w:val="22"/>
              </w:rPr>
            </w:pPr>
            <w:r>
              <w:rPr>
                <w:rFonts w:cs="Arial" w:ascii="Arial" w:hAnsi="Arial"/>
                <w:sz w:val="22"/>
                <w:szCs w:val="22"/>
              </w:rPr>
            </w:r>
          </w:p>
          <w:p>
            <w:pPr>
              <w:pStyle w:val="TextBody"/>
              <w:spacing w:before="0" w:after="0"/>
              <w:rPr>
                <w:rFonts w:cs="Arial"/>
                <w:sz w:val="22"/>
                <w:szCs w:val="22"/>
              </w:rPr>
            </w:pPr>
            <w:r>
              <w:rPr>
                <w:rFonts w:cs="Arial"/>
                <w:sz w:val="22"/>
                <w:szCs w:val="22"/>
                <w:u w:val="single"/>
              </w:rPr>
              <w:t>Topical nasal antihistamines</w:t>
            </w:r>
            <w:r>
              <w:rPr>
                <w:rFonts w:cs="Arial"/>
                <w:i/>
                <w:iCs/>
                <w:sz w:val="22"/>
                <w:szCs w:val="22"/>
                <w:u w:val="single"/>
              </w:rPr>
              <w:t xml:space="preserve"> </w:t>
            </w:r>
            <w:r>
              <w:rPr>
                <w:rFonts w:cs="Arial"/>
                <w:sz w:val="22"/>
                <w:szCs w:val="22"/>
                <w:u w:val="single"/>
              </w:rPr>
              <w:t>(withhold 5 days before testing)</w:t>
            </w:r>
          </w:p>
          <w:p>
            <w:pPr>
              <w:pStyle w:val="List"/>
              <w:rPr>
                <w:rFonts w:cs="Arial"/>
                <w:sz w:val="22"/>
                <w:szCs w:val="22"/>
              </w:rPr>
            </w:pPr>
            <w:r>
              <w:rPr>
                <w:rFonts w:cs="Arial"/>
                <w:sz w:val="22"/>
                <w:szCs w:val="22"/>
              </w:rPr>
              <w:t>Astelin® (azelastine) (MedPointe)</w:t>
            </w:r>
          </w:p>
          <w:p>
            <w:pPr>
              <w:pStyle w:val="TextBody"/>
              <w:spacing w:before="0" w:after="0"/>
              <w:rPr>
                <w:rFonts w:cs="Arial"/>
                <w:b/>
                <w:b/>
                <w:sz w:val="22"/>
                <w:szCs w:val="22"/>
              </w:rPr>
            </w:pPr>
            <w:r>
              <w:rPr>
                <w:rFonts w:cs="Arial"/>
                <w:b/>
                <w:sz w:val="22"/>
                <w:szCs w:val="22"/>
              </w:rPr>
            </w:r>
          </w:p>
          <w:p>
            <w:pPr>
              <w:pStyle w:val="TextBody"/>
              <w:spacing w:before="0" w:after="0"/>
              <w:rPr>
                <w:b/>
                <w:b/>
                <w:sz w:val="22"/>
              </w:rPr>
            </w:pPr>
            <w:r>
              <w:rPr>
                <w:b/>
                <w:sz w:val="22"/>
              </w:rPr>
              <w:t>Antidepressants</w:t>
            </w:r>
          </w:p>
          <w:p>
            <w:pPr>
              <w:pStyle w:val="TextBody"/>
              <w:spacing w:before="0" w:after="0"/>
              <w:rPr/>
            </w:pPr>
            <w:r>
              <w:rPr>
                <w:sz w:val="22"/>
                <w:szCs w:val="24"/>
                <w:u w:val="single"/>
              </w:rPr>
              <w:t>Except for doxepin, withhold antidepressants for 3 days before testing. Withhold doxepin (topical and oral) for 7 days.</w:t>
            </w:r>
            <w:r>
              <w:rPr>
                <w:sz w:val="22"/>
                <w:szCs w:val="24"/>
              </w:rPr>
              <w:t xml:space="preserve"> Serotonin-uptake inhibitors can be continued since they do not inhibit skin tests.</w:t>
            </w:r>
          </w:p>
          <w:p>
            <w:pPr>
              <w:pStyle w:val="List"/>
              <w:rPr>
                <w:sz w:val="22"/>
                <w:szCs w:val="24"/>
              </w:rPr>
            </w:pPr>
            <w:r>
              <w:rPr>
                <w:sz w:val="22"/>
                <w:szCs w:val="24"/>
              </w:rPr>
              <w:t>Adapin</w:t>
            </w:r>
            <w:r>
              <w:rPr>
                <w:rFonts w:cs="Arial"/>
                <w:sz w:val="22"/>
                <w:szCs w:val="22"/>
              </w:rPr>
              <w:t>® (Fisons Pharmaceuticals)</w:t>
            </w:r>
          </w:p>
          <w:p>
            <w:pPr>
              <w:pStyle w:val="List"/>
              <w:rPr>
                <w:sz w:val="22"/>
                <w:szCs w:val="24"/>
              </w:rPr>
            </w:pPr>
            <w:r>
              <w:rPr>
                <w:sz w:val="22"/>
                <w:szCs w:val="24"/>
              </w:rPr>
              <w:t>Amitriptyline</w:t>
            </w:r>
            <w:r>
              <w:rPr>
                <w:rFonts w:cs="Arial"/>
                <w:sz w:val="22"/>
                <w:szCs w:val="22"/>
              </w:rPr>
              <w:t>® (Mylan Pharmaceuticals Inc.)</w:t>
            </w:r>
          </w:p>
          <w:p>
            <w:pPr>
              <w:pStyle w:val="List"/>
              <w:rPr>
                <w:sz w:val="22"/>
                <w:szCs w:val="24"/>
              </w:rPr>
            </w:pPr>
            <w:r>
              <w:rPr>
                <w:sz w:val="22"/>
                <w:szCs w:val="24"/>
              </w:rPr>
              <w:t>Asendin</w:t>
            </w:r>
            <w:r>
              <w:rPr>
                <w:rFonts w:cs="Arial"/>
                <w:sz w:val="22"/>
                <w:szCs w:val="22"/>
              </w:rPr>
              <w:t>® (Wyeth Pharmaceuticals)</w:t>
            </w:r>
          </w:p>
          <w:p>
            <w:pPr>
              <w:pStyle w:val="List"/>
              <w:rPr>
                <w:sz w:val="22"/>
                <w:szCs w:val="24"/>
              </w:rPr>
            </w:pPr>
            <w:r>
              <w:rPr>
                <w:sz w:val="22"/>
                <w:szCs w:val="24"/>
              </w:rPr>
              <w:t>Clomipramine</w:t>
            </w:r>
            <w:r>
              <w:rPr>
                <w:rFonts w:cs="Arial"/>
                <w:sz w:val="22"/>
                <w:szCs w:val="22"/>
              </w:rPr>
              <w:t>® (Mylan Pharmaceuticals Inc.)</w:t>
            </w:r>
          </w:p>
          <w:p>
            <w:pPr>
              <w:pStyle w:val="List"/>
              <w:rPr>
                <w:sz w:val="22"/>
                <w:szCs w:val="24"/>
              </w:rPr>
            </w:pPr>
            <w:r>
              <w:rPr>
                <w:sz w:val="22"/>
                <w:szCs w:val="24"/>
              </w:rPr>
              <w:t>Desipramine</w:t>
            </w:r>
            <w:r>
              <w:rPr>
                <w:rFonts w:cs="Arial"/>
                <w:sz w:val="22"/>
                <w:szCs w:val="22"/>
              </w:rPr>
              <w:t>® (Sandoz Inc.)</w:t>
            </w:r>
          </w:p>
          <w:p>
            <w:pPr>
              <w:pStyle w:val="List"/>
              <w:rPr>
                <w:sz w:val="22"/>
                <w:szCs w:val="24"/>
              </w:rPr>
            </w:pPr>
            <w:r>
              <w:rPr>
                <w:sz w:val="22"/>
                <w:szCs w:val="24"/>
              </w:rPr>
              <w:t>Desyrel</w:t>
            </w:r>
            <w:r>
              <w:rPr>
                <w:rFonts w:cs="Arial"/>
                <w:sz w:val="22"/>
                <w:szCs w:val="22"/>
              </w:rPr>
              <w:t>® (Bristol-Myers Squibb)</w:t>
            </w:r>
          </w:p>
          <w:p>
            <w:pPr>
              <w:pStyle w:val="List"/>
              <w:rPr>
                <w:sz w:val="22"/>
                <w:szCs w:val="24"/>
              </w:rPr>
            </w:pPr>
            <w:r>
              <w:rPr>
                <w:sz w:val="22"/>
                <w:szCs w:val="24"/>
              </w:rPr>
              <w:t>Doxepin</w:t>
            </w:r>
            <w:r>
              <w:rPr>
                <w:rFonts w:cs="Arial"/>
                <w:sz w:val="22"/>
                <w:szCs w:val="22"/>
              </w:rPr>
              <w:t>®</w:t>
            </w:r>
            <w:r>
              <w:rPr>
                <w:sz w:val="22"/>
                <w:szCs w:val="24"/>
              </w:rPr>
              <w:t xml:space="preserve"> (withhold 7 days) </w:t>
            </w:r>
            <w:r>
              <w:rPr>
                <w:rFonts w:cs="Arial"/>
                <w:sz w:val="22"/>
                <w:szCs w:val="22"/>
              </w:rPr>
              <w:t>(Mylan Pharmaceuticals Inc.)</w:t>
            </w:r>
          </w:p>
          <w:p>
            <w:pPr>
              <w:pStyle w:val="List"/>
              <w:rPr>
                <w:sz w:val="22"/>
                <w:szCs w:val="24"/>
              </w:rPr>
            </w:pPr>
            <w:r>
              <w:rPr>
                <w:sz w:val="22"/>
                <w:szCs w:val="24"/>
              </w:rPr>
              <w:t>Elavil</w:t>
            </w:r>
            <w:r>
              <w:rPr>
                <w:rFonts w:cs="Arial"/>
                <w:sz w:val="22"/>
                <w:szCs w:val="22"/>
              </w:rPr>
              <w:t>® (Merck Sharp &amp; Dohme)</w:t>
            </w:r>
          </w:p>
          <w:p>
            <w:pPr>
              <w:pStyle w:val="List"/>
              <w:rPr>
                <w:sz w:val="22"/>
                <w:szCs w:val="24"/>
              </w:rPr>
            </w:pPr>
            <w:r>
              <w:rPr>
                <w:sz w:val="22"/>
                <w:szCs w:val="24"/>
              </w:rPr>
              <w:t>Endep</w:t>
            </w:r>
            <w:r>
              <w:rPr>
                <w:rFonts w:cs="Arial"/>
                <w:sz w:val="22"/>
                <w:szCs w:val="22"/>
              </w:rPr>
              <w:t>® (Roche Laboratories)</w:t>
            </w:r>
          </w:p>
          <w:p>
            <w:pPr>
              <w:pStyle w:val="List"/>
              <w:rPr>
                <w:sz w:val="22"/>
                <w:szCs w:val="24"/>
              </w:rPr>
            </w:pPr>
            <w:r>
              <w:rPr>
                <w:sz w:val="22"/>
                <w:szCs w:val="24"/>
              </w:rPr>
              <w:t>Etrafon</w:t>
            </w:r>
            <w:r>
              <w:rPr>
                <w:rFonts w:cs="Arial"/>
                <w:sz w:val="22"/>
                <w:szCs w:val="22"/>
              </w:rPr>
              <w:t>® (Schering)</w:t>
            </w:r>
          </w:p>
          <w:p>
            <w:pPr>
              <w:pStyle w:val="List"/>
              <w:rPr>
                <w:sz w:val="22"/>
                <w:szCs w:val="24"/>
              </w:rPr>
            </w:pPr>
            <w:r>
              <w:rPr>
                <w:sz w:val="22"/>
                <w:szCs w:val="24"/>
              </w:rPr>
              <w:t>Imipramine</w:t>
            </w:r>
            <w:r>
              <w:rPr>
                <w:rFonts w:cs="Arial"/>
                <w:sz w:val="22"/>
                <w:szCs w:val="22"/>
              </w:rPr>
              <w:t>® (Sun Pharmaceutical Industries)</w:t>
            </w:r>
          </w:p>
          <w:p>
            <w:pPr>
              <w:pStyle w:val="List"/>
              <w:rPr>
                <w:sz w:val="22"/>
                <w:szCs w:val="24"/>
              </w:rPr>
            </w:pPr>
            <w:r>
              <w:rPr>
                <w:sz w:val="22"/>
                <w:szCs w:val="24"/>
              </w:rPr>
              <w:t>Limbitrol</w:t>
            </w:r>
            <w:r>
              <w:rPr>
                <w:rFonts w:cs="Arial"/>
                <w:sz w:val="22"/>
                <w:szCs w:val="22"/>
              </w:rPr>
              <w:t>® (Valeant Pharmaceuticals)</w:t>
            </w:r>
          </w:p>
          <w:p>
            <w:pPr>
              <w:pStyle w:val="List"/>
              <w:rPr>
                <w:rFonts w:cs="Arial"/>
                <w:sz w:val="22"/>
                <w:szCs w:val="24"/>
              </w:rPr>
            </w:pPr>
            <w:r>
              <w:rPr>
                <w:rFonts w:cs="Arial"/>
                <w:sz w:val="22"/>
                <w:szCs w:val="24"/>
              </w:rPr>
              <w:t>Ludiomil</w:t>
            </w:r>
            <w:r>
              <w:rPr>
                <w:rFonts w:cs="Arial"/>
                <w:sz w:val="22"/>
                <w:szCs w:val="22"/>
              </w:rPr>
              <w:t>®</w:t>
            </w:r>
            <w:r>
              <w:rPr>
                <w:rFonts w:cs="Arial"/>
                <w:sz w:val="22"/>
                <w:szCs w:val="24"/>
              </w:rPr>
              <w:t xml:space="preserve"> </w:t>
            </w:r>
            <w:r>
              <w:rPr>
                <w:rFonts w:cs="Arial"/>
                <w:sz w:val="22"/>
                <w:szCs w:val="22"/>
              </w:rPr>
              <w:t>(Novartis)</w:t>
            </w:r>
          </w:p>
          <w:p>
            <w:pPr>
              <w:pStyle w:val="List"/>
              <w:rPr>
                <w:sz w:val="22"/>
                <w:szCs w:val="24"/>
              </w:rPr>
            </w:pPr>
            <w:r>
              <w:rPr>
                <w:sz w:val="22"/>
                <w:szCs w:val="24"/>
              </w:rPr>
              <w:t>Maprotiline</w:t>
            </w:r>
            <w:r>
              <w:rPr>
                <w:rFonts w:cs="Arial"/>
                <w:sz w:val="22"/>
                <w:szCs w:val="22"/>
              </w:rPr>
              <w:t>® (Mylan Pharmaceuticals Inc.)</w:t>
            </w:r>
          </w:p>
          <w:p>
            <w:pPr>
              <w:pStyle w:val="List"/>
              <w:rPr>
                <w:sz w:val="22"/>
                <w:szCs w:val="24"/>
              </w:rPr>
            </w:pPr>
            <w:r>
              <w:rPr>
                <w:sz w:val="22"/>
                <w:szCs w:val="24"/>
              </w:rPr>
              <w:t>Norpramin</w:t>
            </w:r>
            <w:r>
              <w:rPr>
                <w:rFonts w:cs="Arial"/>
                <w:sz w:val="22"/>
                <w:szCs w:val="22"/>
              </w:rPr>
              <w:t>®</w:t>
            </w:r>
            <w:r>
              <w:rPr>
                <w:sz w:val="22"/>
                <w:szCs w:val="24"/>
              </w:rPr>
              <w:t xml:space="preserve"> (Aventis Pharmaceuticals)</w:t>
            </w:r>
          </w:p>
          <w:p>
            <w:pPr>
              <w:pStyle w:val="List"/>
              <w:rPr>
                <w:sz w:val="22"/>
                <w:szCs w:val="24"/>
              </w:rPr>
            </w:pPr>
            <w:r>
              <w:rPr>
                <w:sz w:val="22"/>
                <w:szCs w:val="24"/>
              </w:rPr>
              <w:t>Nortriptyline</w:t>
            </w:r>
            <w:r>
              <w:rPr>
                <w:rFonts w:cs="Arial"/>
                <w:sz w:val="22"/>
                <w:szCs w:val="22"/>
              </w:rPr>
              <w:t>® (Teva Pharmaceuticals USA, Inc.)</w:t>
            </w:r>
          </w:p>
          <w:p>
            <w:pPr>
              <w:pStyle w:val="List"/>
              <w:rPr>
                <w:sz w:val="22"/>
                <w:szCs w:val="24"/>
              </w:rPr>
            </w:pPr>
            <w:r>
              <w:rPr>
                <w:sz w:val="22"/>
                <w:szCs w:val="24"/>
              </w:rPr>
              <w:t>Pamelor</w:t>
            </w:r>
            <w:r>
              <w:rPr>
                <w:rFonts w:cs="Arial"/>
                <w:sz w:val="22"/>
                <w:szCs w:val="22"/>
              </w:rPr>
              <w:t>®</w:t>
            </w:r>
            <w:r>
              <w:rPr>
                <w:sz w:val="22"/>
                <w:szCs w:val="24"/>
              </w:rPr>
              <w:t xml:space="preserve"> (Mallinckrodt, Inc.)</w:t>
            </w:r>
          </w:p>
          <w:p>
            <w:pPr>
              <w:pStyle w:val="List"/>
              <w:rPr>
                <w:sz w:val="22"/>
                <w:szCs w:val="24"/>
              </w:rPr>
            </w:pPr>
            <w:r>
              <w:rPr>
                <w:sz w:val="22"/>
                <w:szCs w:val="24"/>
              </w:rPr>
              <w:t>Pertofrane</w:t>
            </w:r>
            <w:r>
              <w:rPr>
                <w:rFonts w:cs="Arial"/>
                <w:sz w:val="22"/>
                <w:szCs w:val="22"/>
              </w:rPr>
              <w:t>®</w:t>
            </w:r>
            <w:r>
              <w:rPr>
                <w:sz w:val="22"/>
                <w:szCs w:val="24"/>
              </w:rPr>
              <w:t xml:space="preserve"> (Aventis Pharmaceuticals)</w:t>
            </w:r>
          </w:p>
          <w:p>
            <w:pPr>
              <w:pStyle w:val="List"/>
              <w:rPr>
                <w:sz w:val="22"/>
                <w:szCs w:val="24"/>
              </w:rPr>
            </w:pPr>
            <w:r>
              <w:rPr>
                <w:sz w:val="22"/>
                <w:szCs w:val="24"/>
              </w:rPr>
              <w:t>Protriptyline</w:t>
            </w:r>
            <w:r>
              <w:rPr>
                <w:rFonts w:cs="Arial"/>
                <w:sz w:val="22"/>
                <w:szCs w:val="22"/>
              </w:rPr>
              <w:t>® (West-Ward Pharmaceuticals Corp.)</w:t>
            </w:r>
          </w:p>
          <w:p>
            <w:pPr>
              <w:pStyle w:val="List"/>
              <w:rPr>
                <w:sz w:val="22"/>
                <w:szCs w:val="24"/>
              </w:rPr>
            </w:pPr>
            <w:r>
              <w:rPr>
                <w:sz w:val="22"/>
                <w:szCs w:val="24"/>
              </w:rPr>
              <w:t>Sinequan</w:t>
            </w:r>
            <w:r>
              <w:rPr>
                <w:rFonts w:cs="Arial"/>
                <w:sz w:val="22"/>
                <w:szCs w:val="22"/>
              </w:rPr>
              <w:t>®</w:t>
            </w:r>
            <w:r>
              <w:rPr>
                <w:sz w:val="22"/>
                <w:szCs w:val="24"/>
              </w:rPr>
              <w:t xml:space="preserve"> (Pfizer Inc.)</w:t>
            </w:r>
          </w:p>
          <w:p>
            <w:pPr>
              <w:pStyle w:val="List"/>
              <w:rPr>
                <w:sz w:val="22"/>
                <w:szCs w:val="24"/>
              </w:rPr>
            </w:pPr>
            <w:r>
              <w:rPr>
                <w:sz w:val="22"/>
                <w:szCs w:val="24"/>
              </w:rPr>
              <w:t>Surmontil</w:t>
            </w:r>
            <w:r>
              <w:rPr>
                <w:rFonts w:cs="Arial"/>
                <w:sz w:val="22"/>
                <w:szCs w:val="22"/>
              </w:rPr>
              <w:t>®</w:t>
            </w:r>
            <w:r>
              <w:rPr>
                <w:sz w:val="22"/>
                <w:szCs w:val="24"/>
              </w:rPr>
              <w:t xml:space="preserve"> (Aventis Pharmaceuticals)</w:t>
            </w:r>
          </w:p>
          <w:p>
            <w:pPr>
              <w:pStyle w:val="List"/>
              <w:rPr>
                <w:sz w:val="22"/>
                <w:szCs w:val="24"/>
              </w:rPr>
            </w:pPr>
            <w:r>
              <w:rPr>
                <w:sz w:val="22"/>
                <w:szCs w:val="24"/>
              </w:rPr>
              <w:t>Tofranil</w:t>
            </w:r>
            <w:r>
              <w:rPr>
                <w:rFonts w:cs="Arial"/>
                <w:sz w:val="22"/>
                <w:szCs w:val="22"/>
              </w:rPr>
              <w:t>®</w:t>
            </w:r>
            <w:r>
              <w:rPr>
                <w:sz w:val="22"/>
                <w:szCs w:val="24"/>
              </w:rPr>
              <w:t xml:space="preserve"> (Mallinckrodt, Inc.)</w:t>
            </w:r>
          </w:p>
          <w:p>
            <w:pPr>
              <w:pStyle w:val="List"/>
              <w:rPr>
                <w:sz w:val="22"/>
                <w:szCs w:val="24"/>
              </w:rPr>
            </w:pPr>
            <w:r>
              <w:rPr>
                <w:sz w:val="22"/>
                <w:szCs w:val="24"/>
              </w:rPr>
              <w:t>Triavil</w:t>
            </w:r>
            <w:r>
              <w:rPr>
                <w:rFonts w:cs="Arial"/>
                <w:sz w:val="22"/>
                <w:szCs w:val="22"/>
              </w:rPr>
              <w:t>® (Merck Sharp &amp; Dohme)</w:t>
            </w:r>
          </w:p>
          <w:p>
            <w:pPr>
              <w:pStyle w:val="List"/>
              <w:rPr>
                <w:rFonts w:cs="Arial"/>
                <w:sz w:val="22"/>
                <w:szCs w:val="24"/>
              </w:rPr>
            </w:pPr>
            <w:r>
              <w:rPr>
                <w:rFonts w:cs="Arial"/>
                <w:sz w:val="22"/>
                <w:szCs w:val="24"/>
              </w:rPr>
              <w:t>Trimipramine</w:t>
            </w:r>
            <w:r>
              <w:rPr>
                <w:rFonts w:cs="Arial"/>
                <w:sz w:val="22"/>
                <w:szCs w:val="22"/>
              </w:rPr>
              <w:t>® (Actavis Pharma, Inc.)</w:t>
            </w:r>
          </w:p>
          <w:p>
            <w:pPr>
              <w:pStyle w:val="List"/>
              <w:rPr>
                <w:sz w:val="22"/>
                <w:szCs w:val="24"/>
              </w:rPr>
            </w:pPr>
            <w:r>
              <w:rPr>
                <w:sz w:val="22"/>
                <w:szCs w:val="24"/>
              </w:rPr>
              <w:t>Vivactil</w:t>
            </w:r>
            <w:r>
              <w:rPr>
                <w:rFonts w:cs="Arial"/>
                <w:sz w:val="22"/>
                <w:szCs w:val="22"/>
              </w:rPr>
              <w:t>® (Odyssey Pharmaceuticals)</w:t>
            </w:r>
          </w:p>
          <w:p>
            <w:pPr>
              <w:pStyle w:val="Normal"/>
              <w:keepNext w:val="true"/>
              <w:rPr>
                <w:rFonts w:ascii="Arial" w:hAnsi="Arial" w:cs="Arial"/>
                <w:sz w:val="22"/>
                <w:szCs w:val="22"/>
              </w:rPr>
            </w:pPr>
            <w:r>
              <w:rPr>
                <w:rFonts w:cs="Arial" w:ascii="Arial" w:hAnsi="Arial"/>
                <w:sz w:val="22"/>
                <w:szCs w:val="22"/>
              </w:rPr>
            </w:r>
          </w:p>
          <w:p>
            <w:pPr>
              <w:pStyle w:val="TextBody"/>
              <w:spacing w:before="0" w:after="0"/>
              <w:rPr>
                <w:b/>
                <w:b/>
              </w:rPr>
            </w:pPr>
            <w:r>
              <w:rPr>
                <w:rFonts w:cs="Arial"/>
                <w:b/>
                <w:bCs/>
                <w:sz w:val="22"/>
                <w:szCs w:val="22"/>
              </w:rPr>
              <w:t>H2 Antagonists</w:t>
            </w:r>
          </w:p>
          <w:p>
            <w:pPr>
              <w:pStyle w:val="TextBody"/>
              <w:spacing w:before="0" w:after="0"/>
              <w:rPr>
                <w:sz w:val="22"/>
                <w:szCs w:val="24"/>
                <w:u w:val="single"/>
              </w:rPr>
            </w:pPr>
            <w:r>
              <w:rPr>
                <w:sz w:val="22"/>
                <w:szCs w:val="24"/>
                <w:u w:val="single"/>
              </w:rPr>
              <w:t>Withhold 3 days before testing.</w:t>
            </w:r>
          </w:p>
          <w:p>
            <w:pPr>
              <w:pStyle w:val="List"/>
              <w:rPr>
                <w:sz w:val="22"/>
                <w:szCs w:val="24"/>
              </w:rPr>
            </w:pPr>
            <w:r>
              <w:rPr>
                <w:sz w:val="22"/>
                <w:szCs w:val="24"/>
              </w:rPr>
              <w:t>Axid</w:t>
            </w:r>
            <w:r>
              <w:rPr>
                <w:rFonts w:cs="Arial"/>
                <w:sz w:val="22"/>
                <w:szCs w:val="22"/>
              </w:rPr>
              <w:t>®</w:t>
            </w:r>
            <w:r>
              <w:rPr>
                <w:sz w:val="22"/>
                <w:szCs w:val="24"/>
              </w:rPr>
              <w:t xml:space="preserve"> (nizatidine) (Pfizer Inc.)</w:t>
            </w:r>
          </w:p>
          <w:p>
            <w:pPr>
              <w:pStyle w:val="List"/>
              <w:rPr>
                <w:sz w:val="22"/>
                <w:szCs w:val="24"/>
              </w:rPr>
            </w:pPr>
            <w:r>
              <w:rPr>
                <w:sz w:val="22"/>
                <w:szCs w:val="24"/>
              </w:rPr>
              <w:t>Pepcid</w:t>
            </w:r>
            <w:r>
              <w:rPr>
                <w:rFonts w:cs="Arial"/>
                <w:sz w:val="22"/>
                <w:szCs w:val="22"/>
              </w:rPr>
              <w:t>®</w:t>
            </w:r>
            <w:r>
              <w:rPr>
                <w:sz w:val="22"/>
                <w:szCs w:val="24"/>
              </w:rPr>
              <w:t xml:space="preserve"> (famotidine) </w:t>
            </w:r>
            <w:r>
              <w:rPr>
                <w:rFonts w:cs="Arial"/>
                <w:sz w:val="22"/>
                <w:szCs w:val="22"/>
              </w:rPr>
              <w:t>(Valeant Pharmaceuticals)</w:t>
            </w:r>
          </w:p>
          <w:p>
            <w:pPr>
              <w:pStyle w:val="List"/>
              <w:rPr>
                <w:sz w:val="22"/>
                <w:szCs w:val="24"/>
              </w:rPr>
            </w:pPr>
            <w:r>
              <w:rPr>
                <w:sz w:val="22"/>
                <w:szCs w:val="24"/>
              </w:rPr>
              <w:t>Tagamet</w:t>
            </w:r>
            <w:r>
              <w:rPr>
                <w:rFonts w:cs="Arial"/>
                <w:sz w:val="22"/>
                <w:szCs w:val="22"/>
              </w:rPr>
              <w:t>®</w:t>
            </w:r>
            <w:r>
              <w:rPr>
                <w:sz w:val="22"/>
                <w:szCs w:val="24"/>
              </w:rPr>
              <w:t xml:space="preserve"> (cimetidine) (Medtech Products Inc.)</w:t>
            </w:r>
          </w:p>
          <w:p>
            <w:pPr>
              <w:pStyle w:val="List"/>
              <w:rPr>
                <w:b/>
                <w:b/>
                <w:sz w:val="22"/>
                <w:szCs w:val="24"/>
              </w:rPr>
            </w:pPr>
            <w:r>
              <w:rPr>
                <w:sz w:val="22"/>
                <w:szCs w:val="24"/>
              </w:rPr>
              <w:t>Zantac</w:t>
            </w:r>
            <w:r>
              <w:rPr>
                <w:rFonts w:cs="Arial"/>
                <w:sz w:val="22"/>
                <w:szCs w:val="22"/>
              </w:rPr>
              <w:t>®</w:t>
            </w:r>
            <w:r>
              <w:rPr>
                <w:sz w:val="22"/>
                <w:szCs w:val="24"/>
              </w:rPr>
              <w:t xml:space="preserve"> (ranitidine) </w:t>
            </w:r>
            <w:r>
              <w:rPr>
                <w:rFonts w:cs="Arial"/>
                <w:sz w:val="22"/>
                <w:szCs w:val="22"/>
              </w:rPr>
              <w:t>(GlaxoSmithKline)</w:t>
            </w:r>
          </w:p>
          <w:p>
            <w:pPr>
              <w:pStyle w:val="Normal"/>
              <w:keepNext w:val="true"/>
              <w:rPr>
                <w:rFonts w:ascii="Arial" w:hAnsi="Arial" w:cs="Arial"/>
                <w:b/>
                <w:b/>
                <w:sz w:val="22"/>
                <w:szCs w:val="22"/>
              </w:rPr>
            </w:pPr>
            <w:r>
              <w:rPr>
                <w:rFonts w:cs="Arial" w:ascii="Arial" w:hAnsi="Arial"/>
                <w:b/>
                <w:sz w:val="22"/>
                <w:szCs w:val="22"/>
              </w:rPr>
            </w:r>
          </w:p>
          <w:p>
            <w:pPr>
              <w:pStyle w:val="Normal"/>
              <w:keepNext w:val="true"/>
              <w:rPr>
                <w:rFonts w:ascii="Arial" w:hAnsi="Arial" w:cs="Arial"/>
                <w:sz w:val="22"/>
                <w:szCs w:val="22"/>
              </w:rPr>
            </w:pPr>
            <w:r>
              <w:rPr>
                <w:rFonts w:cs="Arial" w:ascii="Arial" w:hAnsi="Arial"/>
                <w:b/>
                <w:bCs/>
                <w:sz w:val="22"/>
                <w:szCs w:val="22"/>
              </w:rPr>
              <w:t xml:space="preserve">Beta-Blockers </w:t>
            </w:r>
          </w:p>
          <w:p>
            <w:pPr>
              <w:pStyle w:val="Normal"/>
              <w:keepNext w:val="true"/>
              <w:rPr/>
            </w:pPr>
            <w:r>
              <w:rPr>
                <w:rFonts w:cs="Arial" w:ascii="Arial" w:hAnsi="Arial"/>
                <w:sz w:val="22"/>
                <w:szCs w:val="22"/>
                <w:u w:val="single"/>
              </w:rPr>
              <w:t xml:space="preserve">If a participant is currently taking beta-blockers for comorbidities such as hypertension, headaches, tremor, or glaucoma, they should not undergo skin testing. </w:t>
            </w:r>
            <w:r>
              <w:rPr>
                <w:rFonts w:cs="Arial" w:ascii="Arial" w:hAnsi="Arial"/>
                <w:sz w:val="22"/>
                <w:szCs w:val="22"/>
              </w:rPr>
              <w:t xml:space="preserve">If anaphylaxis occurs, rescue with epinephrine may be less effective. </w:t>
            </w:r>
          </w:p>
          <w:p>
            <w:pPr>
              <w:pStyle w:val="Normal"/>
              <w:keepNext w:val="true"/>
              <w:rPr>
                <w:rFonts w:ascii="Arial" w:hAnsi="Arial" w:cs="Arial"/>
                <w:sz w:val="22"/>
                <w:szCs w:val="22"/>
              </w:rPr>
            </w:pPr>
            <w:r>
              <w:rPr>
                <w:rFonts w:cs="Arial" w:ascii="Arial" w:hAnsi="Arial"/>
                <w:sz w:val="22"/>
                <w:szCs w:val="22"/>
              </w:rPr>
              <w:t>Atenolol</w:t>
            </w:r>
            <w:r>
              <w:rPr>
                <w:rFonts w:cs="Arial"/>
                <w:sz w:val="22"/>
                <w:szCs w:val="22"/>
              </w:rPr>
              <w:t>®</w:t>
            </w:r>
            <w:r>
              <w:rPr>
                <w:rFonts w:cs="Arial" w:ascii="Arial" w:hAnsi="Arial"/>
                <w:sz w:val="22"/>
                <w:szCs w:val="22"/>
              </w:rPr>
              <w:t xml:space="preserve"> (Tenormin) (Teva Pharmaceuticals USA, Inc.)</w:t>
            </w:r>
          </w:p>
          <w:p>
            <w:pPr>
              <w:pStyle w:val="Normal"/>
              <w:keepNext w:val="true"/>
              <w:rPr>
                <w:rFonts w:ascii="Arial" w:hAnsi="Arial" w:cs="Arial"/>
                <w:sz w:val="22"/>
                <w:szCs w:val="22"/>
              </w:rPr>
            </w:pPr>
            <w:r>
              <w:rPr>
                <w:rFonts w:cs="Arial" w:ascii="Arial" w:hAnsi="Arial"/>
                <w:sz w:val="22"/>
                <w:szCs w:val="22"/>
              </w:rPr>
              <w:t>Betapace</w:t>
            </w:r>
            <w:r>
              <w:rPr>
                <w:rFonts w:cs="Arial"/>
                <w:sz w:val="22"/>
                <w:szCs w:val="22"/>
              </w:rPr>
              <w:t>®</w:t>
            </w:r>
            <w:r>
              <w:rPr>
                <w:rFonts w:cs="Arial" w:ascii="Arial" w:hAnsi="Arial"/>
                <w:sz w:val="22"/>
                <w:szCs w:val="22"/>
              </w:rPr>
              <w:t xml:space="preserve"> (sotalol) (Bayer HealthCare Pharmaceuticals Inc.)</w:t>
            </w:r>
          </w:p>
          <w:p>
            <w:pPr>
              <w:pStyle w:val="Normal"/>
              <w:keepNext w:val="true"/>
              <w:rPr>
                <w:rFonts w:ascii="Arial" w:hAnsi="Arial" w:cs="Arial"/>
                <w:sz w:val="22"/>
                <w:szCs w:val="22"/>
              </w:rPr>
            </w:pPr>
            <w:r>
              <w:rPr>
                <w:rFonts w:cs="Arial" w:ascii="Arial" w:hAnsi="Arial"/>
                <w:sz w:val="22"/>
                <w:szCs w:val="22"/>
              </w:rPr>
              <w:t>Cordrol</w:t>
            </w:r>
            <w:r>
              <w:rPr>
                <w:rFonts w:cs="Arial"/>
                <w:sz w:val="22"/>
                <w:szCs w:val="22"/>
              </w:rPr>
              <w:t>®</w:t>
            </w:r>
            <w:r>
              <w:rPr>
                <w:rFonts w:cs="Arial" w:ascii="Arial" w:hAnsi="Arial"/>
                <w:sz w:val="22"/>
                <w:szCs w:val="22"/>
              </w:rPr>
              <w:t xml:space="preserve"> (carteolol) (Sandoz Inc.)</w:t>
            </w:r>
          </w:p>
          <w:p>
            <w:pPr>
              <w:pStyle w:val="Normal"/>
              <w:keepNext w:val="true"/>
              <w:rPr>
                <w:rFonts w:ascii="Arial" w:hAnsi="Arial" w:cs="Arial"/>
                <w:sz w:val="22"/>
                <w:szCs w:val="22"/>
              </w:rPr>
            </w:pPr>
            <w:r>
              <w:rPr>
                <w:rFonts w:cs="Arial" w:ascii="Arial" w:hAnsi="Arial"/>
                <w:sz w:val="22"/>
                <w:szCs w:val="22"/>
              </w:rPr>
              <w:t>Coreg</w:t>
            </w:r>
            <w:r>
              <w:rPr>
                <w:rFonts w:cs="Arial"/>
                <w:sz w:val="22"/>
                <w:szCs w:val="22"/>
              </w:rPr>
              <w:t>®</w:t>
            </w:r>
            <w:r>
              <w:rPr>
                <w:rFonts w:cs="Arial" w:ascii="Arial" w:hAnsi="Arial"/>
                <w:sz w:val="22"/>
                <w:szCs w:val="22"/>
              </w:rPr>
              <w:t xml:space="preserve"> (carvedilol) (GlaxoSmithKline)</w:t>
            </w:r>
          </w:p>
          <w:p>
            <w:pPr>
              <w:pStyle w:val="Normal"/>
              <w:keepNext w:val="true"/>
              <w:rPr>
                <w:rFonts w:ascii="Arial" w:hAnsi="Arial" w:cs="Arial"/>
                <w:sz w:val="22"/>
                <w:szCs w:val="22"/>
              </w:rPr>
            </w:pPr>
            <w:r>
              <w:rPr>
                <w:rFonts w:cs="Arial" w:ascii="Arial" w:hAnsi="Arial"/>
                <w:sz w:val="22"/>
                <w:szCs w:val="22"/>
              </w:rPr>
              <w:t>Corgard</w:t>
            </w:r>
            <w:r>
              <w:rPr>
                <w:rFonts w:cs="Arial"/>
                <w:sz w:val="22"/>
                <w:szCs w:val="22"/>
              </w:rPr>
              <w:t>®</w:t>
            </w:r>
            <w:r>
              <w:rPr>
                <w:rFonts w:cs="Arial" w:ascii="Arial" w:hAnsi="Arial"/>
                <w:sz w:val="22"/>
                <w:szCs w:val="22"/>
              </w:rPr>
              <w:t xml:space="preserve"> (nadolol) (Pfizer Inc.)</w:t>
            </w:r>
          </w:p>
          <w:p>
            <w:pPr>
              <w:pStyle w:val="Normal"/>
              <w:keepNext w:val="true"/>
              <w:rPr>
                <w:rFonts w:ascii="Arial" w:hAnsi="Arial" w:cs="Arial"/>
                <w:sz w:val="22"/>
                <w:szCs w:val="22"/>
              </w:rPr>
            </w:pPr>
            <w:r>
              <w:rPr>
                <w:rFonts w:cs="Arial" w:ascii="Arial" w:hAnsi="Arial"/>
                <w:sz w:val="22"/>
                <w:szCs w:val="22"/>
              </w:rPr>
              <w:t>Kerlone</w:t>
            </w:r>
            <w:r>
              <w:rPr>
                <w:rFonts w:cs="Arial"/>
                <w:sz w:val="22"/>
                <w:szCs w:val="22"/>
              </w:rPr>
              <w:t>®</w:t>
            </w:r>
            <w:r>
              <w:rPr>
                <w:rFonts w:cs="Arial" w:ascii="Arial" w:hAnsi="Arial"/>
                <w:sz w:val="22"/>
                <w:szCs w:val="22"/>
              </w:rPr>
              <w:t xml:space="preserve"> (betaxolol) (Sanofi-Aventis)</w:t>
            </w:r>
          </w:p>
          <w:p>
            <w:pPr>
              <w:pStyle w:val="Normal"/>
              <w:keepNext w:val="true"/>
              <w:rPr>
                <w:rFonts w:ascii="Arial" w:hAnsi="Arial" w:cs="Arial"/>
                <w:sz w:val="22"/>
                <w:szCs w:val="22"/>
              </w:rPr>
            </w:pPr>
            <w:r>
              <w:rPr>
                <w:rFonts w:cs="Arial" w:ascii="Arial" w:hAnsi="Arial"/>
                <w:sz w:val="22"/>
                <w:szCs w:val="22"/>
              </w:rPr>
              <w:t>Levatol</w:t>
            </w:r>
            <w:r>
              <w:rPr>
                <w:rFonts w:cs="Arial"/>
                <w:sz w:val="22"/>
                <w:szCs w:val="22"/>
              </w:rPr>
              <w:t>®</w:t>
            </w:r>
            <w:r>
              <w:rPr>
                <w:rFonts w:cs="Arial" w:ascii="Arial" w:hAnsi="Arial"/>
                <w:sz w:val="22"/>
                <w:szCs w:val="22"/>
              </w:rPr>
              <w:t xml:space="preserve"> (penbutolol) (Auxilium Pharmaceuticals)</w:t>
            </w:r>
          </w:p>
          <w:p>
            <w:pPr>
              <w:pStyle w:val="Normal"/>
              <w:keepNext w:val="true"/>
              <w:rPr>
                <w:rFonts w:ascii="Arial" w:hAnsi="Arial" w:cs="Arial"/>
                <w:sz w:val="22"/>
                <w:szCs w:val="22"/>
              </w:rPr>
            </w:pPr>
            <w:r>
              <w:rPr>
                <w:rFonts w:cs="Arial" w:ascii="Arial" w:hAnsi="Arial"/>
                <w:sz w:val="22"/>
                <w:szCs w:val="22"/>
              </w:rPr>
              <w:t>Metoprolol</w:t>
            </w:r>
            <w:r>
              <w:rPr>
                <w:rFonts w:cs="Arial"/>
                <w:sz w:val="22"/>
                <w:szCs w:val="22"/>
              </w:rPr>
              <w:t>®</w:t>
            </w:r>
            <w:r>
              <w:rPr>
                <w:rFonts w:cs="Arial" w:ascii="Arial" w:hAnsi="Arial"/>
                <w:sz w:val="22"/>
                <w:szCs w:val="22"/>
              </w:rPr>
              <w:t xml:space="preserve"> (Lopressor, Toprol) (Teva Pharmaceuticals USA, Inc.)</w:t>
            </w:r>
          </w:p>
          <w:p>
            <w:pPr>
              <w:pStyle w:val="Normal"/>
              <w:keepNext w:val="true"/>
              <w:rPr>
                <w:rFonts w:ascii="Arial" w:hAnsi="Arial" w:cs="Arial"/>
                <w:sz w:val="22"/>
                <w:szCs w:val="22"/>
              </w:rPr>
            </w:pPr>
            <w:r>
              <w:rPr>
                <w:rFonts w:cs="Arial" w:ascii="Arial" w:hAnsi="Arial"/>
                <w:sz w:val="22"/>
                <w:szCs w:val="22"/>
              </w:rPr>
              <w:t>Propranolol</w:t>
            </w:r>
            <w:r>
              <w:rPr>
                <w:rFonts w:cs="Arial"/>
                <w:sz w:val="22"/>
                <w:szCs w:val="22"/>
              </w:rPr>
              <w:t>®</w:t>
            </w:r>
            <w:r>
              <w:rPr>
                <w:rFonts w:cs="Arial" w:ascii="Arial" w:hAnsi="Arial"/>
                <w:sz w:val="22"/>
                <w:szCs w:val="22"/>
              </w:rPr>
              <w:t xml:space="preserve"> (Inderal) (West-Ward Pharmaceuticals Corp.)</w:t>
            </w:r>
          </w:p>
          <w:p>
            <w:pPr>
              <w:pStyle w:val="Normal"/>
              <w:keepNext w:val="true"/>
              <w:rPr>
                <w:rFonts w:ascii="Arial" w:hAnsi="Arial" w:cs="Arial"/>
                <w:sz w:val="22"/>
                <w:szCs w:val="22"/>
              </w:rPr>
            </w:pPr>
            <w:r>
              <w:rPr>
                <w:rFonts w:cs="Arial" w:ascii="Arial" w:hAnsi="Arial"/>
                <w:sz w:val="22"/>
                <w:szCs w:val="22"/>
              </w:rPr>
              <w:t>Sectral</w:t>
            </w:r>
            <w:r>
              <w:rPr>
                <w:rFonts w:cs="Arial"/>
                <w:sz w:val="22"/>
                <w:szCs w:val="22"/>
              </w:rPr>
              <w:t>®</w:t>
            </w:r>
            <w:r>
              <w:rPr>
                <w:rFonts w:cs="Arial" w:ascii="Arial" w:hAnsi="Arial"/>
                <w:sz w:val="22"/>
                <w:szCs w:val="22"/>
              </w:rPr>
              <w:t xml:space="preserve"> (acebutolol) (Promius Pharma, LLC)</w:t>
            </w:r>
          </w:p>
          <w:p>
            <w:pPr>
              <w:pStyle w:val="Normal"/>
              <w:keepNext w:val="true"/>
              <w:rPr>
                <w:rFonts w:ascii="Arial" w:hAnsi="Arial" w:cs="Arial"/>
                <w:sz w:val="22"/>
                <w:szCs w:val="22"/>
              </w:rPr>
            </w:pPr>
            <w:r>
              <w:rPr>
                <w:rFonts w:cs="Arial" w:ascii="Arial" w:hAnsi="Arial"/>
                <w:sz w:val="22"/>
                <w:szCs w:val="22"/>
              </w:rPr>
              <w:t>Timolol</w:t>
            </w:r>
            <w:r>
              <w:rPr>
                <w:rFonts w:cs="Arial"/>
                <w:sz w:val="22"/>
                <w:szCs w:val="22"/>
              </w:rPr>
              <w:t>®</w:t>
            </w:r>
            <w:r>
              <w:rPr>
                <w:rFonts w:cs="Arial" w:ascii="Arial" w:hAnsi="Arial"/>
                <w:sz w:val="22"/>
                <w:szCs w:val="22"/>
              </w:rPr>
              <w:t xml:space="preserve"> (Blocadren) (Mylan Pharmaceuticals Inc.) </w:t>
            </w:r>
          </w:p>
          <w:p>
            <w:pPr>
              <w:pStyle w:val="Normal"/>
              <w:keepNext w:val="true"/>
              <w:rPr>
                <w:rFonts w:ascii="Arial" w:hAnsi="Arial" w:cs="Arial"/>
                <w:sz w:val="22"/>
                <w:szCs w:val="22"/>
              </w:rPr>
            </w:pPr>
            <w:r>
              <w:rPr>
                <w:rFonts w:cs="Arial" w:ascii="Arial" w:hAnsi="Arial"/>
                <w:sz w:val="22"/>
                <w:szCs w:val="22"/>
              </w:rPr>
              <w:t>Timoptic</w:t>
            </w:r>
            <w:r>
              <w:rPr>
                <w:rFonts w:cs="Arial"/>
                <w:sz w:val="22"/>
                <w:szCs w:val="22"/>
              </w:rPr>
              <w:t>®</w:t>
            </w:r>
            <w:r>
              <w:rPr>
                <w:rFonts w:cs="Arial" w:ascii="Arial" w:hAnsi="Arial"/>
                <w:sz w:val="22"/>
                <w:szCs w:val="22"/>
              </w:rPr>
              <w:t xml:space="preserve"> (eye drops for glaucoma) (Valeant Pharmaceuticals)</w:t>
            </w:r>
          </w:p>
          <w:p>
            <w:pPr>
              <w:pStyle w:val="Normal"/>
              <w:keepNext w:val="true"/>
              <w:rPr>
                <w:rFonts w:ascii="Arial" w:hAnsi="Arial" w:cs="Arial"/>
                <w:sz w:val="22"/>
                <w:szCs w:val="22"/>
              </w:rPr>
            </w:pPr>
            <w:r>
              <w:rPr>
                <w:rFonts w:cs="Arial" w:ascii="Arial" w:hAnsi="Arial"/>
                <w:sz w:val="22"/>
                <w:szCs w:val="22"/>
              </w:rPr>
              <w:t>Trandate, Normodyne</w:t>
            </w:r>
            <w:r>
              <w:rPr>
                <w:rFonts w:cs="Arial"/>
                <w:sz w:val="22"/>
                <w:szCs w:val="22"/>
              </w:rPr>
              <w:t>®</w:t>
            </w:r>
            <w:r>
              <w:rPr>
                <w:rFonts w:cs="Arial" w:ascii="Arial" w:hAnsi="Arial"/>
                <w:sz w:val="22"/>
                <w:szCs w:val="22"/>
              </w:rPr>
              <w:t xml:space="preserve"> (labetalol) (Prometheus Laboratories Inc.)</w:t>
            </w:r>
          </w:p>
          <w:p>
            <w:pPr>
              <w:pStyle w:val="Normal"/>
              <w:keepNext w:val="true"/>
              <w:rPr>
                <w:rFonts w:ascii="Arial" w:hAnsi="Arial" w:cs="Arial"/>
                <w:sz w:val="22"/>
                <w:szCs w:val="22"/>
              </w:rPr>
            </w:pPr>
            <w:r>
              <w:rPr>
                <w:rFonts w:cs="Arial" w:ascii="Arial" w:hAnsi="Arial"/>
                <w:sz w:val="22"/>
                <w:szCs w:val="22"/>
              </w:rPr>
              <w:t>Visken</w:t>
            </w:r>
            <w:r>
              <w:rPr>
                <w:rFonts w:cs="Arial"/>
                <w:sz w:val="22"/>
                <w:szCs w:val="22"/>
              </w:rPr>
              <w:t>®</w:t>
            </w:r>
            <w:r>
              <w:rPr>
                <w:rFonts w:cs="Arial" w:ascii="Arial" w:hAnsi="Arial"/>
                <w:sz w:val="22"/>
                <w:szCs w:val="22"/>
              </w:rPr>
              <w:t xml:space="preserve"> (pindolol) (Novartis)</w:t>
            </w:r>
          </w:p>
          <w:p>
            <w:pPr>
              <w:pStyle w:val="Normal"/>
              <w:keepNext w:val="true"/>
              <w:rPr>
                <w:rFonts w:ascii="Arial" w:hAnsi="Arial" w:cs="Arial"/>
                <w:sz w:val="22"/>
                <w:szCs w:val="22"/>
              </w:rPr>
            </w:pPr>
            <w:r>
              <w:rPr>
                <w:rFonts w:cs="Arial" w:ascii="Arial" w:hAnsi="Arial"/>
                <w:sz w:val="22"/>
                <w:szCs w:val="22"/>
              </w:rPr>
              <w:t>Zebeta</w:t>
            </w:r>
            <w:r>
              <w:rPr>
                <w:rFonts w:cs="Arial"/>
                <w:sz w:val="22"/>
                <w:szCs w:val="22"/>
              </w:rPr>
              <w:t>®</w:t>
            </w:r>
            <w:r>
              <w:rPr>
                <w:rFonts w:cs="Arial" w:ascii="Arial" w:hAnsi="Arial"/>
                <w:sz w:val="22"/>
                <w:szCs w:val="22"/>
              </w:rPr>
              <w:t xml:space="preserve"> (bisoprolol) (Teva Pharmaceuticals USA, Inc.)</w:t>
            </w:r>
          </w:p>
          <w:p>
            <w:pPr>
              <w:pStyle w:val="Normal"/>
              <w:keepNext w:val="true"/>
              <w:rPr>
                <w:rFonts w:ascii="Arial" w:hAnsi="Arial" w:cs="Arial"/>
                <w:sz w:val="22"/>
                <w:szCs w:val="22"/>
              </w:rPr>
            </w:pPr>
            <w:r>
              <w:rPr>
                <w:rFonts w:cs="Arial" w:ascii="Arial" w:hAnsi="Arial"/>
                <w:sz w:val="22"/>
                <w:szCs w:val="22"/>
              </w:rPr>
            </w:r>
          </w:p>
          <w:p>
            <w:pPr>
              <w:pStyle w:val="Normal"/>
              <w:keepNext w:val="true"/>
              <w:rPr>
                <w:rFonts w:ascii="Arial" w:hAnsi="Arial" w:cs="Arial"/>
                <w:sz w:val="22"/>
                <w:szCs w:val="22"/>
              </w:rPr>
            </w:pPr>
            <w:r>
              <w:rPr>
                <w:rFonts w:cs="Arial" w:ascii="Arial" w:hAnsi="Arial"/>
                <w:b/>
                <w:bCs/>
                <w:sz w:val="22"/>
                <w:szCs w:val="22"/>
              </w:rPr>
              <w:t xml:space="preserve">Herbal Supplements </w:t>
            </w:r>
          </w:p>
          <w:p>
            <w:pPr>
              <w:pStyle w:val="Normal"/>
              <w:keepNext w:val="true"/>
              <w:rPr>
                <w:rFonts w:ascii="Arial" w:hAnsi="Arial" w:cs="Arial"/>
                <w:sz w:val="22"/>
                <w:szCs w:val="22"/>
              </w:rPr>
            </w:pPr>
            <w:r>
              <w:rPr>
                <w:rFonts w:cs="Arial" w:ascii="Arial" w:hAnsi="Arial"/>
                <w:sz w:val="22"/>
                <w:szCs w:val="22"/>
                <w:u w:val="single"/>
              </w:rPr>
              <w:t xml:space="preserve">Withhold 3 days before testing. </w:t>
            </w:r>
          </w:p>
          <w:p>
            <w:pPr>
              <w:pStyle w:val="Normal"/>
              <w:keepNext w:val="true"/>
              <w:rPr>
                <w:rFonts w:ascii="Arial" w:hAnsi="Arial" w:cs="Arial"/>
                <w:sz w:val="22"/>
                <w:szCs w:val="22"/>
              </w:rPr>
            </w:pPr>
            <w:r>
              <w:rPr>
                <w:rFonts w:cs="Arial" w:ascii="Arial" w:hAnsi="Arial"/>
                <w:sz w:val="22"/>
                <w:szCs w:val="22"/>
              </w:rPr>
              <w:t xml:space="preserve">Astragalus </w:t>
            </w:r>
          </w:p>
          <w:p>
            <w:pPr>
              <w:pStyle w:val="Normal"/>
              <w:keepNext w:val="true"/>
              <w:rPr>
                <w:rFonts w:ascii="Arial" w:hAnsi="Arial" w:cs="Arial"/>
                <w:sz w:val="22"/>
                <w:szCs w:val="22"/>
              </w:rPr>
            </w:pPr>
            <w:r>
              <w:rPr>
                <w:rFonts w:cs="Arial" w:ascii="Arial" w:hAnsi="Arial"/>
                <w:sz w:val="22"/>
                <w:szCs w:val="22"/>
              </w:rPr>
              <w:t xml:space="preserve">Feverfew </w:t>
            </w:r>
          </w:p>
          <w:p>
            <w:pPr>
              <w:pStyle w:val="Normal"/>
              <w:keepNext w:val="true"/>
              <w:rPr>
                <w:rFonts w:ascii="Arial" w:hAnsi="Arial" w:cs="Arial"/>
                <w:sz w:val="22"/>
                <w:szCs w:val="22"/>
              </w:rPr>
            </w:pPr>
            <w:r>
              <w:rPr>
                <w:rFonts w:cs="Arial" w:ascii="Arial" w:hAnsi="Arial"/>
                <w:sz w:val="22"/>
                <w:szCs w:val="22"/>
              </w:rPr>
              <w:t xml:space="preserve">Green Tea </w:t>
            </w:r>
          </w:p>
          <w:p>
            <w:pPr>
              <w:pStyle w:val="Normal"/>
              <w:keepNext w:val="true"/>
              <w:rPr>
                <w:rFonts w:ascii="Arial" w:hAnsi="Arial" w:cs="Arial"/>
                <w:sz w:val="22"/>
                <w:szCs w:val="22"/>
              </w:rPr>
            </w:pPr>
            <w:r>
              <w:rPr>
                <w:rFonts w:cs="Arial" w:ascii="Arial" w:hAnsi="Arial"/>
                <w:sz w:val="22"/>
                <w:szCs w:val="22"/>
              </w:rPr>
              <w:t xml:space="preserve">Licorice </w:t>
            </w:r>
          </w:p>
          <w:p>
            <w:pPr>
              <w:pStyle w:val="Normal"/>
              <w:keepNext w:val="true"/>
              <w:rPr>
                <w:rFonts w:ascii="Arial" w:hAnsi="Arial" w:cs="Arial"/>
                <w:sz w:val="22"/>
                <w:szCs w:val="22"/>
              </w:rPr>
            </w:pPr>
            <w:r>
              <w:rPr>
                <w:rFonts w:cs="Arial" w:ascii="Arial" w:hAnsi="Arial"/>
                <w:sz w:val="22"/>
                <w:szCs w:val="22"/>
              </w:rPr>
              <w:t xml:space="preserve">Milk Thistle </w:t>
            </w:r>
          </w:p>
          <w:p>
            <w:pPr>
              <w:pStyle w:val="Normal"/>
              <w:keepNext w:val="true"/>
              <w:rPr>
                <w:rFonts w:ascii="Arial" w:hAnsi="Arial" w:cs="Arial"/>
                <w:sz w:val="22"/>
                <w:szCs w:val="22"/>
              </w:rPr>
            </w:pPr>
            <w:r>
              <w:rPr>
                <w:rFonts w:cs="Arial" w:ascii="Arial" w:hAnsi="Arial"/>
                <w:sz w:val="22"/>
                <w:szCs w:val="22"/>
              </w:rPr>
              <w:t xml:space="preserve">Saw Palmetto </w:t>
            </w:r>
          </w:p>
          <w:p>
            <w:pPr>
              <w:pStyle w:val="Normal"/>
              <w:keepNext w:val="true"/>
              <w:rPr>
                <w:rFonts w:ascii="Arial" w:hAnsi="Arial" w:cs="Arial"/>
                <w:sz w:val="22"/>
                <w:szCs w:val="22"/>
              </w:rPr>
            </w:pPr>
            <w:r>
              <w:rPr>
                <w:rFonts w:cs="Arial" w:ascii="Arial" w:hAnsi="Arial"/>
                <w:sz w:val="22"/>
                <w:szCs w:val="22"/>
              </w:rPr>
              <w:t>St. John’s Wort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Children &lt; 2 years of age can be tested for indoor allergens (animals and dust mites)</w:t>
            </w:r>
          </w:p>
          <w:p>
            <w:pPr>
              <w:pStyle w:val="Normal"/>
              <w:autoSpaceDE w:val="false"/>
              <w:rPr>
                <w:rStyle w:val="DefaultChar"/>
                <w:sz w:val="22"/>
                <w:szCs w:val="22"/>
                <w:highlight w:val="yellow"/>
              </w:rPr>
            </w:pPr>
            <w:r>
              <w:rPr>
                <w:rFonts w:cs="Arial" w:ascii="Arial" w:hAnsi="Arial"/>
                <w:sz w:val="22"/>
                <w:szCs w:val="22"/>
              </w:rPr>
              <w:t>Children ≥ 2 years through adults can be tested for all allergens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AsthmaNet General Manual of Operations. March 1, 2012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rHeight w:val="298"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TextBody"/>
              <w:spacing w:before="0" w:after="120"/>
              <w:rPr>
                <w:rStyle w:val="DefaultChar"/>
                <w:sz w:val="22"/>
                <w:szCs w:val="22"/>
              </w:rPr>
            </w:pPr>
            <w:r>
              <w:rPr>
                <w:sz w:val="22"/>
                <w:szCs w:val="22"/>
              </w:rPr>
              <w:t>All staff that perform allergy skin testing procedures must read the entire protocol and be certified by others to perform the procedures.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Multi-Test® II skin test applicators (two) (Lincoln Diagnostics, Inc.)</w:t>
            </w:r>
          </w:p>
          <w:p>
            <w:pPr>
              <w:pStyle w:val="Normal"/>
              <w:rPr>
                <w:rFonts w:ascii="Arial" w:hAnsi="Arial" w:cs="Arial"/>
                <w:sz w:val="22"/>
                <w:szCs w:val="22"/>
              </w:rPr>
            </w:pPr>
            <w:r>
              <w:rPr>
                <w:rFonts w:cs="Arial" w:ascii="Arial" w:hAnsi="Arial"/>
                <w:sz w:val="22"/>
                <w:szCs w:val="22"/>
              </w:rPr>
              <w:t>Multi-Test® Dipwell tray (Lincoln Diagnostics, Inc.)</w:t>
            </w:r>
          </w:p>
          <w:p>
            <w:pPr>
              <w:pStyle w:val="Normal"/>
              <w:rPr>
                <w:rFonts w:ascii="Arial" w:hAnsi="Arial" w:cs="Arial"/>
                <w:sz w:val="22"/>
                <w:szCs w:val="22"/>
              </w:rPr>
            </w:pPr>
            <w:r>
              <w:rPr>
                <w:rFonts w:cs="Arial" w:ascii="Arial" w:hAnsi="Arial"/>
                <w:sz w:val="22"/>
                <w:szCs w:val="22"/>
              </w:rPr>
              <w:t>Isopropyl alcohol or alcohol swabs</w:t>
            </w:r>
          </w:p>
          <w:p>
            <w:pPr>
              <w:pStyle w:val="Normal"/>
              <w:rPr>
                <w:rFonts w:ascii="Arial" w:hAnsi="Arial" w:cs="Arial"/>
                <w:sz w:val="22"/>
                <w:szCs w:val="22"/>
              </w:rPr>
            </w:pPr>
            <w:r>
              <w:rPr>
                <w:rFonts w:cs="Arial" w:ascii="Arial" w:hAnsi="Arial"/>
                <w:sz w:val="22"/>
                <w:szCs w:val="22"/>
              </w:rPr>
              <w:t>Black marking pen</w:t>
            </w:r>
          </w:p>
          <w:p>
            <w:pPr>
              <w:pStyle w:val="Normal"/>
              <w:rPr>
                <w:rFonts w:ascii="Arial" w:hAnsi="Arial" w:cs="Arial"/>
                <w:sz w:val="22"/>
                <w:szCs w:val="22"/>
              </w:rPr>
            </w:pPr>
            <w:r>
              <w:rPr>
                <w:rFonts w:cs="Arial" w:ascii="Arial" w:hAnsi="Arial"/>
                <w:sz w:val="22"/>
                <w:szCs w:val="22"/>
              </w:rPr>
              <w:t xml:space="preserve">Transparent tape, 5/8" wide or wider </w:t>
            </w:r>
          </w:p>
          <w:p>
            <w:pPr>
              <w:pStyle w:val="Normal"/>
              <w:rPr/>
            </w:pPr>
            <w:r>
              <w:rPr>
                <w:rFonts w:cs="Arial" w:ascii="Arial" w:hAnsi="Arial"/>
                <w:sz w:val="22"/>
                <w:szCs w:val="22"/>
              </w:rPr>
              <w:t>Kleenex® (Kimberly-Clark Worldwide, Inc.), paper towels, or other blotter</w:t>
            </w:r>
          </w:p>
          <w:p>
            <w:pPr>
              <w:pStyle w:val="Normal"/>
              <w:rPr>
                <w:rFonts w:ascii="Arial" w:hAnsi="Arial" w:cs="Arial"/>
                <w:sz w:val="22"/>
                <w:szCs w:val="22"/>
              </w:rPr>
            </w:pPr>
            <w:r>
              <w:rPr>
                <w:rFonts w:cs="Arial" w:ascii="Arial" w:hAnsi="Arial"/>
                <w:sz w:val="22"/>
                <w:szCs w:val="22"/>
              </w:rPr>
              <w:t>Timer</w:t>
            </w:r>
          </w:p>
          <w:p>
            <w:pPr>
              <w:pStyle w:val="Normal"/>
              <w:rPr>
                <w:rFonts w:ascii="Arial" w:hAnsi="Arial" w:cs="Arial"/>
                <w:sz w:val="22"/>
                <w:szCs w:val="22"/>
              </w:rPr>
            </w:pPr>
            <w:r>
              <w:rPr>
                <w:rFonts w:cs="Arial" w:ascii="Arial" w:hAnsi="Arial"/>
                <w:sz w:val="22"/>
                <w:szCs w:val="22"/>
              </w:rPr>
              <w:t>Millimeter ruler</w:t>
            </w:r>
          </w:p>
          <w:p>
            <w:pPr>
              <w:pStyle w:val="Normal"/>
              <w:spacing w:before="0" w:after="0"/>
              <w:contextualSpacing/>
              <w:rPr>
                <w:rStyle w:val="DefaultChar"/>
                <w:sz w:val="22"/>
                <w:szCs w:val="22"/>
              </w:rPr>
            </w:pPr>
            <w:r>
              <w:rPr>
                <w:rFonts w:cs="Arial" w:ascii="Arial" w:hAnsi="Arial"/>
                <w:sz w:val="22"/>
                <w:szCs w:val="22"/>
              </w:rPr>
              <w:t>EpiPen® autoinjectors (adult and/or pediatric) (Mylan Pharmaceuticals Inc.) or 1:1000 epinephrine ampule/vial for subcutaneous or intramuscular injection use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 xml:space="preserve">Bibi, H., Shoseyov, D., Feigenbaum, D., Nir, P., Shiachi, R., Scharff, S., &amp; Peled, R. (2002). Comparison of positive allergy skin tests among asthmatic children from rural and urban areas living within small geographic area. </w:t>
            </w:r>
            <w:r>
              <w:rPr>
                <w:rFonts w:cs="Arial" w:ascii="Arial" w:hAnsi="Arial"/>
                <w:i/>
                <w:iCs/>
                <w:sz w:val="22"/>
                <w:szCs w:val="22"/>
              </w:rPr>
              <w:t xml:space="preserve">Annals of Allergy, Asthma, and Immunology, </w:t>
            </w:r>
            <w:r>
              <w:rPr>
                <w:rFonts w:cs="Arial" w:ascii="Arial" w:hAnsi="Arial"/>
                <w:i/>
                <w:sz w:val="22"/>
                <w:szCs w:val="22"/>
              </w:rPr>
              <w:t>88</w:t>
            </w:r>
            <w:r>
              <w:rPr>
                <w:rFonts w:cs="Arial" w:ascii="Arial" w:hAnsi="Arial"/>
                <w:sz w:val="22"/>
                <w:szCs w:val="22"/>
              </w:rPr>
              <w:t>(4), 416–420.</w:t>
            </w:r>
          </w:p>
          <w:p>
            <w:pPr>
              <w:pStyle w:val="Normal"/>
              <w:autoSpaceDE w:val="false"/>
              <w:rPr>
                <w:rFonts w:ascii="Arial" w:hAnsi="Arial" w:cs="Arial"/>
                <w:i/>
                <w:i/>
                <w:iCs/>
                <w:sz w:val="22"/>
                <w:szCs w:val="22"/>
              </w:rPr>
            </w:pPr>
            <w:r>
              <w:rPr>
                <w:rFonts w:cs="Arial" w:ascii="Arial" w:hAnsi="Arial"/>
                <w:sz w:val="22"/>
                <w:szCs w:val="22"/>
              </w:rPr>
              <w:t xml:space="preserve">Dolen, W. K. (2001). Skin testing and immunoassays for allergen-specific IgE. </w:t>
            </w:r>
            <w:r>
              <w:rPr>
                <w:rFonts w:cs="Arial" w:ascii="Arial" w:hAnsi="Arial"/>
                <w:i/>
                <w:iCs/>
                <w:sz w:val="22"/>
                <w:szCs w:val="22"/>
              </w:rPr>
              <w:t xml:space="preserve">Clinical Reviews in Allergy &amp; Immunology, </w:t>
            </w:r>
            <w:r>
              <w:rPr>
                <w:rFonts w:cs="Arial" w:ascii="Arial" w:hAnsi="Arial"/>
                <w:i/>
                <w:sz w:val="22"/>
                <w:szCs w:val="22"/>
              </w:rPr>
              <w:t>21</w:t>
            </w:r>
            <w:r>
              <w:rPr>
                <w:rFonts w:cs="Arial" w:ascii="Arial" w:hAnsi="Arial"/>
                <w:sz w:val="22"/>
                <w:szCs w:val="22"/>
              </w:rPr>
              <w:t>(2</w:t>
            </w:r>
            <w:r>
              <w:rPr>
                <w:rFonts w:eastAsia="SymbolMT;MS Mincho" w:cs="SymbolMT;MS Mincho" w:ascii="SymbolMT;MS Mincho" w:hAnsi="SymbolMT;MS Mincho"/>
                <w:sz w:val="22"/>
                <w:szCs w:val="22"/>
              </w:rPr>
              <w:t>−</w:t>
            </w:r>
            <w:r>
              <w:rPr>
                <w:rFonts w:cs="Arial" w:ascii="Arial" w:hAnsi="Arial"/>
                <w:sz w:val="22"/>
                <w:szCs w:val="22"/>
              </w:rPr>
              <w:t>3), 229–239.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4" w:tgtFrame="_blank">
              <w:r>
                <w:rPr>
                  <w:rStyle w:val="InternetLink"/>
                  <w:rFonts w:cs="Arial" w:ascii="Arial" w:hAnsi="Arial"/>
                  <w:sz w:val="22"/>
                  <w:szCs w:val="22"/>
                </w:rPr>
                <w:t>Expert Review Panel #6</w:t>
              </w:r>
            </w:hyperlink>
            <w:r>
              <w:rPr>
                <w:rFonts w:cs="Arial" w:ascii="Arial" w:hAnsi="Arial"/>
                <w:sz w:val="22"/>
                <w:szCs w:val="22"/>
              </w:rPr>
              <w:t xml:space="preserve"> (ERP 6) reviewed the measures in the Respiratory domain.</w:t>
            </w:r>
          </w:p>
          <w:p>
            <w:pPr>
              <w:pStyle w:val="NormalWeb"/>
              <w:rPr>
                <w:rFonts w:ascii="Arial" w:hAnsi="Arial" w:cs="Arial"/>
                <w:sz w:val="22"/>
                <w:szCs w:val="22"/>
              </w:rPr>
            </w:pPr>
            <w:r>
              <w:rPr>
                <w:rFonts w:cs="Arial" w:ascii="Arial" w:hAnsi="Arial"/>
                <w:sz w:val="22"/>
                <w:szCs w:val="22"/>
              </w:rPr>
              <w:t>Guidance from ERP 6 includes:</w:t>
            </w:r>
          </w:p>
          <w:p>
            <w:pPr>
              <w:pStyle w:val="NormalWeb"/>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Replaced protocol</w:t>
            </w:r>
          </w:p>
          <w:p>
            <w:pPr>
              <w:pStyle w:val="NormalWeb"/>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New Data Dictionary</w:t>
            </w:r>
          </w:p>
          <w:p>
            <w:pPr>
              <w:pStyle w:val="Normal"/>
              <w:autoSpaceDE w:val="false"/>
              <w:rPr>
                <w:rFonts w:ascii="Arial" w:hAnsi="Arial" w:cs="Arial"/>
                <w:sz w:val="22"/>
                <w:szCs w:val="22"/>
              </w:rPr>
            </w:pPr>
            <w:r>
              <w:rPr>
                <w:rFonts w:cs="Arial" w:ascii="Arial" w:hAnsi="Arial"/>
                <w:sz w:val="22"/>
                <w:szCs w:val="22"/>
              </w:rPr>
              <w:t>Back-compatible: there are changes to the Data Dictionary, previous version of the Data Dictionary and Variable mapping in Toolkit archive (</w:t>
            </w:r>
            <w:hyperlink r:id="rId5"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6"/>
      <w:footerReference w:type="default" r:id="rId7"/>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Trebuchet MS">
    <w:charset w:val="00"/>
    <w:family w:val="swiss"/>
    <w:pitch w:val="variable"/>
  </w:font>
  <w:font w:name="SymbolMT">
    <w:altName w:val="MS Mincho"/>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Allergy Skin Prick Test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Respiratory </w:t>
    </w:r>
  </w:p>
  <w:p>
    <w:pPr>
      <w:pStyle w:val="Normal"/>
      <w:rPr>
        <w:rFonts w:ascii="Arial" w:hAnsi="Arial" w:cs="Arial"/>
        <w:b/>
        <w:b/>
        <w:sz w:val="20"/>
        <w:szCs w:val="20"/>
      </w:rPr>
    </w:pPr>
    <w:r>
      <w:rPr>
        <w:rFonts w:cs="Arial" w:ascii="Arial" w:hAnsi="Arial"/>
        <w:b/>
        <w:sz w:val="20"/>
        <w:szCs w:val="20"/>
      </w:rPr>
      <w:t>Release Date:</w:t>
      <w:tab/>
      <w:tab/>
      <w:t xml:space="preserve">                                                                                              </w:t>
    </w:r>
  </w:p>
  <w:p>
    <w:pPr>
      <w:pStyle w:val="Normal"/>
      <w:rPr/>
    </w:pPr>
    <w:r>
      <w:rPr>
        <w:rFonts w:cs="Arial" w:ascii="Arial" w:hAnsi="Arial"/>
        <w:b/>
        <w:sz w:val="20"/>
        <w:szCs w:val="20"/>
      </w:rPr>
      <w:t>Allergy Skin Prick Test</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i/>
        <w:b/>
      </w:rPr>
    </w:lvl>
    <w:lvl w:ilvl="2">
      <w:start w:val="1"/>
      <w:pStyle w:val="Heading3"/>
      <w:numFmt w:val="decimal"/>
      <w:lvlText w:val="%1.%2.%3."/>
      <w:lvlJc w:val="left"/>
      <w:pPr>
        <w:tabs>
          <w:tab w:val="num" w:pos="810"/>
        </w:tabs>
        <w:ind w:left="810" w:hanging="720"/>
      </w:pPr>
      <w:rPr/>
    </w:lvl>
    <w:lvl w:ilvl="3">
      <w:start w:val="1"/>
      <w:pStyle w:val="Heading4"/>
      <w:numFmt w:val="decimal"/>
      <w:lvlText w:val="%1.%2.%3.%4."/>
      <w:lvlJc w:val="left"/>
      <w:pPr>
        <w:tabs>
          <w:tab w:val="num" w:pos="1080"/>
        </w:tabs>
        <w:ind w:left="864" w:hanging="864"/>
      </w:pPr>
      <w:rPr/>
    </w:lvl>
    <w:lvl w:ilvl="4">
      <w:start w:val="1"/>
      <w:pStyle w:val="Heading5"/>
      <w:numFmt w:val="decimal"/>
      <w:lvlText w:val="%1.%2.%3.%4.%5"/>
      <w:lvlJc w:val="left"/>
      <w:pPr>
        <w:tabs>
          <w:tab w:val="num" w:pos="1440"/>
        </w:tabs>
        <w:ind w:left="1008" w:hanging="1008"/>
      </w:pPr>
      <w:rPr/>
    </w:lvl>
    <w:lvl w:ilvl="5">
      <w:start w:val="1"/>
      <w:pStyle w:val="Heading6"/>
      <w:numFmt w:val="decimal"/>
      <w:lvlText w:val="%1.%2.%3.%4.%5.%6"/>
      <w:lvlJc w:val="left"/>
      <w:pPr>
        <w:tabs>
          <w:tab w:val="num" w:pos="1440"/>
        </w:tabs>
        <w:ind w:left="1152" w:hanging="1152"/>
      </w:pPr>
      <w:rPr/>
    </w:lvl>
    <w:lvl w:ilvl="6">
      <w:start w:val="1"/>
      <w:pStyle w:val="Heading7"/>
      <w:numFmt w:val="decimal"/>
      <w:lvlText w:val="%1.%2.%3.%4.%5.%6.%7"/>
      <w:lvlJc w:val="left"/>
      <w:pPr>
        <w:tabs>
          <w:tab w:val="num" w:pos="1800"/>
        </w:tabs>
        <w:ind w:left="1296" w:hanging="1296"/>
      </w:pPr>
      <w:rPr/>
    </w:lvl>
    <w:lvl w:ilvl="7">
      <w:start w:val="1"/>
      <w:pStyle w:val="Heading8"/>
      <w:numFmt w:val="decimal"/>
      <w:lvlText w:val="%1.%2.%3.%4.%5.%6.%7.%8"/>
      <w:lvlJc w:val="left"/>
      <w:pPr>
        <w:tabs>
          <w:tab w:val="num" w:pos="1800"/>
        </w:tabs>
        <w:ind w:left="1440" w:hanging="1440"/>
      </w:pPr>
      <w:rPr/>
    </w:lvl>
    <w:lvl w:ilvl="8">
      <w:start w:val="1"/>
      <w:pStyle w:val="Heading9"/>
      <w:numFmt w:val="decimal"/>
      <w:lvlText w:val="%1.%2.%3.%4.%5.%6.%7.%8.%9"/>
      <w:lvlJc w:val="left"/>
      <w:pPr>
        <w:tabs>
          <w:tab w:val="num" w:pos="216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abstractNum>
  <w:abstractNum w:abstractNumId="3">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6"/>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outlineLvl w:val="3"/>
    </w:pPr>
    <w:rPr>
      <w:rFonts w:ascii="Arial" w:hAnsi="Arial" w:cs="Arial"/>
      <w:sz w:val="28"/>
      <w:szCs w:val="20"/>
    </w:rPr>
  </w:style>
  <w:style w:type="paragraph" w:styleId="Heading5">
    <w:name w:val="Heading 5"/>
    <w:basedOn w:val="Normal"/>
    <w:next w:val="Normal"/>
    <w:qFormat/>
    <w:pPr>
      <w:keepNext w:val="true"/>
      <w:numPr>
        <w:ilvl w:val="4"/>
        <w:numId w:val="1"/>
      </w:numPr>
      <w:outlineLvl w:val="4"/>
    </w:pPr>
    <w:rPr>
      <w:i/>
      <w:szCs w:val="20"/>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b/>
      <w:i/>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Emphasis">
    <w:name w:val="Emphasis"/>
    <w:qFormat/>
    <w:rPr>
      <w:b/>
      <w:bCs/>
      <w:i w:val="false"/>
      <w:iCs w:val="false"/>
    </w:rPr>
  </w:style>
  <w:style w:type="character" w:styleId="Heading1Char">
    <w:name w:val="Heading 1 Char"/>
    <w:qFormat/>
    <w:rPr>
      <w:rFonts w:ascii="Arial" w:hAnsi="Arial" w:cs="Arial"/>
      <w:b/>
      <w:kern w:val="2"/>
      <w:sz w:val="26"/>
    </w:rPr>
  </w:style>
  <w:style w:type="character" w:styleId="Heading2Char">
    <w:name w:val="Heading 2 Char"/>
    <w:qFormat/>
    <w:rPr>
      <w:rFonts w:ascii="Arial" w:hAnsi="Arial" w:cs="Arial"/>
      <w:b/>
      <w:i/>
      <w:sz w:val="24"/>
    </w:rPr>
  </w:style>
  <w:style w:type="character" w:styleId="Heading3Char">
    <w:name w:val="Heading 3 Char"/>
    <w:qFormat/>
    <w:rPr>
      <w:rFonts w:ascii="Arial" w:hAnsi="Arial" w:cs="Arial"/>
      <w:sz w:val="24"/>
    </w:rPr>
  </w:style>
  <w:style w:type="character" w:styleId="Heading4Char">
    <w:name w:val="Heading 4 Char"/>
    <w:qFormat/>
    <w:rPr>
      <w:rFonts w:ascii="Arial" w:hAnsi="Arial" w:cs="Arial"/>
      <w:sz w:val="28"/>
    </w:rPr>
  </w:style>
  <w:style w:type="character" w:styleId="Heading5Char">
    <w:name w:val="Heading 5 Char"/>
    <w:qFormat/>
    <w:rPr>
      <w:i/>
      <w:sz w:val="24"/>
    </w:rPr>
  </w:style>
  <w:style w:type="character" w:styleId="Heading6Char">
    <w:name w:val="Heading 6 Char"/>
    <w:qFormat/>
    <w:rPr>
      <w:b/>
      <w:bCs/>
      <w:sz w:val="22"/>
      <w:szCs w:val="22"/>
    </w:rPr>
  </w:style>
  <w:style w:type="character" w:styleId="Heading7Char">
    <w:name w:val="Heading 7 Char"/>
    <w:qFormat/>
    <w:rPr>
      <w:sz w:val="24"/>
      <w:szCs w:val="24"/>
    </w:rPr>
  </w:style>
  <w:style w:type="character" w:styleId="Heading8Char">
    <w:name w:val="Heading 8 Char"/>
    <w:qFormat/>
    <w:rPr>
      <w:i/>
      <w:iCs/>
      <w:sz w:val="24"/>
      <w:szCs w:val="24"/>
    </w:rPr>
  </w:style>
  <w:style w:type="character" w:styleId="Heading9Char">
    <w:name w:val="Heading 9 Char"/>
    <w:qFormat/>
    <w:rPr>
      <w:rFonts w:ascii="Arial" w:hAnsi="Arial" w:cs="Arial"/>
      <w:sz w:val="22"/>
      <w:szCs w:val="22"/>
    </w:rPr>
  </w:style>
  <w:style w:type="character" w:styleId="BodyTextChar">
    <w:name w:val="Body Text Char"/>
    <w:qFormat/>
    <w:rPr>
      <w:rFonts w:ascii="Arial" w:hAnsi="Arial" w:cs="Arial"/>
      <w:sz w:val="24"/>
    </w:rPr>
  </w:style>
  <w:style w:type="character" w:styleId="BodyTextFirstIndentChar">
    <w:name w:val="Body Text First Indent Char"/>
    <w:basedOn w:val="BodyTextChar"/>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before="0" w:after="120"/>
    </w:pPr>
    <w:rPr>
      <w:rFonts w:ascii="Arial" w:hAnsi="Arial" w:cs="Arial"/>
      <w:szCs w:val="20"/>
    </w:rPr>
  </w:style>
  <w:style w:type="paragraph" w:styleId="List">
    <w:name w:val="List"/>
    <w:basedOn w:val="Normal"/>
    <w:pPr>
      <w:spacing w:before="0" w:after="0"/>
      <w:ind w:left="360" w:hanging="360"/>
      <w:contextualSpacing/>
    </w:pPr>
    <w:rPr>
      <w:rFonts w:ascii="Arial" w:hAnsi="Arial" w:cs="Arial"/>
      <w:szCs w:val="20"/>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ANormalhangingindent">
    <w:name w:val="aNormal_hanging indent"/>
    <w:basedOn w:val="Normal"/>
    <w:qFormat/>
    <w:pPr>
      <w:tabs>
        <w:tab w:val="clear" w:pos="720"/>
        <w:tab w:val="left" w:pos="1710" w:leader="none"/>
      </w:tabs>
      <w:spacing w:before="0" w:after="200"/>
      <w:ind w:left="720" w:hanging="720"/>
    </w:pPr>
    <w:rPr>
      <w:rFonts w:eastAsia="Calibri" w:cs="Arial"/>
      <w:sz w:val="22"/>
      <w:szCs w:val="22"/>
    </w:rPr>
  </w:style>
  <w:style w:type="paragraph" w:styleId="ListBullet">
    <w:name w:val="List Bullet"/>
    <w:basedOn w:val="Normal"/>
    <w:qFormat/>
    <w:pPr>
      <w:numPr>
        <w:ilvl w:val="0"/>
        <w:numId w:val="3"/>
      </w:numPr>
    </w:pPr>
    <w:rPr>
      <w:rFonts w:ascii="Arial" w:hAnsi="Arial" w:cs="Arial"/>
      <w:szCs w:val="20"/>
    </w:rPr>
  </w:style>
  <w:style w:type="paragraph" w:styleId="ListBullet2">
    <w:name w:val="List Bullet 2"/>
    <w:basedOn w:val="Normal"/>
    <w:qFormat/>
    <w:pPr>
      <w:numPr>
        <w:ilvl w:val="0"/>
        <w:numId w:val="2"/>
      </w:numPr>
      <w:spacing w:before="0" w:after="0"/>
      <w:contextualSpacing/>
    </w:pPr>
    <w:rPr/>
  </w:style>
  <w:style w:type="paragraph" w:styleId="BodyTextFirstIndent">
    <w:name w:val="Body Text First Indent"/>
    <w:basedOn w:val="TextBody"/>
    <w:qFormat/>
    <w:pPr>
      <w:ind w:firstLine="210"/>
    </w:pPr>
    <w:rPr/>
  </w:style>
  <w:style w:type="paragraph" w:styleId="Level1">
    <w:name w:val="Level 1"/>
    <w:basedOn w:val="Normal"/>
    <w:qFormat/>
    <w:pPr>
      <w:widowControl w:val="false"/>
    </w:pPr>
    <w:rPr>
      <w:szCs w:val="20"/>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phenx.org/node/118" TargetMode="External"/><Relationship Id="rId5" Type="http://schemas.openxmlformats.org/officeDocument/2006/relationships/hyperlink" Target="http://phenxtoolkitdev.rti.org/index.php?pageLink=browse.archive.protocols&amp;id=90000"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2017-09-22T14:09:00Z</dcterms:created>
  <dc:creator>whuggins</dc:creator>
  <dc:description/>
  <cp:keywords/>
  <dc:language>en-US</dc:language>
  <cp:lastModifiedBy>Phillips, Michael</cp:lastModifiedBy>
  <cp:lastPrinted>2009-03-24T15:13:00Z</cp:lastPrinted>
  <dcterms:modified xsi:type="dcterms:W3CDTF">2017-11-21T16:38:00Z</dcterms:modified>
  <cp:revision>3</cp:revision>
  <dc:subject/>
  <dc:title/>
</cp:coreProperties>
</file>