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Respiratory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Pulse Oximetry (Sleep)</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 measure to assess the percentage of hemoglobin saturated with oxygen while sleeping</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 pulse oximeter is attached to a subject’s finger to detect oxygen saturation levels during sleep, which are recorded at regular intervals.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Arial" w:ascii="Arial" w:hAnsi="Arial"/>
                <w:sz w:val="22"/>
                <w:szCs w:val="22"/>
              </w:rPr>
              <w:t>A pulse oximeter with a recording device* is attached to the subject’s finger, toe or ear lobe using a flexible probe; typically, the probe can be attached with tape. The instrument sampling rate is recommended at 25 Hz to assist with detection of artifacts. Measurement of at least 20 data points per minute, each point representing the lowest saturation in a three second interval is recommended. A desaturation event is considered when the hemoglobin saturation level (SaO</w:t>
            </w:r>
            <w:r>
              <w:rPr>
                <w:rFonts w:cs="Arial" w:ascii="Arial" w:hAnsi="Arial"/>
                <w:sz w:val="22"/>
                <w:szCs w:val="22"/>
                <w:vertAlign w:val="subscript"/>
              </w:rPr>
              <w:t>2</w:t>
            </w:r>
            <w:r>
              <w:rPr>
                <w:rFonts w:cs="Arial" w:ascii="Arial" w:hAnsi="Arial"/>
                <w:sz w:val="22"/>
                <w:szCs w:val="22"/>
              </w:rPr>
              <w:t xml:space="preserve">) falls below 3% or 4% from the baseline saturation. Baseline saturation was considered as the mean saturation during the recording after excluding artifacts. Falls in oxygen saturation to &gt; 3 or 4% in the interval 90–100% of saturation are also considered desaturations. The signals are digitalized and recorded using the package software, and manually reviewed by two observers. The total number of desaturations is divided by the hours in bed and an oxygen desaturation index per hour (ODI) is obtained for each patient with three cut-off points: &gt;5 (ODI-5), &gt;10 (ODI-10), and &gt;15 (ODI-15). </w:t>
            </w:r>
          </w:p>
          <w:p>
            <w:pPr>
              <w:pStyle w:val="Normal"/>
              <w:autoSpaceDE w:val="false"/>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w:t>
            </w:r>
            <w:r>
              <w:rPr>
                <w:rFonts w:cs="Arial" w:ascii="Arial" w:hAnsi="Arial"/>
                <w:color w:val="000000"/>
                <w:sz w:val="22"/>
                <w:szCs w:val="22"/>
              </w:rPr>
              <w:t xml:space="preserve"> Note: Manufacturers of equipment are constantly striving to improve and update both their equipment and software with the latest technological advances.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All ages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 xml:space="preserve">Pretto, J. J., Roebuck, T., Beckert, L., &amp; Hamilton, G. (2014). Clinical use of pulse oximetry: Official guidelines from the Thoracic Society of Australia and New Zealand. </w:t>
            </w:r>
            <w:r>
              <w:rPr>
                <w:rFonts w:cs="Arial" w:ascii="Arial" w:hAnsi="Arial"/>
                <w:i/>
                <w:sz w:val="22"/>
                <w:szCs w:val="22"/>
              </w:rPr>
              <w:t>Respirology</w:t>
            </w:r>
            <w:r>
              <w:rPr>
                <w:rFonts w:cs="Arial" w:ascii="Arial" w:hAnsi="Arial"/>
                <w:i/>
                <w:iCs/>
                <w:sz w:val="22"/>
                <w:szCs w:val="22"/>
              </w:rPr>
              <w:t>, 19</w:t>
            </w:r>
            <w:r>
              <w:rPr>
                <w:rFonts w:cs="Arial" w:ascii="Arial" w:hAnsi="Arial"/>
                <w:sz w:val="22"/>
                <w:szCs w:val="22"/>
              </w:rPr>
              <w:t>(1), 38–46.</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Personnel should be trained in the technical operation of pulse oximeters, oxygen delivery devices and related equipment, measurement of vital signs, and record keeping. Personnel should be supervised by health care professionals trained in patient assessment, disorders of acid-base, oxygenation and ventilation, and diagnostic and therapeutic alternatives.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Pulse oximeter and related accessories (probe of appropriate size)--the oximeter should have been validated by the manufacturer by a comparison of its values (and consequently its calibration curve) with directly measured oxyhemoglobin saturation.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Physical Measurement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bCs/>
                <w:sz w:val="22"/>
                <w:szCs w:val="22"/>
              </w:rPr>
              <w:t>None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280"/>
              <w:rPr/>
            </w:pPr>
            <w:r>
              <w:rPr>
                <w:rFonts w:cs="Arial" w:ascii="Arial" w:hAnsi="Arial"/>
                <w:sz w:val="22"/>
                <w:szCs w:val="22"/>
              </w:rPr>
              <w:t xml:space="preserve">The </w:t>
            </w:r>
            <w:hyperlink r:id="rId2" w:tgtFrame="_blank">
              <w:r>
                <w:rPr>
                  <w:rStyle w:val="InternetLink"/>
                  <w:rFonts w:cs="Arial" w:ascii="Arial" w:hAnsi="Arial"/>
                  <w:sz w:val="22"/>
                  <w:szCs w:val="22"/>
                </w:rPr>
                <w:t>Expert Review Panel #6</w:t>
              </w:r>
            </w:hyperlink>
            <w:r>
              <w:rPr>
                <w:rFonts w:cs="Arial" w:ascii="Arial" w:hAnsi="Arial"/>
                <w:sz w:val="22"/>
                <w:szCs w:val="22"/>
              </w:rPr>
              <w:t xml:space="preserve"> (ERP 6) reviewed the measures in the Respiratory domain.</w:t>
            </w:r>
          </w:p>
          <w:p>
            <w:pPr>
              <w:pStyle w:val="NormalWeb"/>
              <w:rPr>
                <w:rFonts w:ascii="Arial" w:hAnsi="Arial" w:cs="Arial"/>
                <w:sz w:val="22"/>
                <w:szCs w:val="22"/>
              </w:rPr>
            </w:pPr>
            <w:r>
              <w:rPr>
                <w:rFonts w:cs="Arial" w:ascii="Arial" w:hAnsi="Arial"/>
                <w:sz w:val="22"/>
                <w:szCs w:val="22"/>
              </w:rPr>
              <w:t>Guidance from ERP 6 includes:</w:t>
            </w:r>
          </w:p>
          <w:p>
            <w:pPr>
              <w:pStyle w:val="NormalWeb"/>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Replaced protocol</w:t>
            </w:r>
          </w:p>
          <w:p>
            <w:pPr>
              <w:pStyle w:val="NormalWeb"/>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New Data Dictionary</w:t>
            </w:r>
          </w:p>
          <w:p>
            <w:pPr>
              <w:pStyle w:val="Normal"/>
              <w:autoSpaceDE w:val="false"/>
              <w:rPr>
                <w:rFonts w:ascii="Arial" w:hAnsi="Arial" w:cs="Arial"/>
                <w:sz w:val="22"/>
                <w:szCs w:val="22"/>
              </w:rPr>
            </w:pPr>
            <w:r>
              <w:rPr>
                <w:rFonts w:cs="Arial" w:ascii="Arial" w:hAnsi="Arial"/>
                <w:sz w:val="22"/>
                <w:szCs w:val="22"/>
              </w:rPr>
              <w:t>Back-compatible: there are changes to the Data Dictionary, previous version of the Data Dictionary and Variable mapping in Toolkit archive (</w:t>
            </w:r>
            <w:hyperlink r:id="rId3" w:tgtFrame="_blank">
              <w:r>
                <w:rPr>
                  <w:rStyle w:val="InternetLink"/>
                  <w:rFonts w:cs="Arial" w:ascii="Arial" w:hAnsi="Arial"/>
                  <w:sz w:val="22"/>
                  <w:szCs w:val="22"/>
                </w:rPr>
                <w:t>link</w:t>
              </w:r>
            </w:hyperlink>
            <w:r>
              <w:rPr>
                <w:rFonts w:cs="Arial" w:ascii="Arial" w:hAnsi="Arial"/>
                <w:sz w:val="22"/>
                <w:szCs w:val="22"/>
              </w:rPr>
              <w:t>)</w:t>
            </w:r>
          </w:p>
        </w:tc>
      </w:tr>
    </w:tbl>
    <w:p>
      <w:pPr>
        <w:pStyle w:val="Normal"/>
        <w:spacing w:before="0" w:after="0"/>
        <w:contextualSpacing/>
        <w:rPr/>
      </w:pPr>
      <w:r>
        <w:rPr/>
      </w:r>
    </w:p>
    <w:sectPr>
      <w:headerReference w:type="default" r:id="rId4"/>
      <w:footerReference w:type="default" r:id="rId5"/>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Pulse Oximetry (Sleep)</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Respiratory </w:t>
    </w:r>
  </w:p>
  <w:p>
    <w:pPr>
      <w:pStyle w:val="Normal"/>
      <w:rPr>
        <w:rFonts w:ascii="Arial" w:hAnsi="Arial" w:cs="Arial"/>
        <w:b/>
        <w:b/>
        <w:sz w:val="20"/>
        <w:szCs w:val="20"/>
      </w:rPr>
    </w:pPr>
    <w:r>
      <w:rPr>
        <w:rFonts w:cs="Arial" w:ascii="Arial" w:hAnsi="Arial"/>
        <w:b/>
        <w:sz w:val="20"/>
        <w:szCs w:val="20"/>
      </w:rPr>
      <w:t>Release Date:</w:t>
      <w:tab/>
      <w:tab/>
      <w:t xml:space="preserve">                                                                                              </w:t>
    </w:r>
  </w:p>
  <w:p>
    <w:pPr>
      <w:pStyle w:val="Normal"/>
      <w:rPr/>
    </w:pPr>
    <w:r>
      <w:rPr>
        <w:rFonts w:cs="Arial" w:ascii="Arial" w:hAnsi="Arial"/>
        <w:b/>
        <w:sz w:val="20"/>
        <w:szCs w:val="20"/>
      </w:rPr>
      <w:t>Pulse Oximetry (Sleep)</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rFonts w:ascii="Trebuchet MS" w:hAnsi="Trebuchet MS" w:cs="Trebuchet MS"/>
      <w:color w:val="444444"/>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henx.org/node/118" TargetMode="External"/><Relationship Id="rId3" Type="http://schemas.openxmlformats.org/officeDocument/2006/relationships/hyperlink" Target="http://phenxtoolkitdev.rti.org/index.php?pageLink=browse.archive.protocols&amp;id=90000"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2017-09-22T13:54:00Z</dcterms:created>
  <dc:creator>whuggins</dc:creator>
  <dc:description/>
  <cp:keywords/>
  <dc:language>en-US</dc:language>
  <cp:lastModifiedBy>Phillips, Michael</cp:lastModifiedBy>
  <cp:lastPrinted>2009-03-24T15:13:00Z</cp:lastPrinted>
  <dcterms:modified xsi:type="dcterms:W3CDTF">2017-11-21T16:45:00Z</dcterms:modified>
  <cp:revision>5</cp:revision>
  <dc:subject/>
  <dc:title/>
</cp:coreProperties>
</file>