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Collection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Assessment of Substance Use and Substance Use Disorders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Marijuana Withdrawal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measure is used to assess the incidence and severity of perceived marijuana withdrawal symptoms.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549" w:type="dxa"/>
        <w:jc w:val="center"/>
        <w:tblInd w:w="0" w:type="dxa"/>
        <w:tblLayout w:type="fixed"/>
        <w:tblCellMar>
          <w:top w:w="115" w:type="dxa"/>
          <w:left w:w="115" w:type="dxa"/>
          <w:bottom w:w="115" w:type="dxa"/>
          <w:right w:w="115" w:type="dxa"/>
        </w:tblCellMar>
      </w:tblPr>
      <w:tblGrid>
        <w:gridCol w:w="2304"/>
        <w:gridCol w:w="7245"/>
      </w:tblGrid>
      <w:tr>
        <w:trPr/>
        <w:tc>
          <w:tcPr>
            <w:tcW w:w="9549"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24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The Marijuana Withdrawal Checklist (MWC) was originally designed with 22 items that assess mood, behavioral, and physical symptoms associated with marijuana withdrawal (Budney et al., 1999). The revised 15-item version of the MWC is comprised of the items that are most frequently endorsed (Budney et al., 2003). Respondents rate each symptom experienced during their most recent period of marijuana abstinence, based on a 4-point scale </w:t>
            </w:r>
            <w:r>
              <w:rPr>
                <w:rFonts w:cs="Arial" w:ascii="Arial" w:hAnsi="Arial"/>
                <w:bCs/>
                <w:sz w:val="22"/>
                <w:szCs w:val="22"/>
              </w:rPr>
              <w:t>where 0 = none, 1 = mild, 2 = moderate, and 3 = severe</w:t>
            </w:r>
            <w:r>
              <w:rPr>
                <w:rFonts w:cs="Arial" w:ascii="Arial" w:hAnsi="Arial"/>
                <w:sz w:val="22"/>
                <w:szCs w:val="22"/>
              </w:rPr>
              <w:t xml:space="preserve">.  The MWC is probably most useful for longitudinal, experimental and clinical studies, when the MWC can also be administered at the baseline examination when respondents have not abstained from marijuana, for later comparison during periods of abstinence.  The instructions when administered during a period of marijuana use can be edited to inquire about a different time frame (e.g., during the last 24 hours). The protocol is not tailored to assess DSM-5 withdrawal although it includes a majority of the features of DSM-5 marijuana withdrawal. See also </w:t>
            </w:r>
            <w:hyperlink r:id="rId2">
              <w:r>
                <w:rPr>
                  <w:rStyle w:val="InternetLink"/>
                  <w:rFonts w:cs="Arial" w:ascii="Arial" w:hAnsi="Arial"/>
                  <w:sz w:val="22"/>
                  <w:szCs w:val="22"/>
                </w:rPr>
                <w:t>http://www.ncbi.nlm.nih.gov/pubmed/26461168</w:t>
              </w:r>
            </w:hyperlink>
            <w:r>
              <w:rPr>
                <w:rFonts w:cs="Arial" w:ascii="Arial" w:hAnsi="Arial"/>
                <w:sz w:val="22"/>
                <w:szCs w:val="22"/>
              </w:rPr>
              <w:t xml:space="preserve"> for an alternate shorter version of the MWC.</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24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u w:val="single"/>
              </w:rPr>
            </w:pPr>
            <w:r>
              <w:rPr>
                <w:rFonts w:cs="Arial" w:ascii="Arial" w:hAnsi="Arial"/>
                <w:bCs/>
                <w:sz w:val="22"/>
                <w:szCs w:val="22"/>
                <w:u w:val="single"/>
              </w:rPr>
              <w:t>Instructions when administered during a period of marijuana use</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
                <w:b/>
                <w:sz w:val="22"/>
                <w:szCs w:val="22"/>
                <w:u w:val="single"/>
              </w:rPr>
            </w:pPr>
            <w:r>
              <w:rPr>
                <w:rFonts w:cs="Arial" w:ascii="Arial" w:hAnsi="Arial"/>
                <w:bCs/>
                <w:sz w:val="22"/>
                <w:szCs w:val="22"/>
              </w:rPr>
              <w:t xml:space="preserve">Please indicate whether or not you have experienced these symptoms and rate their severity </w:t>
            </w:r>
            <w:r>
              <w:rPr>
                <w:rFonts w:cs="Arial" w:ascii="Arial" w:hAnsi="Arial"/>
                <w:b/>
                <w:sz w:val="22"/>
                <w:szCs w:val="22"/>
                <w:u w:val="single"/>
              </w:rPr>
              <w:t>during the past week.</w:t>
            </w:r>
          </w:p>
          <w:p>
            <w:pPr>
              <w:pStyle w:val="Normal"/>
              <w:rPr>
                <w:rFonts w:ascii="Arial" w:hAnsi="Arial" w:cs="Arial"/>
                <w:b/>
                <w:b/>
                <w:bCs/>
                <w:sz w:val="22"/>
                <w:szCs w:val="22"/>
                <w:u w:val="single"/>
              </w:rPr>
            </w:pPr>
            <w:r>
              <w:rPr>
                <w:rFonts w:cs="Arial" w:ascii="Arial" w:hAnsi="Arial"/>
                <w:b/>
                <w:bCs/>
                <w:sz w:val="22"/>
                <w:szCs w:val="22"/>
                <w:u w:val="single"/>
              </w:rPr>
            </w:r>
          </w:p>
          <w:p>
            <w:pPr>
              <w:pStyle w:val="Normal"/>
              <w:rPr>
                <w:rFonts w:ascii="Arial" w:hAnsi="Arial" w:cs="Arial"/>
                <w:bCs/>
                <w:sz w:val="22"/>
                <w:szCs w:val="22"/>
                <w:u w:val="single"/>
              </w:rPr>
            </w:pPr>
            <w:r>
              <w:rPr>
                <w:rFonts w:cs="Arial" w:ascii="Arial" w:hAnsi="Arial"/>
                <w:bCs/>
                <w:sz w:val="22"/>
                <w:szCs w:val="22"/>
                <w:u w:val="single"/>
              </w:rPr>
              <w:t>Instructions when administered during a period of marijuana abstinence</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rPr>
            </w:pPr>
            <w:r>
              <w:rPr>
                <w:rFonts w:cs="Arial" w:ascii="Arial" w:hAnsi="Arial"/>
                <w:bCs/>
                <w:sz w:val="22"/>
                <w:szCs w:val="22"/>
              </w:rPr>
              <w:t xml:space="preserve">Please indicate whether or not you have experienced these symptoms and rate their severity </w:t>
            </w:r>
            <w:r>
              <w:rPr>
                <w:rFonts w:cs="Arial" w:ascii="Arial" w:hAnsi="Arial"/>
                <w:b/>
                <w:sz w:val="22"/>
                <w:szCs w:val="22"/>
                <w:u w:val="single"/>
              </w:rPr>
              <w:t>the last time you stopped smoking marijuana.</w:t>
            </w:r>
          </w:p>
          <w:p>
            <w:pPr>
              <w:pStyle w:val="Normal"/>
              <w:rPr>
                <w:rFonts w:ascii="Arial" w:hAnsi="Arial" w:cs="Arial"/>
                <w:bCs/>
                <w:sz w:val="22"/>
                <w:szCs w:val="22"/>
              </w:rPr>
            </w:pPr>
            <w:r>
              <w:rPr>
                <w:rFonts w:cs="Arial" w:ascii="Arial" w:hAnsi="Arial"/>
                <w:bCs/>
                <w:sz w:val="22"/>
                <w:szCs w:val="22"/>
              </w:rPr>
            </w:r>
          </w:p>
          <w:tbl>
            <w:tblPr>
              <w:tblW w:w="7010" w:type="dxa"/>
              <w:jc w:val="center"/>
              <w:tblInd w:w="0" w:type="dxa"/>
              <w:tblLayout w:type="fixed"/>
              <w:tblCellMar>
                <w:top w:w="0" w:type="dxa"/>
                <w:left w:w="108" w:type="dxa"/>
                <w:bottom w:w="0" w:type="dxa"/>
                <w:right w:w="108" w:type="dxa"/>
              </w:tblCellMar>
            </w:tblPr>
            <w:tblGrid>
              <w:gridCol w:w="2990"/>
              <w:gridCol w:w="864"/>
              <w:gridCol w:w="791"/>
              <w:gridCol w:w="1329"/>
              <w:gridCol w:w="1036"/>
            </w:tblGrid>
            <w:tr>
              <w:trPr/>
              <w:tc>
                <w:tcPr>
                  <w:tcW w:w="2990" w:type="dxa"/>
                  <w:tcBorders/>
                </w:tcPr>
                <w:p>
                  <w:pPr>
                    <w:pStyle w:val="Normal"/>
                    <w:snapToGrid w:val="false"/>
                    <w:rPr>
                      <w:rFonts w:ascii="Arial" w:hAnsi="Arial" w:cs="Arial"/>
                      <w:bCs/>
                      <w:sz w:val="22"/>
                      <w:szCs w:val="22"/>
                    </w:rPr>
                  </w:pPr>
                  <w:r>
                    <w:rPr>
                      <w:rFonts w:cs="Arial" w:ascii="Arial" w:hAnsi="Arial"/>
                      <w:bCs/>
                      <w:sz w:val="22"/>
                      <w:szCs w:val="22"/>
                    </w:rPr>
                  </w:r>
                </w:p>
              </w:tc>
              <w:tc>
                <w:tcPr>
                  <w:tcW w:w="864" w:type="dxa"/>
                  <w:tcBorders/>
                </w:tcPr>
                <w:p>
                  <w:pPr>
                    <w:pStyle w:val="Normal"/>
                    <w:jc w:val="center"/>
                    <w:rPr>
                      <w:rFonts w:ascii="Arial" w:hAnsi="Arial" w:cs="Arial"/>
                      <w:bCs/>
                      <w:sz w:val="22"/>
                      <w:szCs w:val="22"/>
                    </w:rPr>
                  </w:pPr>
                  <w:r>
                    <w:rPr>
                      <w:rFonts w:cs="Arial" w:ascii="Arial" w:hAnsi="Arial"/>
                      <w:b/>
                      <w:sz w:val="22"/>
                      <w:szCs w:val="22"/>
                    </w:rPr>
                    <w:t>none</w:t>
                  </w:r>
                </w:p>
              </w:tc>
              <w:tc>
                <w:tcPr>
                  <w:tcW w:w="791" w:type="dxa"/>
                  <w:tcBorders/>
                </w:tcPr>
                <w:p>
                  <w:pPr>
                    <w:pStyle w:val="Normal"/>
                    <w:jc w:val="center"/>
                    <w:rPr>
                      <w:rFonts w:ascii="Arial" w:hAnsi="Arial" w:cs="Arial"/>
                      <w:bCs/>
                      <w:sz w:val="22"/>
                      <w:szCs w:val="22"/>
                    </w:rPr>
                  </w:pPr>
                  <w:r>
                    <w:rPr>
                      <w:rFonts w:cs="Arial" w:ascii="Arial" w:hAnsi="Arial"/>
                      <w:b/>
                      <w:sz w:val="22"/>
                      <w:szCs w:val="22"/>
                    </w:rPr>
                    <w:t>mild</w:t>
                  </w:r>
                </w:p>
              </w:tc>
              <w:tc>
                <w:tcPr>
                  <w:tcW w:w="1329" w:type="dxa"/>
                  <w:tcBorders/>
                </w:tcPr>
                <w:p>
                  <w:pPr>
                    <w:pStyle w:val="Normal"/>
                    <w:jc w:val="center"/>
                    <w:rPr>
                      <w:rFonts w:ascii="Arial" w:hAnsi="Arial" w:cs="Arial"/>
                      <w:bCs/>
                      <w:sz w:val="22"/>
                      <w:szCs w:val="22"/>
                    </w:rPr>
                  </w:pPr>
                  <w:r>
                    <w:rPr>
                      <w:rFonts w:cs="Arial" w:ascii="Arial" w:hAnsi="Arial"/>
                      <w:b/>
                      <w:sz w:val="22"/>
                      <w:szCs w:val="22"/>
                    </w:rPr>
                    <w:t>moderate</w:t>
                  </w:r>
                </w:p>
              </w:tc>
              <w:tc>
                <w:tcPr>
                  <w:tcW w:w="1036" w:type="dxa"/>
                  <w:tcBorders/>
                </w:tcPr>
                <w:p>
                  <w:pPr>
                    <w:pStyle w:val="Normal"/>
                    <w:jc w:val="center"/>
                    <w:rPr/>
                  </w:pPr>
                  <w:r>
                    <w:rPr>
                      <w:rFonts w:cs="Arial" w:ascii="Arial" w:hAnsi="Arial"/>
                      <w:b/>
                      <w:sz w:val="22"/>
                      <w:szCs w:val="22"/>
                    </w:rPr>
                    <w:t>severe</w:t>
                  </w:r>
                </w:p>
                <w:p>
                  <w:pPr>
                    <w:pStyle w:val="Normal"/>
                    <w:jc w:val="center"/>
                    <w:rPr>
                      <w:rFonts w:ascii="Arial" w:hAnsi="Arial" w:cs="Arial"/>
                      <w:b/>
                      <w:b/>
                      <w:bCs/>
                      <w:sz w:val="22"/>
                      <w:szCs w:val="22"/>
                    </w:rPr>
                  </w:pPr>
                  <w:r>
                    <w:rPr>
                      <w:rFonts w:cs="Arial" w:ascii="Arial" w:hAnsi="Arial"/>
                      <w:b/>
                      <w:bCs/>
                      <w:sz w:val="22"/>
                      <w:szCs w:val="22"/>
                    </w:rPr>
                  </w:r>
                </w:p>
              </w:tc>
            </w:tr>
            <w:tr>
              <w:trPr/>
              <w:tc>
                <w:tcPr>
                  <w:tcW w:w="2990" w:type="dxa"/>
                  <w:tcBorders/>
                </w:tcPr>
                <w:p>
                  <w:pPr>
                    <w:pStyle w:val="Normal"/>
                    <w:rPr>
                      <w:rFonts w:ascii="Arial" w:hAnsi="Arial" w:cs="Arial"/>
                      <w:sz w:val="22"/>
                      <w:szCs w:val="22"/>
                    </w:rPr>
                  </w:pPr>
                  <w:r>
                    <w:rPr>
                      <w:rFonts w:cs="Arial" w:ascii="Arial" w:hAnsi="Arial"/>
                      <w:sz w:val="22"/>
                      <w:szCs w:val="22"/>
                    </w:rPr>
                    <w:t>1) Shakiness/tremulousness</w:t>
                  </w:r>
                </w:p>
                <w:p>
                  <w:pPr>
                    <w:pStyle w:val="Normal"/>
                    <w:rPr>
                      <w:rFonts w:ascii="Arial" w:hAnsi="Arial" w:cs="Arial"/>
                      <w:bCs/>
                      <w:sz w:val="22"/>
                      <w:szCs w:val="22"/>
                    </w:rPr>
                  </w:pPr>
                  <w:r>
                    <w:rPr>
                      <w:rFonts w:cs="Arial" w:ascii="Arial" w:hAnsi="Arial"/>
                      <w:bCs/>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rPr>
                      <w:rFonts w:ascii="Arial" w:hAnsi="Arial" w:cs="Arial"/>
                      <w:sz w:val="22"/>
                      <w:szCs w:val="22"/>
                    </w:rPr>
                  </w:pPr>
                  <w:r>
                    <w:rPr>
                      <w:rFonts w:cs="Arial" w:ascii="Arial" w:hAnsi="Arial"/>
                      <w:sz w:val="22"/>
                      <w:szCs w:val="22"/>
                    </w:rPr>
                    <w:t>2) Depressed mood</w:t>
                  </w:r>
                </w:p>
                <w:p>
                  <w:pPr>
                    <w:pStyle w:val="Normal"/>
                    <w:rPr>
                      <w:rFonts w:ascii="Arial" w:hAnsi="Arial" w:cs="Arial"/>
                      <w:bCs/>
                      <w:sz w:val="22"/>
                      <w:szCs w:val="22"/>
                    </w:rPr>
                  </w:pPr>
                  <w:r>
                    <w:rPr>
                      <w:rFonts w:cs="Arial" w:ascii="Arial" w:hAnsi="Arial"/>
                      <w:bCs/>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rHeight w:val="315" w:hRule="atLeast"/>
              </w:trPr>
              <w:tc>
                <w:tcPr>
                  <w:tcW w:w="2990" w:type="dxa"/>
                  <w:tcBorders/>
                </w:tcPr>
                <w:p>
                  <w:pPr>
                    <w:pStyle w:val="Normal"/>
                    <w:rPr>
                      <w:rFonts w:ascii="Arial" w:hAnsi="Arial" w:cs="Arial"/>
                      <w:sz w:val="22"/>
                      <w:szCs w:val="22"/>
                    </w:rPr>
                  </w:pPr>
                  <w:r>
                    <w:rPr>
                      <w:rFonts w:cs="Arial" w:ascii="Arial" w:hAnsi="Arial"/>
                      <w:sz w:val="22"/>
                      <w:szCs w:val="22"/>
                    </w:rPr>
                    <w:t>3) Decreased appetite</w:t>
                  </w:r>
                </w:p>
                <w:p>
                  <w:pPr>
                    <w:pStyle w:val="Normal"/>
                    <w:rPr>
                      <w:rFonts w:ascii="Arial" w:hAnsi="Arial" w:cs="Arial"/>
                      <w:bCs/>
                      <w:sz w:val="22"/>
                      <w:szCs w:val="22"/>
                    </w:rPr>
                  </w:pPr>
                  <w:r>
                    <w:rPr>
                      <w:rFonts w:cs="Arial" w:ascii="Arial" w:hAnsi="Arial"/>
                      <w:bCs/>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rPr/>
                  </w:pPr>
                  <w:r>
                    <w:rPr>
                      <w:rFonts w:cs="Arial" w:ascii="Arial" w:hAnsi="Arial"/>
                      <w:sz w:val="22"/>
                      <w:szCs w:val="22"/>
                    </w:rPr>
                    <w:t xml:space="preserve">4) Nausea </w:t>
                  </w:r>
                </w:p>
                <w:p>
                  <w:pPr>
                    <w:pStyle w:val="Normal"/>
                    <w:rPr>
                      <w:rFonts w:ascii="Arial" w:hAnsi="Arial" w:cs="Arial"/>
                      <w:bCs/>
                      <w:sz w:val="22"/>
                      <w:szCs w:val="22"/>
                    </w:rPr>
                  </w:pPr>
                  <w:r>
                    <w:rPr>
                      <w:rFonts w:cs="Arial" w:ascii="Arial" w:hAnsi="Arial"/>
                      <w:bCs/>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rPr/>
                  </w:pPr>
                  <w:r>
                    <w:rPr>
                      <w:rFonts w:cs="Arial" w:ascii="Arial" w:hAnsi="Arial"/>
                      <w:sz w:val="22"/>
                      <w:szCs w:val="22"/>
                    </w:rPr>
                    <w:t>5) Irritability</w:t>
                  </w:r>
                </w:p>
                <w:p>
                  <w:pPr>
                    <w:pStyle w:val="Normal"/>
                    <w:rPr>
                      <w:rFonts w:ascii="Arial" w:hAnsi="Arial" w:cs="Arial"/>
                      <w:bCs/>
                      <w:sz w:val="22"/>
                      <w:szCs w:val="22"/>
                    </w:rPr>
                  </w:pPr>
                  <w:r>
                    <w:rPr>
                      <w:rFonts w:cs="Arial" w:ascii="Arial" w:hAnsi="Arial"/>
                      <w:bCs/>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ind w:left="216" w:hanging="216"/>
                    <w:rPr>
                      <w:rFonts w:ascii="Arial" w:hAnsi="Arial" w:cs="Arial"/>
                      <w:sz w:val="22"/>
                      <w:szCs w:val="22"/>
                    </w:rPr>
                  </w:pPr>
                  <w:r>
                    <w:rPr>
                      <w:rFonts w:cs="Arial" w:ascii="Arial" w:hAnsi="Arial"/>
                      <w:sz w:val="22"/>
                      <w:szCs w:val="22"/>
                    </w:rPr>
                    <w:t>6) Sleep difficulty</w:t>
                  </w:r>
                </w:p>
                <w:p>
                  <w:pPr>
                    <w:pStyle w:val="Normal"/>
                    <w:ind w:left="216" w:hanging="216"/>
                    <w:rPr>
                      <w:rFonts w:ascii="Arial" w:hAnsi="Arial" w:cs="Arial"/>
                      <w:bCs/>
                      <w:sz w:val="22"/>
                      <w:szCs w:val="22"/>
                    </w:rPr>
                  </w:pPr>
                  <w:r>
                    <w:rPr>
                      <w:rFonts w:cs="Arial" w:ascii="Arial" w:hAnsi="Arial"/>
                      <w:bCs/>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rPr/>
                  </w:pPr>
                  <w:r>
                    <w:rPr>
                      <w:rFonts w:cs="Arial" w:ascii="Arial" w:hAnsi="Arial"/>
                      <w:sz w:val="22"/>
                      <w:szCs w:val="22"/>
                    </w:rPr>
                    <w:t>7) Sweating</w:t>
                  </w:r>
                </w:p>
                <w:p>
                  <w:pPr>
                    <w:pStyle w:val="Normal"/>
                    <w:rPr>
                      <w:rFonts w:ascii="Arial" w:hAnsi="Arial" w:cs="Arial"/>
                      <w:sz w:val="22"/>
                      <w:szCs w:val="22"/>
                    </w:rPr>
                  </w:pPr>
                  <w:r>
                    <w:rPr>
                      <w:rFonts w:cs="Arial" w:ascii="Arial" w:hAnsi="Arial"/>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ind w:left="216" w:hanging="216"/>
                    <w:rPr/>
                  </w:pPr>
                  <w:r>
                    <w:rPr>
                      <w:rFonts w:cs="Arial" w:ascii="Arial" w:hAnsi="Arial"/>
                      <w:sz w:val="22"/>
                      <w:szCs w:val="22"/>
                    </w:rPr>
                    <w:t>8) Craving to smoke marijuana</w:t>
                  </w:r>
                </w:p>
                <w:p>
                  <w:pPr>
                    <w:pStyle w:val="Normal"/>
                    <w:ind w:left="216" w:hanging="216"/>
                    <w:rPr>
                      <w:rFonts w:ascii="Arial" w:hAnsi="Arial" w:cs="Arial"/>
                      <w:sz w:val="22"/>
                      <w:szCs w:val="22"/>
                    </w:rPr>
                  </w:pPr>
                  <w:r>
                    <w:rPr>
                      <w:rFonts w:cs="Arial" w:ascii="Arial" w:hAnsi="Arial"/>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rPr/>
                  </w:pPr>
                  <w:r>
                    <w:rPr>
                      <w:rFonts w:cs="Arial" w:ascii="Arial" w:hAnsi="Arial"/>
                      <w:sz w:val="22"/>
                      <w:szCs w:val="22"/>
                    </w:rPr>
                    <w:t>9) Restlessness</w:t>
                  </w:r>
                </w:p>
                <w:p>
                  <w:pPr>
                    <w:pStyle w:val="Normal"/>
                    <w:rPr>
                      <w:rFonts w:ascii="Arial" w:hAnsi="Arial" w:cs="Arial"/>
                      <w:sz w:val="22"/>
                      <w:szCs w:val="22"/>
                    </w:rPr>
                  </w:pPr>
                  <w:r>
                    <w:rPr>
                      <w:rFonts w:cs="Arial" w:ascii="Arial" w:hAnsi="Arial"/>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rPr>
                      <w:rFonts w:ascii="Arial" w:hAnsi="Arial" w:cs="Arial"/>
                      <w:sz w:val="22"/>
                      <w:szCs w:val="22"/>
                    </w:rPr>
                  </w:pPr>
                  <w:r>
                    <w:rPr>
                      <w:rFonts w:cs="Arial" w:ascii="Arial" w:hAnsi="Arial"/>
                      <w:sz w:val="22"/>
                      <w:szCs w:val="22"/>
                    </w:rPr>
                    <w:t>10) Nervousness/anxiety</w:t>
                  </w:r>
                </w:p>
                <w:p>
                  <w:pPr>
                    <w:pStyle w:val="Normal"/>
                    <w:rPr>
                      <w:rFonts w:ascii="Arial" w:hAnsi="Arial" w:cs="Arial"/>
                      <w:sz w:val="22"/>
                      <w:szCs w:val="22"/>
                    </w:rPr>
                  </w:pPr>
                  <w:r>
                    <w:rPr>
                      <w:rFonts w:cs="Arial" w:ascii="Arial" w:hAnsi="Arial"/>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ind w:left="216" w:hanging="216"/>
                    <w:rPr/>
                  </w:pPr>
                  <w:r>
                    <w:rPr>
                      <w:rFonts w:cs="Arial" w:ascii="Arial" w:hAnsi="Arial"/>
                      <w:sz w:val="22"/>
                      <w:szCs w:val="22"/>
                    </w:rPr>
                    <w:t>11) Increased aggression</w:t>
                  </w:r>
                </w:p>
                <w:p>
                  <w:pPr>
                    <w:pStyle w:val="Normal"/>
                    <w:ind w:left="216" w:hanging="216"/>
                    <w:rPr>
                      <w:rFonts w:ascii="Arial" w:hAnsi="Arial" w:cs="Arial"/>
                      <w:sz w:val="22"/>
                      <w:szCs w:val="22"/>
                    </w:rPr>
                  </w:pPr>
                  <w:r>
                    <w:rPr>
                      <w:rFonts w:cs="Arial" w:ascii="Arial" w:hAnsi="Arial"/>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rPr/>
                  </w:pPr>
                  <w:r>
                    <w:rPr>
                      <w:rFonts w:cs="Arial" w:ascii="Arial" w:hAnsi="Arial"/>
                      <w:sz w:val="22"/>
                      <w:szCs w:val="22"/>
                    </w:rPr>
                    <w:t>12) Headaches</w:t>
                  </w:r>
                </w:p>
                <w:p>
                  <w:pPr>
                    <w:pStyle w:val="Normal"/>
                    <w:rPr>
                      <w:rFonts w:ascii="Arial" w:hAnsi="Arial" w:cs="Arial"/>
                      <w:sz w:val="22"/>
                      <w:szCs w:val="22"/>
                    </w:rPr>
                  </w:pPr>
                  <w:r>
                    <w:rPr>
                      <w:rFonts w:cs="Arial" w:ascii="Arial" w:hAnsi="Arial"/>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rPr>
                      <w:rFonts w:ascii="Arial" w:hAnsi="Arial" w:cs="Arial"/>
                      <w:sz w:val="22"/>
                      <w:szCs w:val="22"/>
                    </w:rPr>
                  </w:pPr>
                  <w:r>
                    <w:rPr>
                      <w:rFonts w:cs="Arial" w:ascii="Arial" w:hAnsi="Arial"/>
                      <w:sz w:val="22"/>
                      <w:szCs w:val="22"/>
                    </w:rPr>
                    <w:t>13) Stomach Pains</w:t>
                  </w:r>
                </w:p>
                <w:p>
                  <w:pPr>
                    <w:pStyle w:val="Normal"/>
                    <w:rPr>
                      <w:rFonts w:ascii="Arial" w:hAnsi="Arial" w:cs="Arial"/>
                      <w:sz w:val="22"/>
                      <w:szCs w:val="22"/>
                    </w:rPr>
                  </w:pPr>
                  <w:r>
                    <w:rPr>
                      <w:rFonts w:cs="Arial" w:ascii="Arial" w:hAnsi="Arial"/>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ind w:left="216" w:hanging="216"/>
                    <w:rPr>
                      <w:rFonts w:ascii="Arial" w:hAnsi="Arial" w:cs="Arial"/>
                      <w:sz w:val="22"/>
                      <w:szCs w:val="22"/>
                    </w:rPr>
                  </w:pPr>
                  <w:r>
                    <w:rPr>
                      <w:rFonts w:cs="Arial" w:ascii="Arial" w:hAnsi="Arial"/>
                      <w:sz w:val="22"/>
                      <w:szCs w:val="22"/>
                    </w:rPr>
                    <w:t>14) Strange dreams</w:t>
                  </w:r>
                </w:p>
                <w:p>
                  <w:pPr>
                    <w:pStyle w:val="Normal"/>
                    <w:ind w:left="216" w:hanging="216"/>
                    <w:rPr>
                      <w:rFonts w:ascii="Arial" w:hAnsi="Arial" w:cs="Arial"/>
                      <w:sz w:val="22"/>
                      <w:szCs w:val="22"/>
                    </w:rPr>
                  </w:pPr>
                  <w:r>
                    <w:rPr>
                      <w:rFonts w:cs="Arial" w:ascii="Arial" w:hAnsi="Arial"/>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rPr>
                      <w:rFonts w:ascii="Arial" w:hAnsi="Arial" w:cs="Arial"/>
                      <w:sz w:val="22"/>
                      <w:szCs w:val="22"/>
                    </w:rPr>
                  </w:pPr>
                  <w:r>
                    <w:rPr>
                      <w:rFonts w:cs="Arial" w:ascii="Arial" w:hAnsi="Arial"/>
                      <w:sz w:val="22"/>
                      <w:szCs w:val="22"/>
                    </w:rPr>
                    <w:t>15) Increased anger</w:t>
                  </w:r>
                </w:p>
                <w:p>
                  <w:pPr>
                    <w:pStyle w:val="Normal"/>
                    <w:rPr>
                      <w:rFonts w:ascii="Arial" w:hAnsi="Arial" w:cs="Arial"/>
                      <w:sz w:val="22"/>
                      <w:szCs w:val="22"/>
                    </w:rPr>
                  </w:pPr>
                  <w:r>
                    <w:rPr>
                      <w:rFonts w:cs="Arial" w:ascii="Arial" w:hAnsi="Arial"/>
                      <w:sz w:val="22"/>
                      <w:szCs w:val="22"/>
                    </w:rPr>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r>
              <w:trPr/>
              <w:tc>
                <w:tcPr>
                  <w:tcW w:w="2990" w:type="dxa"/>
                  <w:tcBorders/>
                </w:tcPr>
                <w:p>
                  <w:pPr>
                    <w:pStyle w:val="Normal"/>
                    <w:rPr>
                      <w:rFonts w:ascii="Arial" w:hAnsi="Arial" w:cs="Arial"/>
                      <w:sz w:val="22"/>
                      <w:szCs w:val="22"/>
                    </w:rPr>
                  </w:pPr>
                  <w:r>
                    <w:rPr>
                      <w:rFonts w:cs="Arial" w:ascii="Arial" w:hAnsi="Arial"/>
                      <w:sz w:val="22"/>
                      <w:szCs w:val="22"/>
                    </w:rPr>
                    <w:t>16) Other (list)</w:t>
                  </w:r>
                </w:p>
                <w:p>
                  <w:pPr>
                    <w:pStyle w:val="Normal"/>
                    <w:rPr>
                      <w:rFonts w:ascii="Arial" w:hAnsi="Arial" w:cs="Arial"/>
                      <w:sz w:val="22"/>
                      <w:szCs w:val="22"/>
                    </w:rPr>
                  </w:pPr>
                  <w:r>
                    <w:rPr>
                      <w:rFonts w:cs="Arial" w:ascii="Arial" w:hAnsi="Arial"/>
                      <w:sz w:val="22"/>
                      <w:szCs w:val="22"/>
                    </w:rPr>
                  </w:r>
                </w:p>
              </w:tc>
              <w:tc>
                <w:tcPr>
                  <w:tcW w:w="864" w:type="dxa"/>
                  <w:tcBorders/>
                </w:tcPr>
                <w:p>
                  <w:pPr>
                    <w:pStyle w:val="Normal"/>
                    <w:snapToGrid w:val="false"/>
                    <w:jc w:val="center"/>
                    <w:rPr>
                      <w:rFonts w:ascii="Arial" w:hAnsi="Arial" w:cs="Arial"/>
                      <w:bCs/>
                      <w:sz w:val="22"/>
                      <w:szCs w:val="22"/>
                    </w:rPr>
                  </w:pPr>
                  <w:r>
                    <w:rPr>
                      <w:rFonts w:cs="Arial" w:ascii="Arial" w:hAnsi="Arial"/>
                      <w:bCs/>
                      <w:sz w:val="22"/>
                      <w:szCs w:val="22"/>
                    </w:rPr>
                  </w:r>
                </w:p>
              </w:tc>
              <w:tc>
                <w:tcPr>
                  <w:tcW w:w="791" w:type="dxa"/>
                  <w:tcBorders/>
                </w:tcPr>
                <w:p>
                  <w:pPr>
                    <w:pStyle w:val="Normal"/>
                    <w:snapToGrid w:val="false"/>
                    <w:jc w:val="center"/>
                    <w:rPr>
                      <w:rFonts w:ascii="Arial" w:hAnsi="Arial" w:cs="Arial"/>
                      <w:bCs/>
                      <w:sz w:val="22"/>
                      <w:szCs w:val="22"/>
                    </w:rPr>
                  </w:pPr>
                  <w:r>
                    <w:rPr>
                      <w:rFonts w:cs="Arial" w:ascii="Arial" w:hAnsi="Arial"/>
                      <w:bCs/>
                      <w:sz w:val="22"/>
                      <w:szCs w:val="22"/>
                    </w:rPr>
                  </w:r>
                </w:p>
              </w:tc>
              <w:tc>
                <w:tcPr>
                  <w:tcW w:w="1329" w:type="dxa"/>
                  <w:tcBorders/>
                </w:tcPr>
                <w:p>
                  <w:pPr>
                    <w:pStyle w:val="Normal"/>
                    <w:snapToGrid w:val="false"/>
                    <w:jc w:val="center"/>
                    <w:rPr>
                      <w:rFonts w:ascii="Arial" w:hAnsi="Arial" w:cs="Arial"/>
                      <w:bCs/>
                      <w:sz w:val="22"/>
                      <w:szCs w:val="22"/>
                    </w:rPr>
                  </w:pPr>
                  <w:r>
                    <w:rPr>
                      <w:rFonts w:cs="Arial" w:ascii="Arial" w:hAnsi="Arial"/>
                      <w:bCs/>
                      <w:sz w:val="22"/>
                      <w:szCs w:val="22"/>
                    </w:rPr>
                  </w:r>
                </w:p>
              </w:tc>
              <w:tc>
                <w:tcPr>
                  <w:tcW w:w="1036" w:type="dxa"/>
                  <w:tcBorders/>
                </w:tcPr>
                <w:p>
                  <w:pPr>
                    <w:pStyle w:val="Normal"/>
                    <w:snapToGrid w:val="false"/>
                    <w:jc w:val="center"/>
                    <w:rPr>
                      <w:rFonts w:ascii="Arial" w:hAnsi="Arial" w:cs="Arial"/>
                      <w:bCs/>
                      <w:sz w:val="22"/>
                      <w:szCs w:val="22"/>
                    </w:rPr>
                  </w:pPr>
                  <w:r>
                    <w:rPr>
                      <w:rFonts w:cs="Arial" w:ascii="Arial" w:hAnsi="Arial"/>
                      <w:bCs/>
                      <w:sz w:val="22"/>
                      <w:szCs w:val="22"/>
                    </w:rPr>
                  </w:r>
                </w:p>
              </w:tc>
            </w:tr>
            <w:tr>
              <w:trPr/>
              <w:tc>
                <w:tcPr>
                  <w:tcW w:w="2990" w:type="dxa"/>
                  <w:tcBorders/>
                </w:tcPr>
                <w:p>
                  <w:pPr>
                    <w:pStyle w:val="Normal"/>
                    <w:rPr>
                      <w:rFonts w:ascii="Arial" w:hAnsi="Arial" w:cs="Arial"/>
                      <w:sz w:val="22"/>
                      <w:szCs w:val="22"/>
                    </w:rPr>
                  </w:pPr>
                  <w:r>
                    <w:rPr>
                      <w:rFonts w:cs="Arial" w:ascii="Arial" w:hAnsi="Arial"/>
                      <w:sz w:val="22"/>
                      <w:szCs w:val="22"/>
                    </w:rPr>
                    <w:t>________________</w:t>
                  </w:r>
                </w:p>
              </w:tc>
              <w:tc>
                <w:tcPr>
                  <w:tcW w:w="864" w:type="dxa"/>
                  <w:tcBorders/>
                </w:tcPr>
                <w:p>
                  <w:pPr>
                    <w:pStyle w:val="Normal"/>
                    <w:jc w:val="center"/>
                    <w:rPr>
                      <w:rFonts w:ascii="Arial" w:hAnsi="Arial" w:cs="Arial"/>
                      <w:bCs/>
                      <w:sz w:val="22"/>
                      <w:szCs w:val="22"/>
                    </w:rPr>
                  </w:pPr>
                  <w:r>
                    <w:rPr>
                      <w:rFonts w:cs="Arial" w:ascii="Arial" w:hAnsi="Arial"/>
                      <w:bCs/>
                      <w:sz w:val="22"/>
                      <w:szCs w:val="22"/>
                    </w:rPr>
                    <w:t>0</w:t>
                  </w:r>
                </w:p>
              </w:tc>
              <w:tc>
                <w:tcPr>
                  <w:tcW w:w="791" w:type="dxa"/>
                  <w:tcBorders/>
                </w:tcPr>
                <w:p>
                  <w:pPr>
                    <w:pStyle w:val="Normal"/>
                    <w:jc w:val="center"/>
                    <w:rPr>
                      <w:rFonts w:ascii="Arial" w:hAnsi="Arial" w:cs="Arial"/>
                      <w:bCs/>
                      <w:sz w:val="22"/>
                      <w:szCs w:val="22"/>
                    </w:rPr>
                  </w:pPr>
                  <w:r>
                    <w:rPr>
                      <w:rFonts w:cs="Arial" w:ascii="Arial" w:hAnsi="Arial"/>
                      <w:bCs/>
                      <w:sz w:val="22"/>
                      <w:szCs w:val="22"/>
                    </w:rPr>
                    <w:t>1</w:t>
                  </w:r>
                </w:p>
              </w:tc>
              <w:tc>
                <w:tcPr>
                  <w:tcW w:w="1329" w:type="dxa"/>
                  <w:tcBorders/>
                </w:tcPr>
                <w:p>
                  <w:pPr>
                    <w:pStyle w:val="Normal"/>
                    <w:jc w:val="center"/>
                    <w:rPr>
                      <w:rFonts w:ascii="Arial" w:hAnsi="Arial" w:cs="Arial"/>
                      <w:bCs/>
                      <w:sz w:val="22"/>
                      <w:szCs w:val="22"/>
                    </w:rPr>
                  </w:pPr>
                  <w:r>
                    <w:rPr>
                      <w:rFonts w:cs="Arial" w:ascii="Arial" w:hAnsi="Arial"/>
                      <w:bCs/>
                      <w:sz w:val="22"/>
                      <w:szCs w:val="22"/>
                    </w:rPr>
                    <w:t>2</w:t>
                  </w:r>
                </w:p>
              </w:tc>
              <w:tc>
                <w:tcPr>
                  <w:tcW w:w="1036" w:type="dxa"/>
                  <w:tcBorders/>
                </w:tcPr>
                <w:p>
                  <w:pPr>
                    <w:pStyle w:val="Normal"/>
                    <w:jc w:val="center"/>
                    <w:rPr>
                      <w:rFonts w:ascii="Arial" w:hAnsi="Arial" w:cs="Arial"/>
                      <w:bCs/>
                      <w:sz w:val="22"/>
                      <w:szCs w:val="22"/>
                    </w:rPr>
                  </w:pPr>
                  <w:r>
                    <w:rPr>
                      <w:rFonts w:cs="Arial" w:ascii="Arial" w:hAnsi="Arial"/>
                      <w:bCs/>
                      <w:sz w:val="22"/>
                      <w:szCs w:val="22"/>
                    </w:rPr>
                    <w:t>3</w:t>
                  </w:r>
                </w:p>
              </w:tc>
            </w:tr>
          </w:tbl>
          <w:p>
            <w:pPr>
              <w:pStyle w:val="Normal"/>
              <w:spacing w:lineRule="auto" w:line="480"/>
              <w:rPr>
                <w:rFonts w:ascii="Arial" w:hAnsi="Arial" w:cs="Arial"/>
                <w:sz w:val="22"/>
                <w:szCs w:val="22"/>
              </w:rPr>
            </w:pPr>
            <w:r>
              <w:rPr>
                <w:rFonts w:cs="Arial" w:ascii="Arial" w:hAnsi="Arial"/>
                <w:sz w:val="22"/>
                <w:szCs w:val="22"/>
              </w:rPr>
              <w:tab/>
            </w:r>
          </w:p>
          <w:p>
            <w:pPr>
              <w:pStyle w:val="Normal"/>
              <w:spacing w:lineRule="auto" w:line="480"/>
              <w:rPr>
                <w:rFonts w:ascii="Arial" w:hAnsi="Arial" w:cs="Arial"/>
                <w:b/>
                <w:b/>
                <w:bCs/>
                <w:sz w:val="22"/>
                <w:szCs w:val="22"/>
              </w:rPr>
            </w:pPr>
            <w:r>
              <w:rPr>
                <w:rFonts w:cs="Arial" w:ascii="Arial" w:hAnsi="Arial"/>
                <w:b/>
                <w:bCs/>
                <w:sz w:val="22"/>
                <w:szCs w:val="22"/>
              </w:rPr>
              <w:t>Scoring Procedure and Interpretation</w:t>
            </w:r>
          </w:p>
          <w:p>
            <w:pPr>
              <w:pStyle w:val="Normal"/>
              <w:rPr>
                <w:rFonts w:ascii="Arial" w:hAnsi="Arial" w:cs="Arial"/>
                <w:bCs/>
                <w:sz w:val="22"/>
                <w:szCs w:val="22"/>
              </w:rPr>
            </w:pPr>
            <w:r>
              <w:rPr>
                <w:rFonts w:cs="Arial" w:ascii="Arial" w:hAnsi="Arial"/>
                <w:sz w:val="22"/>
                <w:szCs w:val="22"/>
              </w:rPr>
              <w:t>A total MWC score is obtained by summing the severity ratings.  Budney et al. (2003) also tested a withdrawal discomfort score (WDS), based on summing the 12 following MWC items: 1-3, 5-7, 9-11, and 13-15.  Higher scores indicate more severe symptoms associated with marijuana withdrawal.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24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highlight w:val="yellow"/>
              </w:rPr>
            </w:pPr>
            <w:r>
              <w:rPr>
                <w:rFonts w:cs="Arial" w:ascii="Arial" w:hAnsi="Arial"/>
                <w:color w:val="000000"/>
                <w:sz w:val="22"/>
                <w:szCs w:val="22"/>
              </w:rPr>
              <w:t>Adult (18+)</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245" w:type="dxa"/>
            <w:tcBorders>
              <w:top w:val="single" w:sz="4" w:space="0" w:color="000000"/>
              <w:left w:val="single" w:sz="4" w:space="0" w:color="000000"/>
              <w:bottom w:val="single" w:sz="4" w:space="0" w:color="000000"/>
              <w:right w:val="single" w:sz="4" w:space="0" w:color="000000"/>
            </w:tcBorders>
          </w:tcPr>
          <w:p>
            <w:pPr>
              <w:pStyle w:val="Normal"/>
              <w:ind w:left="216" w:hanging="180"/>
              <w:rPr>
                <w:rFonts w:ascii="Arial" w:hAnsi="Arial" w:cs="Arial"/>
                <w:sz w:val="22"/>
                <w:szCs w:val="22"/>
              </w:rPr>
            </w:pPr>
            <w:r>
              <w:rPr>
                <w:rFonts w:cs="Arial" w:ascii="Arial" w:hAnsi="Arial"/>
                <w:sz w:val="22"/>
                <w:szCs w:val="22"/>
              </w:rPr>
              <w:t xml:space="preserve">Budney, A. J., Novy, P. L., &amp; Hughes, J. R. (1999). Marijuana withdrawal among adults seeking treatment for marijuana dependence.  </w:t>
            </w:r>
            <w:r>
              <w:rPr>
                <w:rFonts w:cs="Arial" w:ascii="Arial" w:hAnsi="Arial"/>
                <w:i/>
                <w:iCs/>
                <w:sz w:val="22"/>
                <w:szCs w:val="22"/>
              </w:rPr>
              <w:t>Addiction</w:t>
            </w:r>
            <w:r>
              <w:rPr>
                <w:rFonts w:cs="Arial" w:ascii="Arial" w:hAnsi="Arial"/>
                <w:sz w:val="22"/>
                <w:szCs w:val="22"/>
              </w:rPr>
              <w:t>, 94(9), 1311-1322.</w:t>
            </w:r>
          </w:p>
          <w:p>
            <w:pPr>
              <w:pStyle w:val="Normal"/>
              <w:ind w:left="252" w:hanging="252"/>
              <w:rPr>
                <w:rFonts w:ascii="Arial" w:hAnsi="Arial" w:cs="Arial"/>
                <w:bCs/>
                <w:sz w:val="22"/>
                <w:szCs w:val="22"/>
              </w:rPr>
            </w:pPr>
            <w:r>
              <w:rPr>
                <w:rFonts w:cs="Arial" w:ascii="Arial" w:hAnsi="Arial"/>
                <w:bCs/>
                <w:sz w:val="22"/>
                <w:szCs w:val="22"/>
              </w:rPr>
            </w:r>
          </w:p>
          <w:p>
            <w:pPr>
              <w:pStyle w:val="Normal"/>
              <w:ind w:left="216" w:hanging="180"/>
              <w:rPr>
                <w:rFonts w:ascii="Arial" w:hAnsi="Arial" w:cs="Arial"/>
                <w:sz w:val="22"/>
                <w:szCs w:val="22"/>
              </w:rPr>
            </w:pPr>
            <w:r>
              <w:rPr>
                <w:rFonts w:cs="Arial" w:ascii="Arial" w:hAnsi="Arial"/>
                <w:bCs/>
                <w:sz w:val="22"/>
                <w:szCs w:val="22"/>
              </w:rPr>
              <w:t xml:space="preserve">Budney, A. J., Moore, B. A., Vandrey, R. G., &amp; Hughes, J. R. (2003). The time course and significance of cannabis withdrawal. </w:t>
            </w:r>
            <w:r>
              <w:rPr>
                <w:rFonts w:cs="Arial" w:ascii="Arial" w:hAnsi="Arial"/>
                <w:bCs/>
                <w:i/>
                <w:iCs/>
                <w:sz w:val="22"/>
                <w:szCs w:val="22"/>
              </w:rPr>
              <w:t>Journal of Abnormal Psychology</w:t>
            </w:r>
            <w:r>
              <w:rPr>
                <w:rFonts w:cs="Arial" w:ascii="Arial" w:hAnsi="Arial"/>
                <w:bCs/>
                <w:sz w:val="22"/>
                <w:szCs w:val="22"/>
              </w:rPr>
              <w:t>, 112(3), 393-402.</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24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24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 must be trained and found to be competent to conduct personal interviews with individuals from the general population. The interviewer should be trained to prompt respondents further if a “don’t know” response is provided.</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Style w:val="DefaultChar"/>
              </w:rPr>
            </w:pPr>
            <w:r>
              <w:rPr>
                <w:rFonts w:cs="Arial" w:ascii="Arial" w:hAnsi="Arial"/>
                <w:sz w:val="22"/>
                <w:szCs w:val="22"/>
              </w:rPr>
              <w:t>The questions are sensitive in nature, and the interviewer should be trained to react appropriately to emotional responses. If a distressed-respondent protocol is adopted, the interviewer should be trained to administer those procedures.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24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rPr>
            </w:pPr>
            <w:r>
              <w:rPr>
                <w:rStyle w:val="DefaultChar"/>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245"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Self-administered or 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245" w:type="dxa"/>
            <w:tcBorders>
              <w:top w:val="single" w:sz="4" w:space="0" w:color="000000"/>
              <w:left w:val="single" w:sz="4" w:space="0" w:color="000000"/>
              <w:bottom w:val="single" w:sz="4" w:space="0" w:color="000000"/>
              <w:right w:val="single" w:sz="4" w:space="0" w:color="000000"/>
            </w:tcBorders>
          </w:tcPr>
          <w:p>
            <w:pPr>
              <w:pStyle w:val="Normal"/>
              <w:ind w:left="252" w:hanging="252"/>
              <w:rPr>
                <w:rFonts w:ascii="Arial" w:hAnsi="Arial" w:cs="Arial"/>
                <w:bCs/>
                <w:sz w:val="22"/>
                <w:szCs w:val="22"/>
              </w:rPr>
            </w:pPr>
            <w:r>
              <w:rPr>
                <w:rFonts w:cs="Arial" w:ascii="Arial" w:hAnsi="Arial"/>
                <w:bCs/>
                <w:sz w:val="22"/>
                <w:szCs w:val="22"/>
              </w:rPr>
              <w:t xml:space="preserve">Budney, A. J., Hughes, J. R., Moore, B. A. &amp; Novy, P. L. (2001). Marijuana abstinence effects in marijuana smokers maintained in their home environment.  </w:t>
            </w:r>
            <w:r>
              <w:rPr>
                <w:rFonts w:cs="Arial" w:ascii="Arial" w:hAnsi="Arial"/>
                <w:bCs/>
                <w:i/>
                <w:iCs/>
                <w:sz w:val="22"/>
                <w:szCs w:val="22"/>
              </w:rPr>
              <w:t>Archives of General Psychiatry</w:t>
            </w:r>
            <w:r>
              <w:rPr>
                <w:rFonts w:cs="Arial" w:ascii="Arial" w:hAnsi="Arial"/>
                <w:bCs/>
                <w:sz w:val="22"/>
                <w:szCs w:val="22"/>
              </w:rPr>
              <w:t xml:space="preserve">, 58(10), 917-924.  </w:t>
            </w:r>
          </w:p>
          <w:p>
            <w:pPr>
              <w:pStyle w:val="Normal"/>
              <w:ind w:left="252" w:hanging="252"/>
              <w:rPr>
                <w:rFonts w:ascii="Arial" w:hAnsi="Arial" w:cs="Arial"/>
                <w:bCs/>
                <w:sz w:val="22"/>
                <w:szCs w:val="22"/>
              </w:rPr>
            </w:pPr>
            <w:r>
              <w:rPr>
                <w:rFonts w:cs="Arial" w:ascii="Arial" w:hAnsi="Arial"/>
                <w:bCs/>
                <w:sz w:val="22"/>
                <w:szCs w:val="22"/>
              </w:rPr>
            </w:r>
          </w:p>
          <w:p>
            <w:pPr>
              <w:pStyle w:val="Normal"/>
              <w:ind w:left="252" w:hanging="252"/>
              <w:rPr/>
            </w:pPr>
            <w:r>
              <w:rPr>
                <w:rFonts w:cs="Arial" w:ascii="Arial" w:hAnsi="Arial"/>
                <w:bCs/>
                <w:sz w:val="22"/>
                <w:szCs w:val="22"/>
              </w:rPr>
              <w:t xml:space="preserve">Budney, A. J., Hughes, J. R., Moore, B. A., &amp; Vandrey, R. (2004). Review of the validity and significance of cannabis withdrawal syndrome. </w:t>
            </w:r>
            <w:r>
              <w:rPr>
                <w:rFonts w:cs="Arial" w:ascii="Arial" w:hAnsi="Arial"/>
                <w:bCs/>
                <w:i/>
                <w:iCs/>
                <w:sz w:val="22"/>
                <w:szCs w:val="22"/>
              </w:rPr>
              <w:t>American Journal of Psychiatry</w:t>
            </w:r>
            <w:r>
              <w:rPr>
                <w:rFonts w:cs="Arial" w:ascii="Arial" w:hAnsi="Arial"/>
                <w:bCs/>
                <w:sz w:val="22"/>
                <w:szCs w:val="22"/>
              </w:rPr>
              <w:t>, 161(11), 1967-1977.</w:t>
            </w:r>
          </w:p>
          <w:p>
            <w:pPr>
              <w:pStyle w:val="Normal"/>
              <w:ind w:left="252" w:hanging="252"/>
              <w:rPr>
                <w:rFonts w:ascii="Arial" w:hAnsi="Arial" w:cs="Arial"/>
                <w:bCs/>
                <w:sz w:val="22"/>
                <w:szCs w:val="22"/>
              </w:rPr>
            </w:pPr>
            <w:r>
              <w:rPr>
                <w:rFonts w:cs="Arial" w:ascii="Arial" w:hAnsi="Arial"/>
                <w:bCs/>
                <w:sz w:val="22"/>
                <w:szCs w:val="22"/>
              </w:rPr>
            </w:r>
          </w:p>
          <w:p>
            <w:pPr>
              <w:pStyle w:val="Normal"/>
              <w:ind w:left="252" w:hanging="252"/>
              <w:rPr/>
            </w:pPr>
            <w:r>
              <w:rPr>
                <w:rFonts w:cs="Arial" w:ascii="Arial" w:hAnsi="Arial"/>
                <w:bCs/>
                <w:sz w:val="22"/>
                <w:szCs w:val="22"/>
              </w:rPr>
              <w:t xml:space="preserve">Budney, A. J., &amp; Moore, B. A. (2002). Development and consequences of cannabis dependence. </w:t>
            </w:r>
            <w:r>
              <w:rPr>
                <w:rFonts w:cs="Arial" w:ascii="Arial" w:hAnsi="Arial"/>
                <w:bCs/>
                <w:i/>
                <w:iCs/>
                <w:sz w:val="22"/>
                <w:szCs w:val="22"/>
              </w:rPr>
              <w:t>Journal of Clinical Pharmacology</w:t>
            </w:r>
            <w:r>
              <w:rPr>
                <w:rFonts w:cs="Arial" w:ascii="Arial" w:hAnsi="Arial"/>
                <w:bCs/>
                <w:sz w:val="22"/>
                <w:szCs w:val="22"/>
              </w:rPr>
              <w:t>, 42(11), 28S-33S.</w:t>
            </w:r>
          </w:p>
          <w:p>
            <w:pPr>
              <w:pStyle w:val="Normal"/>
              <w:ind w:left="252" w:hanging="252"/>
              <w:rPr>
                <w:rFonts w:ascii="Arial" w:hAnsi="Arial" w:cs="Arial"/>
                <w:bCs/>
                <w:sz w:val="22"/>
                <w:szCs w:val="22"/>
              </w:rPr>
            </w:pPr>
            <w:r>
              <w:rPr>
                <w:rFonts w:cs="Arial" w:ascii="Arial" w:hAnsi="Arial"/>
                <w:bCs/>
                <w:sz w:val="22"/>
                <w:szCs w:val="22"/>
              </w:rPr>
            </w:r>
          </w:p>
          <w:p>
            <w:pPr>
              <w:pStyle w:val="Normal"/>
              <w:ind w:left="252" w:hanging="252"/>
              <w:rPr>
                <w:rFonts w:ascii="Arial" w:hAnsi="Arial" w:cs="Arial"/>
                <w:bCs/>
                <w:sz w:val="22"/>
                <w:szCs w:val="22"/>
              </w:rPr>
            </w:pPr>
            <w:r>
              <w:rPr>
                <w:rFonts w:cs="Arial" w:ascii="Arial" w:hAnsi="Arial"/>
                <w:bCs/>
                <w:sz w:val="22"/>
                <w:szCs w:val="22"/>
              </w:rPr>
              <w:t xml:space="preserve">Hermann, E.S., Weerts, E.M., &amp; Vandrey, R. (2015). Sex difference in cannabis withdrawal symptoms among treatment-seeking cannabis users. </w:t>
            </w:r>
            <w:r>
              <w:rPr>
                <w:rFonts w:cs="Arial" w:ascii="Arial" w:hAnsi="Arial"/>
                <w:bCs/>
                <w:i/>
                <w:sz w:val="22"/>
                <w:szCs w:val="22"/>
              </w:rPr>
              <w:t xml:space="preserve">Experimental and Clinical Psychopharmocology, </w:t>
            </w:r>
            <w:r>
              <w:rPr>
                <w:rFonts w:cs="Arial" w:ascii="Arial" w:hAnsi="Arial"/>
                <w:bCs/>
                <w:sz w:val="22"/>
                <w:szCs w:val="22"/>
              </w:rPr>
              <w:t>23(6): 415-21.</w:t>
            </w:r>
          </w:p>
        </w:tc>
      </w:tr>
    </w:tbl>
    <w:p>
      <w:pPr>
        <w:pStyle w:val="Normal"/>
        <w:spacing w:before="0" w:after="0"/>
        <w:contextualSpacing/>
        <w:rPr/>
      </w:pPr>
      <w:r>
        <w:rPr/>
      </w:r>
    </w:p>
    <w:sectPr>
      <w:headerReference w:type="default" r:id="rId3"/>
      <w:footerReference w:type="default" r:id="rId4"/>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bCs/>
        <w:sz w:val="20"/>
        <w:szCs w:val="20"/>
      </w:rPr>
      <w:t>Marijuana Withdrawal</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Collection: Substance Abuse and Addiction - Assessment of Substance Use and Substance Use Disorders</w:t>
    </w:r>
  </w:p>
  <w:p>
    <w:pPr>
      <w:pStyle w:val="Normal"/>
      <w:rPr>
        <w:rFonts w:ascii="Arial" w:hAnsi="Arial" w:cs="Arial"/>
        <w:b/>
        <w:b/>
        <w:sz w:val="20"/>
        <w:szCs w:val="20"/>
      </w:rPr>
    </w:pPr>
    <w:r>
      <w:rPr>
        <w:rFonts w:cs="Arial" w:ascii="Arial" w:hAnsi="Arial"/>
        <w:b/>
        <w:sz w:val="20"/>
        <w:szCs w:val="20"/>
      </w:rPr>
      <w:t xml:space="preserve">Release Date: </w:t>
    </w:r>
  </w:p>
  <w:p>
    <w:pPr>
      <w:pStyle w:val="Normal"/>
      <w:rPr/>
    </w:pPr>
    <w:r>
      <w:rPr>
        <w:rFonts w:cs="Arial" w:ascii="Arial" w:hAnsi="Arial"/>
        <w:b/>
        <w:bCs/>
        <w:sz w:val="20"/>
        <w:szCs w:val="20"/>
      </w:rPr>
      <w:t>Marijuana Withdrawal</w:t>
    </w:r>
    <w:r>
      <w:rPr>
        <w:rFonts w:cs="Arial" w:ascii="Arial" w:hAnsi="Arial"/>
        <w:b/>
        <w:sz w:val="20"/>
        <w:szCs w:val="20"/>
      </w:rPr>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itle1">
    <w:name w:val="title1"/>
    <w:basedOn w:val="Normal"/>
    <w:qFormat/>
    <w:pPr>
      <w:spacing w:before="280" w:after="0"/>
      <w:ind w:left="825" w:hanging="0"/>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cbi.nlm.nih.gov/pubmed/26461168"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2016-10-14T14:04:00Z</dcterms:created>
  <dc:creator>whuggins</dc:creator>
  <dc:description/>
  <dc:language>en-US</dc:language>
  <cp:lastModifiedBy>Hwang, Stephen</cp:lastModifiedBy>
  <cp:lastPrinted>2009-03-24T16:13:00Z</cp:lastPrinted>
  <dcterms:modified xsi:type="dcterms:W3CDTF">2016-10-14T14:04:00Z</dcterms:modified>
  <cp:revision>2</cp:revision>
  <dc:subject/>
  <dc:title/>
</cp:coreProperties>
</file>