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Sickle Cell Disease: Cardiovascular, Pulmonary, and Renal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Cell Free Hemoglobin Level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 bioassay to measure cell free hemoglobin concentration.</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protocol provides instructions for drawing, processing, and storing blood according to the National Health and Nutrition Examination Survey (NHANES) methods. Because there are many comparable assays for measuring cell free hemoglobin levels, the protocol also provides basic guidelines to aid comparability among different studies.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0"/>
              <w:rPr>
                <w:rFonts w:ascii="Arial" w:hAnsi="Arial" w:cs="Arial"/>
                <w:sz w:val="22"/>
                <w:szCs w:val="22"/>
              </w:rPr>
            </w:pPr>
            <w:r>
              <w:rPr>
                <w:rFonts w:cs="Arial" w:ascii="Arial" w:hAnsi="Arial"/>
                <w:sz w:val="22"/>
                <w:szCs w:val="22"/>
              </w:rPr>
              <w:t>The following is a summary version of the full National Health and Nutrition Examination Survey 2011-2012 protocol.</w:t>
            </w:r>
          </w:p>
          <w:p>
            <w:pPr>
              <w:pStyle w:val="NormalWeb"/>
              <w:spacing w:before="0" w:after="0"/>
              <w:rPr>
                <w:rFonts w:ascii="Arial" w:hAnsi="Arial" w:cs="Arial"/>
                <w:sz w:val="22"/>
                <w:szCs w:val="22"/>
              </w:rPr>
            </w:pPr>
            <w:r>
              <w:rPr>
                <w:rFonts w:cs="Arial" w:ascii="Arial" w:hAnsi="Arial"/>
                <w:sz w:val="22"/>
                <w:szCs w:val="22"/>
              </w:rPr>
            </w:r>
          </w:p>
          <w:p>
            <w:pPr>
              <w:pStyle w:val="Normal"/>
              <w:autoSpaceDE w:val="false"/>
              <w:rPr>
                <w:rFonts w:ascii="Arial" w:hAnsi="Arial" w:cs="Arial"/>
                <w:b/>
                <w:b/>
                <w:bCs/>
                <w:sz w:val="22"/>
                <w:szCs w:val="22"/>
              </w:rPr>
            </w:pPr>
            <w:r>
              <w:rPr>
                <w:rFonts w:cs="Arial" w:ascii="Arial" w:hAnsi="Arial"/>
                <w:b/>
                <w:bCs/>
                <w:sz w:val="22"/>
                <w:szCs w:val="22"/>
              </w:rPr>
              <w:t>Exclusion Criteria</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sz w:val="22"/>
                <w:szCs w:val="22"/>
              </w:rPr>
            </w:pPr>
            <w:r>
              <w:rPr>
                <w:rFonts w:cs="Arial" w:ascii="Arial" w:hAnsi="Arial"/>
                <w:sz w:val="22"/>
                <w:szCs w:val="22"/>
              </w:rPr>
              <w:t xml:space="preserve">Persons will be excluded from this component if they: </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 xml:space="preserve">Report that they have hemophilia; or </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Report that they have received cancer chemotherapy in the last 4 weeks</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i/>
                <w:i/>
                <w:iCs/>
                <w:sz w:val="22"/>
                <w:szCs w:val="22"/>
              </w:rPr>
            </w:pPr>
            <w:r>
              <w:rPr>
                <w:rFonts w:cs="Arial" w:ascii="Arial" w:hAnsi="Arial"/>
                <w:i/>
                <w:iCs/>
                <w:sz w:val="22"/>
                <w:szCs w:val="22"/>
              </w:rPr>
              <w:t>SP = Sample Person.</w:t>
            </w:r>
          </w:p>
          <w:p>
            <w:pPr>
              <w:pStyle w:val="Normal"/>
              <w:autoSpaceDE w:val="false"/>
              <w:rPr>
                <w:rFonts w:ascii="Arial" w:hAnsi="Arial" w:cs="Arial"/>
                <w:i/>
                <w:i/>
                <w:iCs/>
                <w:sz w:val="22"/>
                <w:szCs w:val="22"/>
              </w:rPr>
            </w:pPr>
            <w:r>
              <w:rPr>
                <w:rFonts w:cs="Arial" w:ascii="Arial" w:hAnsi="Arial"/>
                <w:i/>
                <w:iCs/>
                <w:sz w:val="22"/>
                <w:szCs w:val="22"/>
              </w:rPr>
            </w:r>
          </w:p>
          <w:p>
            <w:pPr>
              <w:pStyle w:val="Normal"/>
              <w:autoSpaceDE w:val="false"/>
              <w:rPr>
                <w:rFonts w:ascii="Arial" w:hAnsi="Arial" w:cs="Arial"/>
                <w:sz w:val="22"/>
                <w:szCs w:val="22"/>
              </w:rPr>
            </w:pPr>
            <w:r>
              <w:rPr>
                <w:rFonts w:cs="Arial" w:ascii="Arial" w:hAnsi="Arial"/>
                <w:sz w:val="22"/>
                <w:szCs w:val="22"/>
              </w:rPr>
              <w:t>1. Do you have hemophilia?</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1 [ ]  Yes</w:t>
            </w:r>
          </w:p>
          <w:p>
            <w:pPr>
              <w:pStyle w:val="Normal"/>
              <w:autoSpaceDE w:val="false"/>
              <w:rPr>
                <w:rFonts w:ascii="Arial" w:hAnsi="Arial" w:cs="Arial"/>
                <w:sz w:val="22"/>
                <w:szCs w:val="22"/>
              </w:rPr>
            </w:pPr>
            <w:r>
              <w:rPr>
                <w:rFonts w:cs="Arial" w:ascii="Arial" w:hAnsi="Arial"/>
                <w:sz w:val="22"/>
                <w:szCs w:val="22"/>
              </w:rPr>
              <w:t>2 [ ]  No</w:t>
            </w:r>
          </w:p>
          <w:p>
            <w:pPr>
              <w:pStyle w:val="Normal"/>
              <w:autoSpaceDE w:val="false"/>
              <w:rPr>
                <w:rFonts w:ascii="Arial" w:hAnsi="Arial" w:cs="Arial"/>
                <w:sz w:val="22"/>
                <w:szCs w:val="22"/>
              </w:rPr>
            </w:pPr>
            <w:r>
              <w:rPr>
                <w:rFonts w:cs="Arial" w:ascii="Arial" w:hAnsi="Arial"/>
                <w:sz w:val="22"/>
                <w:szCs w:val="22"/>
              </w:rPr>
              <w:t>7 [ ]  Refused</w:t>
            </w:r>
          </w:p>
          <w:p>
            <w:pPr>
              <w:pStyle w:val="Normal"/>
              <w:autoSpaceDE w:val="false"/>
              <w:rPr>
                <w:rFonts w:ascii="Arial" w:hAnsi="Arial" w:cs="Arial"/>
                <w:sz w:val="22"/>
                <w:szCs w:val="22"/>
              </w:rPr>
            </w:pPr>
            <w:r>
              <w:rPr>
                <w:rFonts w:cs="Arial" w:ascii="Arial" w:hAnsi="Arial"/>
                <w:sz w:val="22"/>
                <w:szCs w:val="22"/>
              </w:rPr>
              <w:t>9 [ ]  Don’t Know</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If the SP answers "Yes," the SP is excluded from the blood draw.</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If SP answers "No" or "Don’t Know," blood is drawn from the SP.</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2. Have you received cancer chemotherapy in the past four weeks or do you anticipate such therapy in the next four weeks?</w:t>
            </w:r>
          </w:p>
          <w:p>
            <w:pPr>
              <w:pStyle w:val="Normal"/>
              <w:autoSpaceDE w:val="false"/>
              <w:rPr>
                <w:rFonts w:ascii="Arial" w:hAnsi="Arial" w:cs="Arial"/>
                <w:sz w:val="22"/>
                <w:szCs w:val="22"/>
              </w:rPr>
            </w:pPr>
            <w:r>
              <w:rPr>
                <w:rFonts w:cs="Arial" w:ascii="Arial" w:hAnsi="Arial"/>
                <w:sz w:val="22"/>
                <w:szCs w:val="22"/>
              </w:rPr>
              <w:t>1 [ ]  Yes</w:t>
            </w:r>
          </w:p>
          <w:p>
            <w:pPr>
              <w:pStyle w:val="Normal"/>
              <w:autoSpaceDE w:val="false"/>
              <w:rPr>
                <w:rFonts w:ascii="Arial" w:hAnsi="Arial" w:cs="Arial"/>
                <w:sz w:val="22"/>
                <w:szCs w:val="22"/>
              </w:rPr>
            </w:pPr>
            <w:r>
              <w:rPr>
                <w:rFonts w:cs="Arial" w:ascii="Arial" w:hAnsi="Arial"/>
                <w:sz w:val="22"/>
                <w:szCs w:val="22"/>
              </w:rPr>
              <w:t>2 [ ]  No</w:t>
            </w:r>
          </w:p>
          <w:p>
            <w:pPr>
              <w:pStyle w:val="Normal"/>
              <w:autoSpaceDE w:val="false"/>
              <w:rPr>
                <w:rFonts w:ascii="Arial" w:hAnsi="Arial" w:cs="Arial"/>
                <w:sz w:val="22"/>
                <w:szCs w:val="22"/>
              </w:rPr>
            </w:pPr>
            <w:r>
              <w:rPr>
                <w:rFonts w:cs="Arial" w:ascii="Arial" w:hAnsi="Arial"/>
                <w:sz w:val="22"/>
                <w:szCs w:val="22"/>
              </w:rPr>
              <w:t>7 [ ]  Refused</w:t>
            </w:r>
          </w:p>
          <w:p>
            <w:pPr>
              <w:pStyle w:val="Normal"/>
              <w:autoSpaceDE w:val="false"/>
              <w:rPr>
                <w:rFonts w:ascii="Arial" w:hAnsi="Arial" w:cs="Arial"/>
                <w:sz w:val="22"/>
                <w:szCs w:val="22"/>
              </w:rPr>
            </w:pPr>
            <w:r>
              <w:rPr>
                <w:rFonts w:cs="Arial" w:ascii="Arial" w:hAnsi="Arial"/>
                <w:sz w:val="22"/>
                <w:szCs w:val="22"/>
              </w:rPr>
              <w:t>9 [ ]  Don’t Know</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If the SP answers "Yes," the SP is excluded from the blood draw.</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If SP answers "No" or "Don’t Know," blood is drawn from the SP.</w:t>
            </w:r>
          </w:p>
          <w:p>
            <w:pPr>
              <w:pStyle w:val="Normal"/>
              <w:autoSpaceDE w:val="false"/>
              <w:rPr>
                <w:rFonts w:ascii="Arial" w:hAnsi="Arial" w:cs="Arial"/>
                <w:strike/>
                <w:sz w:val="22"/>
                <w:szCs w:val="22"/>
              </w:rPr>
            </w:pPr>
            <w:r>
              <w:rPr>
                <w:rFonts w:cs="Arial" w:ascii="Arial" w:hAnsi="Arial"/>
                <w:strike/>
                <w:sz w:val="22"/>
                <w:szCs w:val="22"/>
              </w:rPr>
            </w:r>
          </w:p>
          <w:p>
            <w:pPr>
              <w:pStyle w:val="Normal"/>
              <w:autoSpaceDE w:val="false"/>
              <w:rPr>
                <w:rFonts w:ascii="Arial" w:hAnsi="Arial" w:cs="Arial"/>
                <w:b/>
                <w:b/>
                <w:bCs/>
                <w:sz w:val="22"/>
                <w:szCs w:val="22"/>
              </w:rPr>
            </w:pPr>
            <w:r>
              <w:rPr>
                <w:rFonts w:cs="Arial" w:ascii="Arial" w:hAnsi="Arial"/>
                <w:b/>
                <w:bCs/>
                <w:sz w:val="22"/>
                <w:szCs w:val="22"/>
              </w:rPr>
              <w:t xml:space="preserve">Venipuncture Procedures </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sz w:val="22"/>
                <w:szCs w:val="22"/>
              </w:rPr>
            </w:pPr>
            <w:r>
              <w:rPr>
                <w:rFonts w:cs="Arial" w:ascii="Arial" w:hAnsi="Arial"/>
                <w:sz w:val="22"/>
                <w:szCs w:val="22"/>
              </w:rPr>
              <w:t xml:space="preserve">Editor’s Note: Please review chapter 4 of the </w:t>
            </w:r>
            <w:r>
              <w:rPr>
                <w:rFonts w:cs="Arial" w:ascii="Arial" w:hAnsi="Arial"/>
                <w:i/>
                <w:sz w:val="22"/>
                <w:szCs w:val="22"/>
              </w:rPr>
              <w:t>Laboratory Procedures Manual</w:t>
            </w:r>
            <w:r>
              <w:rPr>
                <w:rFonts w:cs="Arial" w:ascii="Arial" w:hAnsi="Arial"/>
                <w:sz w:val="22"/>
                <w:szCs w:val="22"/>
              </w:rPr>
              <w:t xml:space="preserve"> from the 2011-2012 National Health and Nutrition Examination Survey (NHANES) for a full description of phlebotomy procedures. This manual is posted </w:t>
            </w:r>
            <w:hyperlink r:id="rId2">
              <w:r>
                <w:rPr>
                  <w:rStyle w:val="InternetLink"/>
                  <w:rFonts w:cs="Arial" w:ascii="Arial" w:hAnsi="Arial"/>
                  <w:sz w:val="22"/>
                  <w:szCs w:val="22"/>
                </w:rPr>
                <w:t>here</w:t>
              </w:r>
            </w:hyperlink>
            <w:r>
              <w:rPr>
                <w:rFonts w:cs="Arial" w:ascii="Arial" w:hAnsi="Arial"/>
                <w:sz w:val="22"/>
                <w:szCs w:val="22"/>
              </w:rPr>
              <w:t xml:space="preserve">, and is also available at the NHANES website: </w:t>
            </w:r>
            <w:hyperlink r:id="rId3">
              <w:r>
                <w:rPr>
                  <w:rStyle w:val="InternetLink"/>
                  <w:rFonts w:cs="Arial" w:ascii="Arial" w:hAnsi="Arial"/>
                  <w:color w:val="000000"/>
                  <w:sz w:val="22"/>
                  <w:szCs w:val="22"/>
                </w:rPr>
                <w:t>2011-2012 NHANES Laboratory Procedures Manual</w:t>
              </w:r>
            </w:hyperlink>
            <w:r>
              <w:rPr>
                <w:rFonts w:cs="Arial" w:ascii="Arial" w:hAnsi="Arial"/>
                <w:sz w:val="22"/>
                <w:szCs w:val="22"/>
              </w:rPr>
              <w:t>.</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xml:space="preserve">Venipuncture should generally be performed using the median cubital, cephalic, or basilic veins in the left arm unless this arm is unsuitable. If the veins in the left arm are unsuitable, look for suitable veins on the right arm. If the veins in the antecubital space on both arms are not suitable, then look for veins in the forearm or dorsal side of the hand on the left arm/hand and then the right arm/hand. </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t>Recording the Results of the Venipuncture Procedure</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sz w:val="22"/>
                <w:szCs w:val="22"/>
              </w:rPr>
            </w:pPr>
            <w:r>
              <w:rPr>
                <w:rFonts w:cs="Arial" w:ascii="Arial" w:hAnsi="Arial"/>
                <w:sz w:val="22"/>
                <w:szCs w:val="22"/>
              </w:rPr>
              <w:t>Immediately after completing the venipuncture, record the results of the blood draw, the reasons for a tube not being drawn according to the protocol, and any comments about the venipuncture.</w:t>
            </w:r>
          </w:p>
          <w:p>
            <w:pPr>
              <w:pStyle w:val="Normal"/>
              <w:autoSpaceDE w:val="false"/>
              <w:rPr>
                <w:rFonts w:ascii="Arial" w:hAnsi="Arial" w:cs="Arial"/>
                <w:sz w:val="22"/>
                <w:szCs w:val="22"/>
              </w:rPr>
            </w:pPr>
            <w:r>
              <w:rPr>
                <w:rFonts w:cs="Arial" w:ascii="Arial" w:hAnsi="Arial"/>
                <w:sz w:val="22"/>
                <w:szCs w:val="22"/>
              </w:rPr>
            </w:r>
          </w:p>
          <w:p>
            <w:pPr>
              <w:pStyle w:val="NormalWeb"/>
              <w:spacing w:before="0" w:after="0"/>
              <w:rPr>
                <w:rFonts w:ascii="Arial" w:hAnsi="Arial" w:cs="Arial"/>
                <w:sz w:val="22"/>
                <w:szCs w:val="22"/>
              </w:rPr>
            </w:pPr>
            <w:r>
              <w:rPr>
                <w:rStyle w:val="StrongEmphasis"/>
                <w:rFonts w:cs="Arial" w:ascii="Arial" w:hAnsi="Arial"/>
                <w:sz w:val="22"/>
                <w:szCs w:val="22"/>
              </w:rPr>
              <w:t>Blood Processing</w:t>
            </w:r>
          </w:p>
          <w:p>
            <w:pPr>
              <w:pStyle w:val="NormalWeb"/>
              <w:spacing w:before="0" w:after="0"/>
              <w:rPr>
                <w:rFonts w:ascii="Arial" w:hAnsi="Arial" w:cs="Arial"/>
                <w:sz w:val="22"/>
                <w:szCs w:val="22"/>
              </w:rPr>
            </w:pPr>
            <w:r>
              <w:rPr>
                <w:rFonts w:cs="Arial" w:ascii="Arial" w:hAnsi="Arial"/>
                <w:sz w:val="22"/>
                <w:szCs w:val="22"/>
              </w:rPr>
              <w:t xml:space="preserve">Please review chapter 8 of the </w:t>
            </w:r>
            <w:r>
              <w:rPr>
                <w:rFonts w:cs="Arial" w:ascii="Arial" w:hAnsi="Arial"/>
                <w:i/>
                <w:sz w:val="22"/>
                <w:szCs w:val="22"/>
              </w:rPr>
              <w:t>Laboratory Procedures Manual</w:t>
            </w:r>
            <w:r>
              <w:rPr>
                <w:rFonts w:cs="Arial" w:ascii="Arial" w:hAnsi="Arial"/>
                <w:sz w:val="22"/>
                <w:szCs w:val="22"/>
              </w:rPr>
              <w:t xml:space="preserve"> from the National Health and Nutrition Examination Survey 2011-2012 for a full description of blood processing procedures: </w:t>
            </w:r>
            <w:hyperlink r:id="rId4">
              <w:r>
                <w:rPr>
                  <w:rStyle w:val="InternetLink"/>
                  <w:rFonts w:cs="Arial" w:ascii="Arial" w:hAnsi="Arial"/>
                  <w:color w:val="000000"/>
                  <w:sz w:val="22"/>
                  <w:szCs w:val="22"/>
                </w:rPr>
                <w:t>2011-2012 NHANES Laboratory Procedures Manual</w:t>
              </w:r>
            </w:hyperlink>
            <w:r>
              <w:rPr>
                <w:rFonts w:cs="Arial" w:ascii="Arial" w:hAnsi="Arial"/>
                <w:sz w:val="22"/>
                <w:szCs w:val="22"/>
              </w:rPr>
              <w:t>.</w:t>
            </w:r>
          </w:p>
          <w:p>
            <w:pPr>
              <w:pStyle w:val="NormalWeb"/>
              <w:spacing w:before="0" w:after="0"/>
              <w:rPr>
                <w:rFonts w:ascii="Arial" w:hAnsi="Arial" w:cs="Arial"/>
                <w:sz w:val="22"/>
                <w:szCs w:val="22"/>
              </w:rPr>
            </w:pPr>
            <w:r>
              <w:rPr>
                <w:rFonts w:cs="Arial" w:ascii="Arial" w:hAnsi="Arial"/>
                <w:sz w:val="22"/>
                <w:szCs w:val="22"/>
              </w:rPr>
            </w:r>
          </w:p>
          <w:p>
            <w:pPr>
              <w:pStyle w:val="NormalWeb"/>
              <w:numPr>
                <w:ilvl w:val="0"/>
                <w:numId w:val="2"/>
              </w:numPr>
              <w:spacing w:before="0" w:after="0"/>
              <w:rPr>
                <w:rFonts w:ascii="Arial" w:hAnsi="Arial" w:cs="Arial"/>
                <w:sz w:val="22"/>
                <w:szCs w:val="22"/>
              </w:rPr>
            </w:pPr>
            <w:r>
              <w:rPr>
                <w:rFonts w:cs="Arial" w:ascii="Arial" w:hAnsi="Arial"/>
                <w:sz w:val="22"/>
                <w:szCs w:val="22"/>
              </w:rPr>
              <w:t xml:space="preserve">Cell Free hemoglobin analysis on plasma is preferred because hemoglobin is liberated during clotting. </w:t>
            </w:r>
          </w:p>
          <w:p>
            <w:pPr>
              <w:pStyle w:val="NormalWeb"/>
              <w:spacing w:before="0" w:after="0"/>
              <w:ind w:left="720" w:hanging="0"/>
              <w:rPr>
                <w:rFonts w:ascii="Arial" w:hAnsi="Arial" w:cs="Arial"/>
                <w:sz w:val="22"/>
                <w:szCs w:val="22"/>
              </w:rPr>
            </w:pPr>
            <w:r>
              <w:rPr>
                <w:rFonts w:cs="Arial" w:ascii="Arial" w:hAnsi="Arial"/>
                <w:sz w:val="22"/>
                <w:szCs w:val="22"/>
              </w:rPr>
            </w:r>
          </w:p>
          <w:p>
            <w:pPr>
              <w:pStyle w:val="NormalWeb"/>
              <w:numPr>
                <w:ilvl w:val="0"/>
                <w:numId w:val="2"/>
              </w:numPr>
              <w:spacing w:before="0" w:after="0"/>
              <w:rPr>
                <w:rFonts w:ascii="Arial" w:hAnsi="Arial" w:cs="Arial"/>
                <w:sz w:val="22"/>
                <w:szCs w:val="22"/>
              </w:rPr>
            </w:pPr>
            <w:r>
              <w:rPr>
                <w:rFonts w:cs="Arial" w:ascii="Arial" w:hAnsi="Arial"/>
                <w:sz w:val="22"/>
                <w:szCs w:val="22"/>
              </w:rPr>
              <w:t xml:space="preserve">Heparin is the preferred anticoagulant, since EDTA can interfere with the determination of free hemoglobin.  </w:t>
            </w:r>
          </w:p>
          <w:p>
            <w:pPr>
              <w:pStyle w:val="NormalWeb"/>
              <w:spacing w:before="0" w:after="0"/>
              <w:rPr>
                <w:rFonts w:ascii="Arial" w:hAnsi="Arial" w:cs="Arial"/>
                <w:sz w:val="22"/>
                <w:szCs w:val="22"/>
              </w:rPr>
            </w:pPr>
            <w:r>
              <w:rPr>
                <w:rFonts w:cs="Arial" w:ascii="Arial" w:hAnsi="Arial"/>
                <w:sz w:val="22"/>
                <w:szCs w:val="22"/>
              </w:rPr>
            </w:r>
          </w:p>
          <w:p>
            <w:pPr>
              <w:pStyle w:val="NormalWeb"/>
              <w:numPr>
                <w:ilvl w:val="0"/>
                <w:numId w:val="2"/>
              </w:numPr>
              <w:spacing w:before="0" w:after="0"/>
              <w:rPr>
                <w:rFonts w:ascii="Arial" w:hAnsi="Arial" w:cs="Arial"/>
                <w:sz w:val="22"/>
                <w:szCs w:val="22"/>
              </w:rPr>
            </w:pPr>
            <w:r>
              <w:rPr>
                <w:rFonts w:cs="Arial" w:ascii="Arial" w:hAnsi="Arial"/>
                <w:sz w:val="22"/>
                <w:szCs w:val="22"/>
              </w:rPr>
              <w:t>Centrifuge the tube at room temperature to separate the plasma and aliquot into an appropriate storage tube.</w:t>
            </w:r>
          </w:p>
          <w:p>
            <w:pPr>
              <w:pStyle w:val="NormalWeb"/>
              <w:spacing w:before="0" w:after="0"/>
              <w:ind w:left="720" w:hanging="0"/>
              <w:rPr>
                <w:rFonts w:ascii="Arial" w:hAnsi="Arial" w:cs="Arial"/>
                <w:sz w:val="22"/>
                <w:szCs w:val="22"/>
              </w:rPr>
            </w:pPr>
            <w:r>
              <w:rPr>
                <w:rFonts w:cs="Arial" w:ascii="Arial" w:hAnsi="Arial"/>
                <w:sz w:val="22"/>
                <w:szCs w:val="22"/>
              </w:rPr>
            </w:r>
          </w:p>
          <w:p>
            <w:pPr>
              <w:pStyle w:val="NormalWeb"/>
              <w:numPr>
                <w:ilvl w:val="0"/>
                <w:numId w:val="2"/>
              </w:numPr>
              <w:spacing w:before="0" w:after="0"/>
              <w:rPr>
                <w:rFonts w:ascii="Arial" w:hAnsi="Arial" w:cs="Arial"/>
                <w:sz w:val="22"/>
                <w:szCs w:val="22"/>
              </w:rPr>
            </w:pPr>
            <w:r>
              <w:rPr>
                <w:rFonts w:cs="Arial" w:ascii="Arial" w:hAnsi="Arial"/>
                <w:sz w:val="22"/>
                <w:szCs w:val="22"/>
              </w:rPr>
              <w:t>Determine if the plasma is hemolyzed, turbid, lipemic, or icteric. If so, enter a comment to describe the plasma.</w:t>
            </w:r>
          </w:p>
          <w:p>
            <w:pPr>
              <w:pStyle w:val="NormalWeb"/>
              <w:spacing w:before="0" w:after="0"/>
              <w:ind w:left="720" w:hanging="0"/>
              <w:rPr>
                <w:rFonts w:ascii="Arial" w:hAnsi="Arial" w:cs="Arial"/>
                <w:sz w:val="22"/>
                <w:szCs w:val="22"/>
              </w:rPr>
            </w:pPr>
            <w:r>
              <w:rPr>
                <w:rFonts w:cs="Arial" w:ascii="Arial" w:hAnsi="Arial"/>
                <w:sz w:val="22"/>
                <w:szCs w:val="22"/>
              </w:rPr>
            </w:r>
          </w:p>
          <w:p>
            <w:pPr>
              <w:pStyle w:val="NormalWeb"/>
              <w:spacing w:before="0" w:after="0"/>
              <w:rPr/>
            </w:pPr>
            <w:r>
              <w:rPr>
                <w:rFonts w:cs="Arial" w:ascii="Arial" w:hAnsi="Arial"/>
                <w:sz w:val="22"/>
                <w:szCs w:val="22"/>
              </w:rPr>
              <w:t>Pediatric: pre-transfusion &lt;5mg/dL, post-transfusion &lt;10mg/dL</w:t>
            </w:r>
          </w:p>
          <w:p>
            <w:pPr>
              <w:pStyle w:val="NormalWeb"/>
              <w:numPr>
                <w:ilvl w:val="0"/>
                <w:numId w:val="3"/>
              </w:numPr>
              <w:spacing w:before="0" w:after="0"/>
              <w:rPr>
                <w:rStyle w:val="StrongEmphasis"/>
                <w:rFonts w:ascii="Arial" w:hAnsi="Arial" w:cs="Arial"/>
                <w:b w:val="false"/>
                <w:b w:val="false"/>
                <w:bCs w:val="false"/>
                <w:sz w:val="22"/>
                <w:szCs w:val="22"/>
              </w:rPr>
            </w:pPr>
            <w:r>
              <w:rPr>
                <w:rFonts w:cs="Arial" w:ascii="Arial" w:hAnsi="Arial"/>
                <w:sz w:val="22"/>
                <w:szCs w:val="22"/>
              </w:rPr>
              <w:t>Pediatric blood collection – volumes may change depending on the laboratory but volumes as low as 1mL in a green top tube</w:t>
            </w:r>
          </w:p>
          <w:p>
            <w:pPr>
              <w:pStyle w:val="NormalWeb"/>
              <w:spacing w:before="0" w:after="0"/>
              <w:rPr>
                <w:rStyle w:val="StrongEmphasis"/>
                <w:rFonts w:ascii="Arial" w:hAnsi="Arial" w:cs="Arial"/>
                <w:sz w:val="22"/>
                <w:szCs w:val="22"/>
              </w:rPr>
            </w:pPr>
            <w:r>
              <w:rPr/>
            </w:r>
          </w:p>
          <w:p>
            <w:pPr>
              <w:pStyle w:val="NormalWeb"/>
              <w:spacing w:before="0" w:after="0"/>
              <w:rPr>
                <w:rFonts w:ascii="Arial" w:hAnsi="Arial" w:cs="Arial"/>
                <w:sz w:val="22"/>
                <w:szCs w:val="22"/>
              </w:rPr>
            </w:pPr>
            <w:r>
              <w:rPr>
                <w:rStyle w:val="StrongEmphasis"/>
                <w:rFonts w:cs="Arial" w:ascii="Arial" w:hAnsi="Arial"/>
                <w:sz w:val="22"/>
                <w:szCs w:val="22"/>
              </w:rPr>
              <w:t>Laboratory Assay for Cell Free Hemoglobin</w:t>
            </w:r>
          </w:p>
          <w:p>
            <w:pPr>
              <w:pStyle w:val="NormalWeb"/>
              <w:spacing w:before="0" w:after="0"/>
              <w:rPr/>
            </w:pPr>
            <w:r>
              <w:rPr>
                <w:rFonts w:cs="Arial" w:ascii="Arial" w:hAnsi="Arial"/>
                <w:sz w:val="22"/>
                <w:szCs w:val="22"/>
              </w:rPr>
              <w:t xml:space="preserve">The Sickle Cell Disease Cardiovascular, Pulmonary, and Renal Working Group notes that there are a number of different assays and instruments that are appropriate to measure the concentration of cell free hemoglobin. Once an assay is chosen for a particular study, the Working Group recommends that no changes in the protocol be made over the course of the study. To aid comparability, the Working Group recommends that the investigator record the make and manufacturer of equipment used and the repeatability and coefficients of variation for the assay. </w:t>
            </w:r>
          </w:p>
          <w:p>
            <w:pPr>
              <w:pStyle w:val="NormalWeb"/>
              <w:spacing w:before="0" w:after="0"/>
              <w:rPr>
                <w:rFonts w:ascii="Arial" w:hAnsi="Arial" w:cs="Arial"/>
                <w:sz w:val="22"/>
                <w:szCs w:val="22"/>
              </w:rPr>
            </w:pPr>
            <w:r>
              <w:rPr>
                <w:rFonts w:cs="Arial" w:ascii="Arial" w:hAnsi="Arial"/>
                <w:sz w:val="22"/>
                <w:szCs w:val="22"/>
              </w:rPr>
            </w:r>
          </w:p>
          <w:p>
            <w:pPr>
              <w:pStyle w:val="NormalWeb"/>
              <w:spacing w:before="0" w:after="0"/>
              <w:rPr>
                <w:rStyle w:val="StrongEmphasis"/>
                <w:rFonts w:ascii="Arial" w:hAnsi="Arial" w:cs="Arial"/>
                <w:b w:val="false"/>
                <w:b w:val="false"/>
                <w:bCs w:val="false"/>
                <w:sz w:val="22"/>
                <w:szCs w:val="22"/>
              </w:rPr>
            </w:pPr>
            <w:r>
              <w:rPr>
                <w:rStyle w:val="StrongEmphasis"/>
                <w:rFonts w:cs="Arial" w:ascii="Arial" w:hAnsi="Arial"/>
                <w:sz w:val="22"/>
                <w:szCs w:val="22"/>
              </w:rPr>
              <w:t>Reference Ranges for Cell Free Hemoglobin:</w:t>
            </w:r>
          </w:p>
          <w:p>
            <w:pPr>
              <w:pStyle w:val="NormalWeb"/>
              <w:spacing w:before="0" w:after="0"/>
              <w:rPr>
                <w:rStyle w:val="StrongEmphasis"/>
                <w:rFonts w:ascii="Arial" w:hAnsi="Arial" w:cs="Arial"/>
                <w:sz w:val="22"/>
                <w:szCs w:val="22"/>
              </w:rPr>
            </w:pPr>
            <w:r>
              <w:rPr/>
            </w:r>
          </w:p>
          <w:p>
            <w:pPr>
              <w:pStyle w:val="NormalWeb"/>
              <w:spacing w:before="0" w:after="0"/>
              <w:rPr>
                <w:rFonts w:ascii="Arial" w:hAnsi="Arial" w:cs="Arial"/>
                <w:sz w:val="22"/>
                <w:szCs w:val="22"/>
              </w:rPr>
            </w:pPr>
            <w:r>
              <w:rPr>
                <w:rFonts w:cs="Arial" w:ascii="Arial" w:hAnsi="Arial"/>
                <w:sz w:val="22"/>
                <w:szCs w:val="22"/>
              </w:rPr>
              <w:t>For healthy individuals up to 5 mg/dL hemoglobin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Individuals age 1 year and older.</w:t>
            </w:r>
          </w:p>
        </w:tc>
      </w:tr>
      <w:tr>
        <w:trPr>
          <w:trHeight w:val="1837" w:hRule="atLeast"/>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Centers for Disease Control and Prevention (CDC). (2011). </w:t>
            </w:r>
            <w:r>
              <w:rPr>
                <w:rFonts w:cs="Arial" w:ascii="Arial" w:hAnsi="Arial"/>
                <w:i/>
                <w:sz w:val="22"/>
                <w:szCs w:val="22"/>
              </w:rPr>
              <w:t>National Health and Nutrition Examination Survey Questionnaire, Laboratory Procedures Manual</w:t>
            </w:r>
            <w:r>
              <w:rPr>
                <w:rFonts w:cs="Arial" w:ascii="Arial" w:hAnsi="Arial"/>
                <w:sz w:val="22"/>
                <w:szCs w:val="22"/>
              </w:rPr>
              <w:t>. Hyattsville, MD: U.S. Department of Health and Human Services, Centers for Disease Control and Prevention.</w:t>
            </w:r>
          </w:p>
          <w:p>
            <w:pPr>
              <w:pStyle w:val="Normal"/>
              <w:rPr>
                <w:rFonts w:ascii="Arial" w:hAnsi="Arial" w:cs="Arial"/>
                <w:sz w:val="22"/>
                <w:szCs w:val="22"/>
              </w:rPr>
            </w:pPr>
            <w:r>
              <w:rPr>
                <w:rFonts w:cs="Arial" w:ascii="Arial" w:hAnsi="Arial"/>
                <w:sz w:val="22"/>
                <w:szCs w:val="22"/>
              </w:rPr>
            </w:r>
          </w:p>
          <w:p>
            <w:pPr>
              <w:pStyle w:val="NormalWeb"/>
              <w:spacing w:before="0" w:after="0"/>
              <w:rPr>
                <w:rFonts w:ascii="Arial" w:hAnsi="Arial" w:cs="Arial"/>
                <w:sz w:val="22"/>
                <w:szCs w:val="22"/>
              </w:rPr>
            </w:pPr>
            <w:r>
              <w:rPr>
                <w:rFonts w:cs="Arial" w:ascii="Arial" w:hAnsi="Arial"/>
                <w:sz w:val="22"/>
                <w:szCs w:val="22"/>
              </w:rPr>
              <w:t>Children’s Hospital Los Angeles, Laboratory Guide – Lexicomp Online, 2015</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color w:val="000000"/>
                <w:sz w:val="22"/>
                <w:szCs w:val="22"/>
              </w:rPr>
            </w:pPr>
            <w:r>
              <w:rPr>
                <w:rFonts w:cs="Arial" w:ascii="Arial" w:hAnsi="Arial"/>
                <w:sz w:val="22"/>
                <w:szCs w:val="22"/>
              </w:rPr>
              <w:t>Phlebotomist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Laboratory with the ability to perform the cell free hemoglobin assay.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ind w:right="-61" w:hanging="0"/>
              <w:rPr>
                <w:rFonts w:ascii="Arial" w:hAnsi="Arial" w:cs="Arial"/>
                <w:sz w:val="22"/>
                <w:szCs w:val="22"/>
              </w:rPr>
            </w:pPr>
            <w:r>
              <w:rPr>
                <w:rFonts w:cs="Arial" w:ascii="Arial" w:hAnsi="Arial"/>
                <w:sz w:val="22"/>
                <w:szCs w:val="22"/>
              </w:rPr>
              <w:t>Bioassay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ind w:left="-54" w:hanging="0"/>
              <w:rPr>
                <w:rFonts w:ascii="Arial" w:hAnsi="Arial" w:cs="Arial"/>
                <w:sz w:val="22"/>
                <w:szCs w:val="22"/>
              </w:rPr>
            </w:pPr>
            <w:r>
              <w:rPr>
                <w:rFonts w:cs="Arial" w:ascii="Arial" w:hAnsi="Arial"/>
                <w:sz w:val="22"/>
                <w:szCs w:val="22"/>
              </w:rPr>
              <w:t xml:space="preserve">Potoka, K. P. &amp; Gladwin, M. T. (2015). Vasculopathy and pulmonary hypertension in sickle cell disease. </w:t>
            </w:r>
            <w:r>
              <w:rPr>
                <w:rFonts w:cs="Arial" w:ascii="Arial" w:hAnsi="Arial"/>
                <w:i/>
                <w:sz w:val="22"/>
                <w:szCs w:val="22"/>
              </w:rPr>
              <w:t>American Journal of Physiology - Lung Cellular and Molecular Physiology,</w:t>
            </w:r>
            <w:r>
              <w:rPr>
                <w:rFonts w:cs="Arial" w:ascii="Arial" w:hAnsi="Arial"/>
                <w:sz w:val="22"/>
                <w:szCs w:val="22"/>
              </w:rPr>
              <w:t xml:space="preserve"> </w:t>
            </w:r>
            <w:r>
              <w:rPr>
                <w:rFonts w:cs="Arial" w:ascii="Arial" w:hAnsi="Arial"/>
                <w:i/>
                <w:sz w:val="22"/>
                <w:szCs w:val="22"/>
              </w:rPr>
              <w:t>308</w:t>
            </w:r>
            <w:r>
              <w:rPr>
                <w:rFonts w:cs="Arial" w:ascii="Arial" w:hAnsi="Arial"/>
                <w:sz w:val="22"/>
                <w:szCs w:val="22"/>
              </w:rPr>
              <w:t>, L314-L324.</w:t>
            </w:r>
          </w:p>
          <w:p>
            <w:pPr>
              <w:pStyle w:val="Normal"/>
              <w:ind w:left="-54" w:hanging="0"/>
              <w:rPr>
                <w:rFonts w:ascii="Arial" w:hAnsi="Arial" w:cs="Arial"/>
                <w:sz w:val="22"/>
                <w:szCs w:val="22"/>
              </w:rPr>
            </w:pPr>
            <w:r>
              <w:rPr>
                <w:rFonts w:cs="Arial" w:ascii="Arial" w:hAnsi="Arial"/>
                <w:sz w:val="22"/>
                <w:szCs w:val="22"/>
              </w:rPr>
            </w:r>
          </w:p>
          <w:p>
            <w:pPr>
              <w:pStyle w:val="Normal"/>
              <w:ind w:left="-54" w:hanging="0"/>
              <w:rPr/>
            </w:pPr>
            <w:r>
              <w:rPr>
                <w:rFonts w:cs="Arial" w:ascii="Arial" w:hAnsi="Arial"/>
                <w:sz w:val="22"/>
                <w:szCs w:val="22"/>
              </w:rPr>
              <w:t xml:space="preserve">Miller, W. G., Myers, G. L., and Eckfeldt, J. H. (2007). Measurements of Free Hemoglobin and Hemolysis Index: EDTA- or Lithium-Heparinate Plasma? </w:t>
            </w:r>
            <w:r>
              <w:rPr>
                <w:rFonts w:cs="Arial" w:ascii="Arial" w:hAnsi="Arial"/>
                <w:i/>
                <w:iCs/>
                <w:sz w:val="22"/>
                <w:szCs w:val="22"/>
              </w:rPr>
              <w:t xml:space="preserve">Clinical Chemistry </w:t>
            </w:r>
            <w:r>
              <w:rPr>
                <w:rFonts w:cs="Arial" w:ascii="Arial" w:hAnsi="Arial"/>
                <w:sz w:val="22"/>
                <w:szCs w:val="22"/>
              </w:rPr>
              <w:t>53, No. 9, pp. 1717 – 1718.</w:t>
            </w:r>
          </w:p>
          <w:p>
            <w:pPr>
              <w:pStyle w:val="Normal"/>
              <w:ind w:left="-54" w:hanging="0"/>
              <w:rPr>
                <w:rFonts w:ascii="Arial" w:hAnsi="Arial" w:cs="Arial"/>
                <w:sz w:val="22"/>
                <w:szCs w:val="22"/>
              </w:rPr>
            </w:pPr>
            <w:r>
              <w:rPr>
                <w:rFonts w:cs="Arial" w:ascii="Arial" w:hAnsi="Arial"/>
                <w:sz w:val="22"/>
                <w:szCs w:val="22"/>
              </w:rPr>
            </w:r>
          </w:p>
          <w:p>
            <w:pPr>
              <w:pStyle w:val="Normal"/>
              <w:ind w:left="-54" w:hanging="0"/>
              <w:rPr/>
            </w:pPr>
            <w:r>
              <w:rPr>
                <w:rFonts w:cs="Arial" w:ascii="Arial" w:hAnsi="Arial"/>
                <w:sz w:val="22"/>
                <w:szCs w:val="22"/>
              </w:rPr>
              <w:t xml:space="preserve">Nouraie, M., Lee, J. S., Zhang, Y., Kanias, T., Zhao, X., Xiong, Z., Oriss, T. B., Zeng, Q., Kato, G. J., Gibbs, J. S., Hildesheim, M. E., Sachdev, V., Barst, R. J., Machado, R. F., Hassell, K. L., Little, J. A., Schraufnagel, D. E., Krishnamurti, L., Novelli, E., Girgis, R. E., Morris, C.R., Rosenzweig, E. B., Badesch, D. B., Lanzkron, S., Castro, O. L., Goldsmith, J. C., Gordeuk, V. R., Galdwin, M. T., &amp; Walk-PHASST Investigators and Patients. (2013). The relationship between the severity of hemolysis, clinical manifestations and risk of death in 415 patients with sickle cell anemia in the US and Europe. </w:t>
            </w:r>
            <w:r>
              <w:rPr>
                <w:rFonts w:cs="Arial" w:ascii="Arial" w:hAnsi="Arial"/>
                <w:i/>
                <w:sz w:val="22"/>
                <w:szCs w:val="22"/>
              </w:rPr>
              <w:t>Haematologica, 98</w:t>
            </w:r>
            <w:r>
              <w:rPr>
                <w:rFonts w:cs="Arial" w:ascii="Arial" w:hAnsi="Arial"/>
                <w:sz w:val="22"/>
                <w:szCs w:val="22"/>
              </w:rPr>
              <w:t xml:space="preserve">(3), 464-472. </w:t>
            </w:r>
          </w:p>
          <w:p>
            <w:pPr>
              <w:pStyle w:val="Normal"/>
              <w:ind w:left="-54" w:hanging="0"/>
              <w:rPr>
                <w:rFonts w:ascii="Arial" w:hAnsi="Arial" w:cs="Arial"/>
                <w:sz w:val="22"/>
                <w:szCs w:val="22"/>
              </w:rPr>
            </w:pPr>
            <w:r>
              <w:rPr>
                <w:rFonts w:cs="Arial" w:ascii="Arial" w:hAnsi="Arial"/>
                <w:sz w:val="22"/>
                <w:szCs w:val="22"/>
              </w:rPr>
            </w:r>
          </w:p>
          <w:p>
            <w:pPr>
              <w:pStyle w:val="Normal"/>
              <w:ind w:left="-54" w:hanging="0"/>
              <w:rPr>
                <w:rFonts w:ascii="Arial" w:hAnsi="Arial" w:cs="Arial"/>
                <w:sz w:val="22"/>
                <w:szCs w:val="22"/>
              </w:rPr>
            </w:pPr>
            <w:r>
              <w:rPr>
                <w:rFonts w:cs="Arial" w:ascii="Arial" w:hAnsi="Arial"/>
                <w:sz w:val="22"/>
                <w:szCs w:val="22"/>
              </w:rPr>
              <w:t xml:space="preserve">Sachdev, V., Kato, G. J., Gibbs, J. S., Barst, R. J., Machado, R. F., Nouraie, M., Hassell, K. L., Little, J. A., Schraufnagel, D. E., Krishnamurti, L., Novelli, E. M., Girgis, R. E., Morris, C. R., Rosenzweig, E. B., Badesch, D. B., Lanzkron, S., Castro, O. L., Taylor, J. G. 6th, Hannoush, H., Goldsmith, J. C., Gladwin, M. T., Gordeuk, V. R., &amp; Walk-PHASST Investigators. (2011). Echocardiographic markers of elevated pulmonary pressure and left ventricular diastolic dysfunction are associated with exercise intolerance in adults and adolescents with homozygous sickle cell anemia in the United States and United Kingdom. </w:t>
            </w:r>
            <w:r>
              <w:rPr>
                <w:rFonts w:cs="Arial" w:ascii="Arial" w:hAnsi="Arial"/>
                <w:i/>
                <w:sz w:val="22"/>
                <w:szCs w:val="22"/>
              </w:rPr>
              <w:t>Circulation, 124</w:t>
            </w:r>
            <w:r>
              <w:rPr>
                <w:rFonts w:cs="Arial" w:ascii="Arial" w:hAnsi="Arial"/>
                <w:sz w:val="22"/>
                <w:szCs w:val="22"/>
              </w:rPr>
              <w:t>(13), 1452-1460.</w:t>
            </w:r>
          </w:p>
          <w:p>
            <w:pPr>
              <w:pStyle w:val="Normal"/>
              <w:ind w:left="-54" w:hanging="0"/>
              <w:rPr>
                <w:rFonts w:ascii="Arial" w:hAnsi="Arial" w:cs="Arial"/>
                <w:sz w:val="22"/>
                <w:szCs w:val="22"/>
              </w:rPr>
            </w:pPr>
            <w:r>
              <w:rPr>
                <w:rFonts w:cs="Arial" w:ascii="Arial" w:hAnsi="Arial"/>
                <w:sz w:val="22"/>
                <w:szCs w:val="22"/>
              </w:rPr>
            </w:r>
          </w:p>
          <w:p>
            <w:pPr>
              <w:pStyle w:val="Heading1"/>
              <w:spacing w:before="2" w:after="2"/>
              <w:rPr>
                <w:rFonts w:ascii="Arial" w:hAnsi="Arial" w:cs="Arial"/>
                <w:b w:val="false"/>
                <w:b w:val="false"/>
                <w:sz w:val="22"/>
              </w:rPr>
            </w:pPr>
            <w:r>
              <w:rPr>
                <w:rFonts w:cs="Arial" w:ascii="Arial" w:hAnsi="Arial"/>
                <w:sz w:val="22"/>
                <w:szCs w:val="22"/>
              </w:rPr>
              <w:t xml:space="preserve">MedlinePlus: </w:t>
            </w:r>
            <w:hyperlink r:id="rId5">
              <w:r>
                <w:rPr>
                  <w:rStyle w:val="InternetLink"/>
                  <w:rFonts w:cs="Arial" w:ascii="Arial" w:hAnsi="Arial"/>
                  <w:sz w:val="22"/>
                  <w:szCs w:val="22"/>
                </w:rPr>
                <w:t>http://www.nlm.nih.gov/medlineplus/ency/article/003677.htm</w:t>
              </w:r>
            </w:hyperlink>
          </w:p>
        </w:tc>
      </w:tr>
    </w:tbl>
    <w:p>
      <w:pPr>
        <w:pStyle w:val="Normal"/>
        <w:spacing w:before="0" w:after="0"/>
        <w:contextualSpacing/>
        <w:rPr/>
      </w:pPr>
      <w:r>
        <w:rPr/>
      </w:r>
    </w:p>
    <w:sectPr>
      <w:headerReference w:type="default" r:id="rId6"/>
      <w:footerReference w:type="default" r:id="rId7"/>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w:altName w:val="Times New Roman"/>
    <w:charset w:val="00"/>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Footer"/>
      <w:jc w:val="center"/>
      <w:rPr>
        <w:rFonts w:ascii="Arial" w:hAnsi="Arial" w:cs="Arial"/>
        <w:b/>
        <w:b/>
        <w:bCs/>
        <w:sz w:val="20"/>
        <w:szCs w:val="20"/>
      </w:rPr>
    </w:pPr>
    <w:r>
      <w:rPr>
        <w:rFonts w:cs="Arial" w:ascii="Arial" w:hAnsi="Arial"/>
        <w:b/>
        <w:bCs/>
        <w:sz w:val="20"/>
        <w:szCs w:val="20"/>
      </w:rPr>
      <w:t>Cell Free Hemoglobin Level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Sickle Cell Disease: Cardiovascular, Pulmonary, and Renal</w:t>
    </w:r>
  </w:p>
  <w:p>
    <w:pPr>
      <w:pStyle w:val="Normal"/>
      <w:rPr>
        <w:rFonts w:ascii="Arial" w:hAnsi="Arial" w:cs="Arial"/>
        <w:b/>
        <w:b/>
        <w:sz w:val="20"/>
        <w:szCs w:val="20"/>
      </w:rPr>
    </w:pPr>
    <w:r>
      <w:rPr>
        <w:rFonts w:cs="Arial" w:ascii="Arial" w:hAnsi="Arial"/>
        <w:b/>
        <w:sz w:val="20"/>
        <w:szCs w:val="20"/>
      </w:rPr>
      <w:t>Release Date: TBD</w:t>
    </w:r>
  </w:p>
  <w:p>
    <w:pPr>
      <w:pStyle w:val="Normal"/>
      <w:rPr/>
    </w:pPr>
    <w:r>
      <w:rPr>
        <w:rFonts w:cs="Arial" w:ascii="Arial" w:hAnsi="Arial"/>
        <w:b/>
        <w:bCs/>
        <w:sz w:val="20"/>
        <w:szCs w:val="20"/>
      </w:rPr>
      <w:t>Cell Free Hemoglobin Level</w:t>
      <w:tab/>
      <w:tab/>
      <w:tab/>
      <w:tab/>
      <w:tab/>
    </w:r>
  </w:p>
  <w:p>
    <w:pPr>
      <w:pStyle w:val="Header"/>
      <w:rPr>
        <w:rFonts w:ascii="Arial" w:hAnsi="Arial" w:cs="Arial"/>
        <w:b/>
        <w:b/>
        <w:bCs/>
        <w:sz w:val="20"/>
        <w:szCs w:val="20"/>
      </w:rPr>
    </w:pPr>
    <w:r>
      <w:rPr>
        <w:rFonts w:cs="Arial" w:ascii="Arial" w:hAnsi="Arial"/>
        <w:b/>
        <w:b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0"/>
        </w:tabs>
        <w:ind w:left="720" w:hanging="360"/>
      </w:pPr>
      <w:rPr>
        <w:rFonts w:ascii="Arial" w:hAnsi="Arial" w:cs="Arial"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TextBody"/>
    <w:qFormat/>
    <w:pPr>
      <w:numPr>
        <w:ilvl w:val="0"/>
        <w:numId w:val="1"/>
      </w:numPr>
      <w:outlineLvl w:val="0"/>
    </w:pPr>
    <w:rPr>
      <w:rFonts w:ascii="Times" w:hAnsi="Times" w:cs="Times"/>
      <w:b/>
      <w:kern w:val="2"/>
      <w:sz w:val="48"/>
      <w:szCs w:val="20"/>
    </w:rPr>
  </w:style>
  <w:style w:type="character" w:styleId="WW8Num1z0">
    <w:name w:val="WW8Num1z0"/>
    <w:qFormat/>
    <w:rPr/>
  </w:style>
  <w:style w:type="character" w:styleId="WW8Num2z0">
    <w:name w:val="WW8Num2z0"/>
    <w:qFormat/>
    <w:rPr/>
  </w:style>
  <w:style w:type="character" w:styleId="WW8Num3z0">
    <w:name w:val="WW8Num3z0"/>
    <w:qFormat/>
    <w:rPr>
      <w:rFonts w:ascii="Arial" w:hAnsi="Arial" w:eastAsia="Times New Roman" w:cs="Symbol"/>
    </w:rPr>
  </w:style>
  <w:style w:type="character" w:styleId="WW8Num3z1">
    <w:name w:val="WW8Num3z1"/>
    <w:qFormat/>
    <w:rPr>
      <w:rFonts w:ascii="Courier New" w:hAnsi="Courier New" w:cs="Arial"/>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Arial"/>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Arial"/>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Arial"/>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Icon">
    <w:name w:val="icon"/>
    <w:qFormat/>
    <w:rPr/>
  </w:style>
  <w:style w:type="character" w:styleId="Emphasis">
    <w:name w:val="Emphasis"/>
    <w:qFormat/>
    <w:rPr>
      <w:i/>
      <w:iCs/>
    </w:rPr>
  </w:style>
  <w:style w:type="character" w:styleId="Appleconvertedspace">
    <w:name w:val="apple-converted-space"/>
    <w:qFormat/>
    <w:rPr/>
  </w:style>
  <w:style w:type="character" w:styleId="Heading1Char">
    <w:name w:val="Heading 1 Char"/>
    <w:qFormat/>
    <w:rPr>
      <w:rFonts w:ascii="Times" w:hAnsi="Times" w:cs="Times"/>
      <w:b/>
      <w:kern w:val="2"/>
      <w:sz w:val="48"/>
    </w:rPr>
  </w:style>
  <w:style w:type="character" w:styleId="Pseudotab3">
    <w:name w:val="pseudotab3"/>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lang w:val="en-US"/>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ColorfulListAccent1">
    <w:name w:val="Colorful List - Accent 1"/>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ColorfulShadingAccent1">
    <w:name w:val="Colorful Shading - Accent 1"/>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Nomargins">
    <w:name w:val="nomargins"/>
    <w:basedOn w:val="Normal"/>
    <w:qFormat/>
    <w:pPr/>
    <w:rPr>
      <w:rFonts w:ascii="Trebuchet MS" w:hAnsi="Trebuchet MS" w:cs="Trebuchet MS"/>
      <w:color w:val="444444"/>
      <w:sz w:val="20"/>
      <w:szCs w:val="20"/>
    </w:rPr>
  </w:style>
  <w:style w:type="paragraph" w:styleId="ListParagraph">
    <w:name w:val="List Paragraph"/>
    <w:basedOn w:val="Normal"/>
    <w:qFormat/>
    <w:pPr>
      <w:ind w:left="720" w:hanging="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henx.org/Portals/0/phenx-content/Supplements/SickleCell/WG1/DocumentsForReview/Documents_for_Additional_Information/2011-12_Laboratory_Procedures_Manual.pdf" TargetMode="External"/><Relationship Id="rId3" Type="http://schemas.openxmlformats.org/officeDocument/2006/relationships/hyperlink" Target="http://www.cdc.gov/nchs/data/nhanes/nhanes_11_12/2011-12_Laboratory_Procedures_Manual.pdf" TargetMode="External"/><Relationship Id="rId4" Type="http://schemas.openxmlformats.org/officeDocument/2006/relationships/hyperlink" Target="http://www.cdc.gov/nchs/data/nhanes/nhanes_11_12/2011-12_Laboratory_Procedures_Manual.pdf" TargetMode="External"/><Relationship Id="rId5" Type="http://schemas.openxmlformats.org/officeDocument/2006/relationships/hyperlink" Target="http://www.nlm.nih.gov/medlineplus/ency/article/003677.ht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2015-07-22T17:58:00Z</dcterms:created>
  <dc:creator>whuggins</dc:creator>
  <dc:description/>
  <cp:keywords/>
  <dc:language>en-US</dc:language>
  <cp:lastModifiedBy>Grant, Tracey</cp:lastModifiedBy>
  <cp:lastPrinted>2015-05-07T11:02:00Z</cp:lastPrinted>
  <dcterms:modified xsi:type="dcterms:W3CDTF">2015-07-22T17:58:00Z</dcterms:modified>
  <cp:revision>2</cp:revision>
  <dc:subject/>
  <dc:title/>
</cp:coreProperties>
</file>