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D89E" w14:textId="77777777" w:rsidR="003F496E" w:rsidRPr="00981EE2" w:rsidRDefault="003F496E" w:rsidP="00154EFB">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BA3E27" w:rsidRPr="00981EE2" w14:paraId="1D843F63" w14:textId="77777777" w:rsidTr="477BFD1A">
        <w:trPr>
          <w:trHeight w:val="479"/>
        </w:trPr>
        <w:tc>
          <w:tcPr>
            <w:tcW w:w="10940" w:type="dxa"/>
            <w:gridSpan w:val="2"/>
          </w:tcPr>
          <w:p w14:paraId="2F0CFF17" w14:textId="77777777" w:rsidR="00BA3E27" w:rsidRPr="00981EE2" w:rsidRDefault="00BA3E27" w:rsidP="00154EFB">
            <w:pPr>
              <w:jc w:val="center"/>
              <w:rPr>
                <w:rFonts w:ascii="Arial" w:hAnsi="Arial" w:cs="Arial"/>
                <w:b/>
                <w:sz w:val="22"/>
                <w:szCs w:val="22"/>
              </w:rPr>
            </w:pPr>
          </w:p>
          <w:p w14:paraId="20A2D918" w14:textId="0532036C" w:rsidR="00BA3E27" w:rsidRPr="00981EE2" w:rsidRDefault="0007791C" w:rsidP="00154EFB">
            <w:pPr>
              <w:jc w:val="center"/>
              <w:rPr>
                <w:rFonts w:ascii="Arial" w:hAnsi="Arial" w:cs="Arial"/>
                <w:b/>
                <w:sz w:val="22"/>
                <w:szCs w:val="22"/>
              </w:rPr>
            </w:pPr>
            <w:r w:rsidRPr="00981EE2">
              <w:rPr>
                <w:rFonts w:ascii="Arial" w:hAnsi="Arial" w:cs="Arial"/>
                <w:b/>
                <w:sz w:val="22"/>
                <w:szCs w:val="22"/>
              </w:rPr>
              <w:t>About the Measure</w:t>
            </w:r>
          </w:p>
          <w:p w14:paraId="226F28FD" w14:textId="77777777" w:rsidR="00BA3E27" w:rsidRPr="00981EE2" w:rsidRDefault="00BA3E27" w:rsidP="00154EFB">
            <w:pPr>
              <w:rPr>
                <w:rFonts w:ascii="Arial" w:hAnsi="Arial" w:cs="Arial"/>
                <w:sz w:val="22"/>
                <w:szCs w:val="22"/>
              </w:rPr>
            </w:pPr>
          </w:p>
        </w:tc>
      </w:tr>
      <w:tr w:rsidR="00BA3E27" w:rsidRPr="00981EE2" w14:paraId="140104E6" w14:textId="77777777" w:rsidTr="00EF704C">
        <w:trPr>
          <w:trHeight w:val="58"/>
        </w:trPr>
        <w:tc>
          <w:tcPr>
            <w:tcW w:w="2245" w:type="dxa"/>
            <w:tcBorders>
              <w:bottom w:val="single" w:sz="4" w:space="0" w:color="auto"/>
            </w:tcBorders>
            <w:shd w:val="clear" w:color="auto" w:fill="D9D9D9"/>
          </w:tcPr>
          <w:p w14:paraId="75808BC2" w14:textId="77777777" w:rsidR="009A76F2" w:rsidRPr="009A76F2" w:rsidRDefault="00F9334E" w:rsidP="009A76F2">
            <w:pPr>
              <w:rPr>
                <w:rFonts w:ascii="Arial" w:hAnsi="Arial" w:cs="Arial"/>
                <w:b/>
                <w:sz w:val="22"/>
                <w:szCs w:val="22"/>
              </w:rPr>
            </w:pPr>
            <w:r w:rsidRPr="00981EE2">
              <w:rPr>
                <w:rFonts w:ascii="Arial" w:hAnsi="Arial" w:cs="Arial"/>
                <w:b/>
                <w:sz w:val="22"/>
                <w:szCs w:val="22"/>
              </w:rPr>
              <w:t>Domain</w:t>
            </w:r>
            <w:r w:rsidR="00037186" w:rsidRPr="00981EE2">
              <w:rPr>
                <w:rFonts w:ascii="Arial" w:hAnsi="Arial" w:cs="Arial"/>
                <w:b/>
                <w:sz w:val="22"/>
                <w:szCs w:val="22"/>
              </w:rPr>
              <w:t>:</w:t>
            </w:r>
          </w:p>
        </w:tc>
        <w:tc>
          <w:tcPr>
            <w:tcW w:w="8695" w:type="dxa"/>
          </w:tcPr>
          <w:p w14:paraId="5F7E86AA" w14:textId="06D3B766" w:rsidR="006C41DD" w:rsidRPr="00981EE2" w:rsidRDefault="003F0E7F" w:rsidP="00154EFB">
            <w:pPr>
              <w:rPr>
                <w:rFonts w:ascii="Arial" w:hAnsi="Arial" w:cs="Arial"/>
                <w:sz w:val="22"/>
                <w:szCs w:val="22"/>
              </w:rPr>
            </w:pPr>
            <w:r>
              <w:rPr>
                <w:rFonts w:ascii="Arial" w:hAnsi="Arial" w:cs="Arial"/>
                <w:sz w:val="22"/>
                <w:szCs w:val="22"/>
              </w:rPr>
              <w:t>Sickle Cell Disease Pain</w:t>
            </w:r>
          </w:p>
        </w:tc>
      </w:tr>
      <w:tr w:rsidR="00BA3E27" w:rsidRPr="00981EE2" w14:paraId="11AA9483" w14:textId="77777777" w:rsidTr="477BFD1A">
        <w:trPr>
          <w:trHeight w:val="58"/>
        </w:trPr>
        <w:tc>
          <w:tcPr>
            <w:tcW w:w="2245" w:type="dxa"/>
            <w:tcBorders>
              <w:bottom w:val="single" w:sz="4" w:space="0" w:color="auto"/>
            </w:tcBorders>
            <w:shd w:val="clear" w:color="auto" w:fill="auto"/>
          </w:tcPr>
          <w:p w14:paraId="06259691" w14:textId="77777777" w:rsidR="00BA3E27" w:rsidRPr="00981EE2" w:rsidRDefault="00F9334E" w:rsidP="0038448E">
            <w:pPr>
              <w:rPr>
                <w:rFonts w:ascii="Arial" w:hAnsi="Arial" w:cs="Arial"/>
                <w:b/>
                <w:sz w:val="22"/>
                <w:szCs w:val="22"/>
              </w:rPr>
            </w:pPr>
            <w:r w:rsidRPr="00981EE2">
              <w:rPr>
                <w:rFonts w:ascii="Arial" w:hAnsi="Arial" w:cs="Arial"/>
                <w:b/>
                <w:sz w:val="22"/>
                <w:szCs w:val="22"/>
              </w:rPr>
              <w:t>Measure</w:t>
            </w:r>
            <w:r w:rsidR="00037186" w:rsidRPr="00981EE2">
              <w:rPr>
                <w:rFonts w:ascii="Arial" w:hAnsi="Arial" w:cs="Arial"/>
                <w:b/>
                <w:sz w:val="22"/>
                <w:szCs w:val="22"/>
              </w:rPr>
              <w:t>:</w:t>
            </w:r>
          </w:p>
        </w:tc>
        <w:tc>
          <w:tcPr>
            <w:tcW w:w="8695" w:type="dxa"/>
          </w:tcPr>
          <w:p w14:paraId="6B0DF631" w14:textId="626A2027" w:rsidR="006C41DD" w:rsidRPr="00981EE2" w:rsidRDefault="009052FA" w:rsidP="005F2503">
            <w:pPr>
              <w:rPr>
                <w:rFonts w:ascii="Arial" w:hAnsi="Arial" w:cs="Arial"/>
                <w:sz w:val="22"/>
                <w:szCs w:val="22"/>
              </w:rPr>
            </w:pPr>
            <w:r>
              <w:rPr>
                <w:rFonts w:ascii="Arial" w:hAnsi="Arial" w:cs="Arial"/>
                <w:sz w:val="22"/>
                <w:szCs w:val="22"/>
              </w:rPr>
              <w:t>Treatment Response: Medication Use</w:t>
            </w:r>
          </w:p>
        </w:tc>
      </w:tr>
      <w:tr w:rsidR="00BA3E27" w:rsidRPr="00981EE2" w14:paraId="594686FB" w14:textId="77777777" w:rsidTr="00EF704C">
        <w:trPr>
          <w:trHeight w:val="58"/>
        </w:trPr>
        <w:tc>
          <w:tcPr>
            <w:tcW w:w="2245" w:type="dxa"/>
            <w:shd w:val="clear" w:color="auto" w:fill="D9D9D9"/>
          </w:tcPr>
          <w:p w14:paraId="58102FD8" w14:textId="77777777" w:rsidR="00A14486" w:rsidRPr="00981EE2" w:rsidRDefault="00055008" w:rsidP="0038448E">
            <w:pPr>
              <w:rPr>
                <w:rFonts w:ascii="Arial" w:hAnsi="Arial" w:cs="Arial"/>
                <w:b/>
                <w:sz w:val="22"/>
                <w:szCs w:val="22"/>
              </w:rPr>
            </w:pPr>
            <w:r w:rsidRPr="00981EE2">
              <w:rPr>
                <w:rFonts w:ascii="Arial" w:hAnsi="Arial" w:cs="Arial"/>
                <w:b/>
                <w:sz w:val="22"/>
                <w:szCs w:val="22"/>
              </w:rPr>
              <w:t>Definition</w:t>
            </w:r>
            <w:r w:rsidR="009A76F2">
              <w:rPr>
                <w:rFonts w:ascii="Arial" w:hAnsi="Arial" w:cs="Arial"/>
                <w:b/>
                <w:sz w:val="22"/>
                <w:szCs w:val="22"/>
              </w:rPr>
              <w:t>:</w:t>
            </w:r>
          </w:p>
        </w:tc>
        <w:tc>
          <w:tcPr>
            <w:tcW w:w="8695" w:type="dxa"/>
          </w:tcPr>
          <w:p w14:paraId="00084B89" w14:textId="19661C42" w:rsidR="00A354B0" w:rsidRPr="00981EE2" w:rsidRDefault="000A4C7C" w:rsidP="00443256">
            <w:pPr>
              <w:autoSpaceDE w:val="0"/>
              <w:autoSpaceDN w:val="0"/>
              <w:adjustRightInd w:val="0"/>
              <w:rPr>
                <w:rFonts w:ascii="Arial" w:hAnsi="Arial" w:cs="Arial"/>
                <w:b/>
                <w:bCs/>
                <w:sz w:val="22"/>
                <w:szCs w:val="22"/>
                <w:u w:val="single"/>
              </w:rPr>
            </w:pPr>
            <w:r>
              <w:rPr>
                <w:rFonts w:ascii="Arial" w:hAnsi="Arial" w:cs="Arial"/>
                <w:sz w:val="22"/>
                <w:szCs w:val="22"/>
              </w:rPr>
              <w:t xml:space="preserve">The </w:t>
            </w:r>
            <w:r w:rsidR="007D7A78">
              <w:rPr>
                <w:rFonts w:ascii="Arial" w:hAnsi="Arial" w:cs="Arial"/>
                <w:sz w:val="22"/>
                <w:szCs w:val="22"/>
              </w:rPr>
              <w:t>clinical response to treatment as measured by medication use</w:t>
            </w:r>
            <w:r w:rsidR="7F96854D" w:rsidRPr="477BFD1A">
              <w:rPr>
                <w:rFonts w:ascii="Arial" w:hAnsi="Arial" w:cs="Arial"/>
                <w:sz w:val="22"/>
                <w:szCs w:val="22"/>
              </w:rPr>
              <w:t>.</w:t>
            </w:r>
          </w:p>
        </w:tc>
      </w:tr>
      <w:tr w:rsidR="00366447" w:rsidRPr="00981EE2" w14:paraId="0CB441C5" w14:textId="77777777" w:rsidTr="477BFD1A">
        <w:trPr>
          <w:trHeight w:val="58"/>
        </w:trPr>
        <w:tc>
          <w:tcPr>
            <w:tcW w:w="2245" w:type="dxa"/>
          </w:tcPr>
          <w:p w14:paraId="01B53E94" w14:textId="77777777" w:rsidR="00A02104" w:rsidRPr="00981EE2" w:rsidRDefault="00366447" w:rsidP="00154EFB">
            <w:pPr>
              <w:rPr>
                <w:rFonts w:ascii="Arial" w:hAnsi="Arial" w:cs="Arial"/>
                <w:b/>
                <w:sz w:val="22"/>
                <w:szCs w:val="22"/>
              </w:rPr>
            </w:pPr>
            <w:r w:rsidRPr="00981EE2">
              <w:rPr>
                <w:rFonts w:ascii="Arial" w:hAnsi="Arial" w:cs="Arial"/>
                <w:b/>
                <w:sz w:val="22"/>
                <w:szCs w:val="22"/>
              </w:rPr>
              <w:t>Purpose</w:t>
            </w:r>
            <w:r w:rsidR="00037186" w:rsidRPr="00981EE2">
              <w:rPr>
                <w:rFonts w:ascii="Arial" w:hAnsi="Arial" w:cs="Arial"/>
                <w:b/>
                <w:sz w:val="22"/>
                <w:szCs w:val="22"/>
              </w:rPr>
              <w:t>:</w:t>
            </w:r>
          </w:p>
        </w:tc>
        <w:tc>
          <w:tcPr>
            <w:tcW w:w="8695" w:type="dxa"/>
          </w:tcPr>
          <w:p w14:paraId="212E6A64" w14:textId="1FE14E20" w:rsidR="00F63900" w:rsidRPr="00981EE2" w:rsidRDefault="211A1D94" w:rsidP="005F2503">
            <w:pPr>
              <w:rPr>
                <w:rFonts w:ascii="Arial" w:hAnsi="Arial" w:cs="Arial"/>
                <w:sz w:val="22"/>
                <w:szCs w:val="22"/>
              </w:rPr>
            </w:pPr>
            <w:r w:rsidRPr="477BFD1A">
              <w:rPr>
                <w:rFonts w:ascii="Arial" w:hAnsi="Arial" w:cs="Arial"/>
                <w:sz w:val="22"/>
                <w:szCs w:val="22"/>
              </w:rPr>
              <w:t>Th</w:t>
            </w:r>
            <w:r w:rsidR="7F96854D" w:rsidRPr="477BFD1A">
              <w:rPr>
                <w:rFonts w:ascii="Arial" w:hAnsi="Arial" w:cs="Arial"/>
                <w:sz w:val="22"/>
                <w:szCs w:val="22"/>
              </w:rPr>
              <w:t xml:space="preserve">is measure </w:t>
            </w:r>
            <w:r w:rsidR="0FD4E9A5" w:rsidRPr="477BFD1A">
              <w:rPr>
                <w:rFonts w:ascii="Arial" w:hAnsi="Arial" w:cs="Arial"/>
                <w:sz w:val="22"/>
                <w:szCs w:val="22"/>
              </w:rPr>
              <w:t>enables clinicians to</w:t>
            </w:r>
            <w:r w:rsidR="13CBC046" w:rsidRPr="477BFD1A">
              <w:rPr>
                <w:rFonts w:ascii="Arial" w:hAnsi="Arial" w:cs="Arial"/>
                <w:sz w:val="22"/>
                <w:szCs w:val="22"/>
              </w:rPr>
              <w:t xml:space="preserve"> use </w:t>
            </w:r>
            <w:r w:rsidR="55E23976" w:rsidRPr="477BFD1A">
              <w:rPr>
                <w:rFonts w:ascii="Arial" w:hAnsi="Arial" w:cs="Arial"/>
                <w:sz w:val="22"/>
                <w:szCs w:val="22"/>
              </w:rPr>
              <w:t>outcomes</w:t>
            </w:r>
            <w:r w:rsidR="13CBC046" w:rsidRPr="477BFD1A">
              <w:rPr>
                <w:rFonts w:ascii="Arial" w:hAnsi="Arial" w:cs="Arial"/>
                <w:sz w:val="22"/>
                <w:szCs w:val="22"/>
              </w:rPr>
              <w:t xml:space="preserve"> to</w:t>
            </w:r>
            <w:r w:rsidR="0FD4E9A5" w:rsidRPr="477BFD1A">
              <w:rPr>
                <w:rFonts w:ascii="Arial" w:hAnsi="Arial" w:cs="Arial"/>
                <w:sz w:val="22"/>
                <w:szCs w:val="22"/>
              </w:rPr>
              <w:t xml:space="preserve"> investigate</w:t>
            </w:r>
            <w:r w:rsidR="68A15941" w:rsidRPr="477BFD1A">
              <w:rPr>
                <w:rFonts w:ascii="Arial" w:hAnsi="Arial" w:cs="Arial"/>
                <w:sz w:val="22"/>
                <w:szCs w:val="22"/>
              </w:rPr>
              <w:t xml:space="preserve"> </w:t>
            </w:r>
            <w:r w:rsidR="2E02C676" w:rsidRPr="477BFD1A">
              <w:rPr>
                <w:rFonts w:ascii="Arial" w:hAnsi="Arial" w:cs="Arial"/>
                <w:sz w:val="22"/>
                <w:szCs w:val="22"/>
              </w:rPr>
              <w:t xml:space="preserve">how a patient is </w:t>
            </w:r>
            <w:r w:rsidR="18297DA6" w:rsidRPr="477BFD1A">
              <w:rPr>
                <w:rFonts w:ascii="Arial" w:hAnsi="Arial" w:cs="Arial"/>
                <w:sz w:val="22"/>
                <w:szCs w:val="22"/>
              </w:rPr>
              <w:t>responding to</w:t>
            </w:r>
            <w:r w:rsidRPr="477BFD1A">
              <w:rPr>
                <w:rFonts w:ascii="Arial" w:hAnsi="Arial" w:cs="Arial"/>
                <w:sz w:val="22"/>
                <w:szCs w:val="22"/>
              </w:rPr>
              <w:t xml:space="preserve"> </w:t>
            </w:r>
            <w:r w:rsidR="73EF8A44" w:rsidRPr="477BFD1A">
              <w:rPr>
                <w:rFonts w:ascii="Arial" w:hAnsi="Arial" w:cs="Arial"/>
                <w:sz w:val="22"/>
                <w:szCs w:val="22"/>
              </w:rPr>
              <w:t>treatment</w:t>
            </w:r>
            <w:r w:rsidR="55E23976" w:rsidRPr="477BFD1A">
              <w:rPr>
                <w:rFonts w:ascii="Arial" w:hAnsi="Arial" w:cs="Arial"/>
                <w:sz w:val="22"/>
                <w:szCs w:val="22"/>
              </w:rPr>
              <w:t>.</w:t>
            </w:r>
          </w:p>
        </w:tc>
      </w:tr>
      <w:tr w:rsidR="004C6528" w:rsidRPr="00981EE2" w14:paraId="0E54DC53" w14:textId="77777777" w:rsidTr="00EF704C">
        <w:trPr>
          <w:trHeight w:val="107"/>
        </w:trPr>
        <w:tc>
          <w:tcPr>
            <w:tcW w:w="2245" w:type="dxa"/>
            <w:shd w:val="clear" w:color="auto" w:fill="D9D9D9"/>
          </w:tcPr>
          <w:p w14:paraId="7A4BD8F6" w14:textId="77777777" w:rsidR="004C6528" w:rsidRPr="00981EE2" w:rsidRDefault="004C6528" w:rsidP="415D4811">
            <w:pPr>
              <w:rPr>
                <w:rFonts w:ascii="Arial" w:hAnsi="Arial" w:cs="Arial"/>
                <w:b/>
                <w:bCs/>
                <w:sz w:val="22"/>
                <w:szCs w:val="22"/>
              </w:rPr>
            </w:pPr>
            <w:r w:rsidRPr="415D4811">
              <w:rPr>
                <w:rFonts w:ascii="Arial" w:hAnsi="Arial" w:cs="Arial"/>
                <w:b/>
                <w:bCs/>
                <w:sz w:val="22"/>
                <w:szCs w:val="22"/>
              </w:rPr>
              <w:t xml:space="preserve">Essential </w:t>
            </w:r>
            <w:r w:rsidR="00932760" w:rsidRPr="415D4811">
              <w:rPr>
                <w:rFonts w:ascii="Arial" w:hAnsi="Arial" w:cs="Arial"/>
                <w:b/>
                <w:bCs/>
                <w:sz w:val="22"/>
                <w:szCs w:val="22"/>
              </w:rPr>
              <w:t xml:space="preserve">PhenX </w:t>
            </w:r>
            <w:r w:rsidRPr="415D4811">
              <w:rPr>
                <w:rFonts w:ascii="Arial" w:hAnsi="Arial" w:cs="Arial"/>
                <w:b/>
                <w:bCs/>
                <w:sz w:val="22"/>
                <w:szCs w:val="22"/>
              </w:rPr>
              <w:t>Measures:</w:t>
            </w:r>
          </w:p>
        </w:tc>
        <w:tc>
          <w:tcPr>
            <w:tcW w:w="8695" w:type="dxa"/>
          </w:tcPr>
          <w:p w14:paraId="4ACF50A0" w14:textId="2FE3C0AA" w:rsidR="004C6528" w:rsidRPr="00557A39" w:rsidRDefault="00F41D2D" w:rsidP="003F022E">
            <w:pPr>
              <w:rPr>
                <w:rFonts w:ascii="Arial" w:hAnsi="Arial" w:cs="Arial"/>
                <w:sz w:val="22"/>
                <w:szCs w:val="22"/>
              </w:rPr>
            </w:pPr>
            <w:r w:rsidRPr="0093141B">
              <w:rPr>
                <w:rFonts w:ascii="Arial" w:hAnsi="Arial" w:cs="Arial"/>
                <w:sz w:val="22"/>
                <w:szCs w:val="22"/>
              </w:rPr>
              <w:t>Medication Inventory</w:t>
            </w:r>
            <w:r w:rsidR="00803A58">
              <w:rPr>
                <w:rFonts w:ascii="Arial" w:hAnsi="Arial" w:cs="Arial"/>
                <w:sz w:val="22"/>
                <w:szCs w:val="22"/>
              </w:rPr>
              <w:t xml:space="preserve"> [</w:t>
            </w:r>
            <w:r w:rsidR="00803A58" w:rsidRPr="00803A58">
              <w:rPr>
                <w:rFonts w:ascii="Arial" w:hAnsi="Arial" w:cs="Arial"/>
                <w:sz w:val="22"/>
                <w:szCs w:val="22"/>
              </w:rPr>
              <w:t>140301</w:t>
            </w:r>
            <w:r w:rsidR="00803A58">
              <w:rPr>
                <w:rFonts w:ascii="Arial" w:hAnsi="Arial" w:cs="Arial"/>
                <w:sz w:val="22"/>
                <w:szCs w:val="22"/>
              </w:rPr>
              <w:t>]</w:t>
            </w:r>
          </w:p>
        </w:tc>
      </w:tr>
      <w:tr w:rsidR="004C6528" w:rsidRPr="00981EE2" w14:paraId="79A4FCB6" w14:textId="77777777" w:rsidTr="477BFD1A">
        <w:trPr>
          <w:trHeight w:val="58"/>
        </w:trPr>
        <w:tc>
          <w:tcPr>
            <w:tcW w:w="2245" w:type="dxa"/>
          </w:tcPr>
          <w:p w14:paraId="68951997" w14:textId="77777777" w:rsidR="004C6528" w:rsidRPr="00981EE2" w:rsidRDefault="004C6528" w:rsidP="0038448E">
            <w:pPr>
              <w:rPr>
                <w:rFonts w:ascii="Arial" w:hAnsi="Arial" w:cs="Arial"/>
                <w:b/>
                <w:sz w:val="22"/>
                <w:szCs w:val="22"/>
              </w:rPr>
            </w:pPr>
            <w:r w:rsidRPr="00981EE2">
              <w:rPr>
                <w:rFonts w:ascii="Arial" w:hAnsi="Arial" w:cs="Arial"/>
                <w:b/>
                <w:sz w:val="22"/>
                <w:szCs w:val="22"/>
              </w:rPr>
              <w:t>Related PhenX Measures:</w:t>
            </w:r>
          </w:p>
        </w:tc>
        <w:tc>
          <w:tcPr>
            <w:tcW w:w="8695" w:type="dxa"/>
          </w:tcPr>
          <w:p w14:paraId="3B03B3F6" w14:textId="36C48A17" w:rsidR="004C6528" w:rsidRPr="00557A39" w:rsidRDefault="001C3295" w:rsidP="004C6528">
            <w:pPr>
              <w:rPr>
                <w:rFonts w:ascii="Arial" w:hAnsi="Arial" w:cs="Arial"/>
                <w:sz w:val="22"/>
                <w:szCs w:val="22"/>
              </w:rPr>
            </w:pPr>
            <w:r w:rsidRPr="0093141B">
              <w:rPr>
                <w:rFonts w:ascii="Arial" w:hAnsi="Arial" w:cs="Arial"/>
                <w:sz w:val="22"/>
                <w:szCs w:val="22"/>
              </w:rPr>
              <w:t>Substances - Lifetime Use</w:t>
            </w:r>
            <w:r w:rsidR="002B37DC">
              <w:rPr>
                <w:rFonts w:ascii="Arial" w:hAnsi="Arial" w:cs="Arial"/>
                <w:sz w:val="22"/>
                <w:szCs w:val="22"/>
              </w:rPr>
              <w:t xml:space="preserve"> [</w:t>
            </w:r>
            <w:r w:rsidR="002B37DC" w:rsidRPr="002B37DC">
              <w:rPr>
                <w:rFonts w:ascii="Arial" w:hAnsi="Arial" w:cs="Arial"/>
                <w:sz w:val="22"/>
                <w:szCs w:val="22"/>
              </w:rPr>
              <w:t>31102</w:t>
            </w:r>
            <w:r w:rsidR="002B37DC">
              <w:rPr>
                <w:rFonts w:ascii="Arial" w:hAnsi="Arial" w:cs="Arial"/>
                <w:sz w:val="22"/>
                <w:szCs w:val="22"/>
              </w:rPr>
              <w:t>]</w:t>
            </w:r>
          </w:p>
          <w:p w14:paraId="181BB2BF" w14:textId="77777777" w:rsidR="004C6528" w:rsidRPr="00557A39" w:rsidRDefault="004C6528" w:rsidP="004C6528">
            <w:pPr>
              <w:rPr>
                <w:rFonts w:ascii="Arial" w:hAnsi="Arial" w:cs="Arial"/>
                <w:b/>
                <w:bCs/>
                <w:sz w:val="22"/>
                <w:szCs w:val="22"/>
                <w:u w:val="single"/>
              </w:rPr>
            </w:pPr>
          </w:p>
        </w:tc>
      </w:tr>
      <w:tr w:rsidR="004C6528" w:rsidRPr="00981EE2" w14:paraId="5B813382" w14:textId="77777777" w:rsidTr="00EF704C">
        <w:trPr>
          <w:trHeight w:val="71"/>
        </w:trPr>
        <w:tc>
          <w:tcPr>
            <w:tcW w:w="2245" w:type="dxa"/>
            <w:shd w:val="clear" w:color="auto" w:fill="D9D9D9"/>
          </w:tcPr>
          <w:p w14:paraId="497FBC37" w14:textId="77777777" w:rsidR="004C6528" w:rsidRPr="00981EE2" w:rsidRDefault="004C6528" w:rsidP="004C6528">
            <w:pPr>
              <w:rPr>
                <w:rFonts w:ascii="Arial" w:hAnsi="Arial" w:cs="Arial"/>
                <w:b/>
                <w:sz w:val="22"/>
                <w:szCs w:val="22"/>
              </w:rPr>
            </w:pPr>
            <w:r>
              <w:rPr>
                <w:rFonts w:ascii="Arial" w:hAnsi="Arial" w:cs="Arial"/>
                <w:b/>
                <w:sz w:val="22"/>
                <w:szCs w:val="22"/>
              </w:rPr>
              <w:t>Measure Release Date:</w:t>
            </w:r>
          </w:p>
        </w:tc>
        <w:tc>
          <w:tcPr>
            <w:tcW w:w="8695" w:type="dxa"/>
          </w:tcPr>
          <w:p w14:paraId="44646B9D" w14:textId="5F7ECA13" w:rsidR="004C6528" w:rsidRPr="00981EE2" w:rsidRDefault="00167C79" w:rsidP="004C6528">
            <w:pPr>
              <w:rPr>
                <w:rFonts w:ascii="Arial" w:hAnsi="Arial" w:cs="Arial"/>
                <w:b/>
                <w:bCs/>
                <w:sz w:val="22"/>
                <w:szCs w:val="22"/>
                <w:u w:val="single"/>
              </w:rPr>
            </w:pPr>
            <w:r>
              <w:rPr>
                <w:rFonts w:ascii="Arial" w:hAnsi="Arial" w:cs="Arial"/>
                <w:sz w:val="22"/>
                <w:szCs w:val="22"/>
              </w:rPr>
              <w:t>Not Applicable</w:t>
            </w:r>
          </w:p>
        </w:tc>
      </w:tr>
    </w:tbl>
    <w:p w14:paraId="06A1FB64" w14:textId="77777777" w:rsidR="008B4EA6" w:rsidRPr="00981EE2" w:rsidRDefault="008B4EA6" w:rsidP="00154EFB">
      <w:pPr>
        <w:rPr>
          <w:rFonts w:ascii="Arial" w:hAnsi="Arial" w:cs="Arial"/>
          <w:sz w:val="22"/>
          <w:szCs w:val="22"/>
        </w:rPr>
      </w:pPr>
    </w:p>
    <w:p w14:paraId="0F35D3CB" w14:textId="77777777" w:rsidR="008B4EA6" w:rsidRPr="00981EE2" w:rsidRDefault="008B4EA6" w:rsidP="00154EFB">
      <w:pPr>
        <w:rPr>
          <w:rFonts w:ascii="Arial" w:hAnsi="Arial" w:cs="Arial"/>
          <w:sz w:val="22"/>
          <w:szCs w:val="22"/>
        </w:rPr>
      </w:pPr>
    </w:p>
    <w:p w14:paraId="1F0AC985" w14:textId="77777777" w:rsidR="003F496E" w:rsidRPr="00981EE2" w:rsidRDefault="003F496E" w:rsidP="00154EFB">
      <w:pPr>
        <w:rPr>
          <w:rFonts w:ascii="Arial" w:hAnsi="Arial" w:cs="Arial"/>
          <w:b/>
          <w:sz w:val="22"/>
          <w:szCs w:val="22"/>
        </w:rPr>
      </w:pPr>
    </w:p>
    <w:tbl>
      <w:tblPr>
        <w:tblW w:w="11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9939"/>
      </w:tblGrid>
      <w:tr w:rsidR="003F496E" w:rsidRPr="00981EE2" w14:paraId="7A586BB5" w14:textId="77777777" w:rsidTr="00516736">
        <w:trPr>
          <w:trHeight w:val="420"/>
          <w:jc w:val="center"/>
        </w:trPr>
        <w:tc>
          <w:tcPr>
            <w:tcW w:w="11605" w:type="dxa"/>
            <w:gridSpan w:val="2"/>
          </w:tcPr>
          <w:p w14:paraId="7BE1C4AF" w14:textId="6ABA0B77" w:rsidR="006C41DD" w:rsidRPr="00981EE2" w:rsidRDefault="00376CF0" w:rsidP="00154EFB">
            <w:pPr>
              <w:jc w:val="center"/>
              <w:rPr>
                <w:rFonts w:ascii="Arial" w:hAnsi="Arial" w:cs="Arial"/>
                <w:b/>
                <w:sz w:val="22"/>
                <w:szCs w:val="22"/>
              </w:rPr>
            </w:pPr>
            <w:r w:rsidRPr="00981EE2">
              <w:rPr>
                <w:rFonts w:ascii="Arial" w:hAnsi="Arial" w:cs="Arial"/>
                <w:b/>
                <w:sz w:val="22"/>
                <w:szCs w:val="22"/>
              </w:rPr>
              <w:t xml:space="preserve">About </w:t>
            </w:r>
            <w:r w:rsidR="0029042F" w:rsidRPr="00981EE2">
              <w:rPr>
                <w:rFonts w:ascii="Arial" w:hAnsi="Arial" w:cs="Arial"/>
                <w:b/>
                <w:sz w:val="22"/>
                <w:szCs w:val="22"/>
              </w:rPr>
              <w:t xml:space="preserve">the </w:t>
            </w:r>
            <w:r w:rsidR="003F496E" w:rsidRPr="00981EE2">
              <w:rPr>
                <w:rFonts w:ascii="Arial" w:hAnsi="Arial" w:cs="Arial"/>
                <w:b/>
                <w:sz w:val="22"/>
                <w:szCs w:val="22"/>
              </w:rPr>
              <w:t>Protocol</w:t>
            </w:r>
          </w:p>
          <w:p w14:paraId="1F4377D2" w14:textId="77777777" w:rsidR="007F7390" w:rsidRPr="00981EE2" w:rsidRDefault="007F7390" w:rsidP="000825DC">
            <w:pPr>
              <w:jc w:val="center"/>
              <w:rPr>
                <w:rFonts w:ascii="Arial" w:hAnsi="Arial" w:cs="Arial"/>
                <w:sz w:val="22"/>
                <w:szCs w:val="22"/>
              </w:rPr>
            </w:pPr>
          </w:p>
        </w:tc>
      </w:tr>
      <w:tr w:rsidR="00C53427" w:rsidRPr="00981EE2" w14:paraId="07690AD1" w14:textId="77777777" w:rsidTr="00516736">
        <w:trPr>
          <w:trHeight w:val="71"/>
          <w:jc w:val="center"/>
        </w:trPr>
        <w:tc>
          <w:tcPr>
            <w:tcW w:w="1920" w:type="dxa"/>
            <w:shd w:val="clear" w:color="auto" w:fill="auto"/>
          </w:tcPr>
          <w:p w14:paraId="2D28F657" w14:textId="77777777" w:rsidR="00C53427" w:rsidRPr="00981EE2" w:rsidRDefault="00C53427" w:rsidP="00BF5AF4">
            <w:pPr>
              <w:rPr>
                <w:rFonts w:ascii="Arial" w:hAnsi="Arial" w:cs="Arial"/>
                <w:b/>
                <w:sz w:val="22"/>
                <w:szCs w:val="22"/>
              </w:rPr>
            </w:pPr>
            <w:r>
              <w:rPr>
                <w:rFonts w:ascii="Arial" w:hAnsi="Arial" w:cs="Arial"/>
                <w:b/>
                <w:sz w:val="22"/>
                <w:szCs w:val="22"/>
              </w:rPr>
              <w:t>Protocol Release Date:</w:t>
            </w:r>
          </w:p>
        </w:tc>
        <w:tc>
          <w:tcPr>
            <w:tcW w:w="9685" w:type="dxa"/>
          </w:tcPr>
          <w:p w14:paraId="177F3D8D" w14:textId="08EF8ADF" w:rsidR="00C53427" w:rsidRPr="00981EE2" w:rsidRDefault="00167C79" w:rsidP="00154EFB">
            <w:pPr>
              <w:rPr>
                <w:rFonts w:ascii="Arial" w:hAnsi="Arial" w:cs="Arial"/>
                <w:b/>
                <w:bCs/>
                <w:sz w:val="22"/>
                <w:szCs w:val="22"/>
                <w:u w:val="single"/>
              </w:rPr>
            </w:pPr>
            <w:r>
              <w:rPr>
                <w:rFonts w:ascii="Arial" w:hAnsi="Arial" w:cs="Arial"/>
                <w:sz w:val="22"/>
                <w:szCs w:val="22"/>
              </w:rPr>
              <w:t>Not Applicable</w:t>
            </w:r>
          </w:p>
        </w:tc>
      </w:tr>
      <w:tr w:rsidR="00542C20" w:rsidRPr="00981EE2" w14:paraId="4121DB95" w14:textId="77777777" w:rsidTr="00516736">
        <w:trPr>
          <w:trHeight w:val="58"/>
          <w:jc w:val="center"/>
        </w:trPr>
        <w:tc>
          <w:tcPr>
            <w:tcW w:w="1920" w:type="dxa"/>
            <w:shd w:val="clear" w:color="auto" w:fill="D9D9D9" w:themeFill="background1" w:themeFillShade="D9"/>
          </w:tcPr>
          <w:p w14:paraId="63D09711" w14:textId="77777777" w:rsidR="00A02104" w:rsidRDefault="00542C20" w:rsidP="004C6528">
            <w:pPr>
              <w:rPr>
                <w:rFonts w:ascii="Arial" w:hAnsi="Arial" w:cs="Arial"/>
                <w:b/>
                <w:sz w:val="22"/>
                <w:szCs w:val="22"/>
              </w:rPr>
            </w:pPr>
            <w:r>
              <w:rPr>
                <w:rFonts w:ascii="Arial" w:hAnsi="Arial" w:cs="Arial"/>
                <w:b/>
                <w:sz w:val="22"/>
                <w:szCs w:val="22"/>
              </w:rPr>
              <w:t>PhenX Protocol Name</w:t>
            </w:r>
            <w:r w:rsidR="003D284C">
              <w:rPr>
                <w:rFonts w:ascii="Arial" w:hAnsi="Arial" w:cs="Arial"/>
                <w:b/>
                <w:sz w:val="22"/>
                <w:szCs w:val="22"/>
              </w:rPr>
              <w:t>:</w:t>
            </w:r>
          </w:p>
        </w:tc>
        <w:tc>
          <w:tcPr>
            <w:tcW w:w="9685" w:type="dxa"/>
          </w:tcPr>
          <w:p w14:paraId="54404848" w14:textId="547FEEF9" w:rsidR="00542C20" w:rsidRDefault="009052FA" w:rsidP="00642105">
            <w:pPr>
              <w:rPr>
                <w:rFonts w:ascii="Arial" w:hAnsi="Arial" w:cs="Arial"/>
                <w:sz w:val="22"/>
                <w:szCs w:val="22"/>
              </w:rPr>
            </w:pPr>
            <w:r>
              <w:rPr>
                <w:rFonts w:ascii="Arial" w:hAnsi="Arial" w:cs="Arial"/>
                <w:sz w:val="22"/>
                <w:szCs w:val="22"/>
              </w:rPr>
              <w:t>Oral Morphine Milligram Equivalents</w:t>
            </w:r>
          </w:p>
        </w:tc>
      </w:tr>
      <w:tr w:rsidR="00591B5E" w:rsidRPr="00981EE2" w14:paraId="486399C1" w14:textId="77777777" w:rsidTr="00516736">
        <w:trPr>
          <w:trHeight w:val="58"/>
          <w:jc w:val="center"/>
        </w:trPr>
        <w:tc>
          <w:tcPr>
            <w:tcW w:w="1920" w:type="dxa"/>
            <w:shd w:val="clear" w:color="auto" w:fill="auto"/>
          </w:tcPr>
          <w:p w14:paraId="4AF1AC69" w14:textId="77777777" w:rsidR="00591B5E" w:rsidRDefault="00591B5E" w:rsidP="00591B5E">
            <w:pPr>
              <w:rPr>
                <w:rFonts w:ascii="Arial" w:hAnsi="Arial" w:cs="Arial"/>
                <w:b/>
                <w:sz w:val="22"/>
                <w:szCs w:val="22"/>
              </w:rPr>
            </w:pPr>
            <w:r w:rsidRPr="00981EE2">
              <w:rPr>
                <w:rFonts w:ascii="Arial" w:hAnsi="Arial" w:cs="Arial"/>
                <w:b/>
                <w:sz w:val="22"/>
                <w:szCs w:val="22"/>
              </w:rPr>
              <w:t xml:space="preserve">Keywords: </w:t>
            </w:r>
          </w:p>
        </w:tc>
        <w:tc>
          <w:tcPr>
            <w:tcW w:w="9685" w:type="dxa"/>
          </w:tcPr>
          <w:p w14:paraId="34700459" w14:textId="2DB427C2" w:rsidR="00591B5E" w:rsidRPr="00BF166B" w:rsidRDefault="00775A33" w:rsidP="00591B5E">
            <w:pPr>
              <w:rPr>
                <w:rFonts w:ascii="Arial" w:hAnsi="Arial" w:cs="Arial"/>
                <w:sz w:val="22"/>
                <w:szCs w:val="22"/>
              </w:rPr>
            </w:pPr>
            <w:r>
              <w:rPr>
                <w:rFonts w:ascii="Arial" w:hAnsi="Arial" w:cs="Arial"/>
                <w:sz w:val="22"/>
                <w:szCs w:val="22"/>
              </w:rPr>
              <w:t xml:space="preserve">Department of </w:t>
            </w:r>
            <w:r w:rsidR="003242D7">
              <w:rPr>
                <w:rFonts w:ascii="Arial" w:hAnsi="Arial" w:cs="Arial"/>
                <w:sz w:val="22"/>
                <w:szCs w:val="22"/>
              </w:rPr>
              <w:t>Health and Human Services</w:t>
            </w:r>
            <w:r w:rsidR="005A2619">
              <w:rPr>
                <w:rFonts w:ascii="Arial" w:hAnsi="Arial" w:cs="Arial"/>
                <w:sz w:val="22"/>
                <w:szCs w:val="22"/>
              </w:rPr>
              <w:t>, HHS,</w:t>
            </w:r>
            <w:r w:rsidR="005D4180">
              <w:rPr>
                <w:rFonts w:ascii="Arial" w:hAnsi="Arial" w:cs="Arial"/>
                <w:sz w:val="22"/>
                <w:szCs w:val="22"/>
              </w:rPr>
              <w:t xml:space="preserve"> Centers for Medicare and Medicaid Services, CMS,</w:t>
            </w:r>
            <w:r w:rsidR="005A2619">
              <w:rPr>
                <w:rFonts w:ascii="Arial" w:hAnsi="Arial" w:cs="Arial"/>
                <w:sz w:val="22"/>
                <w:szCs w:val="22"/>
              </w:rPr>
              <w:t xml:space="preserve"> </w:t>
            </w:r>
            <w:r w:rsidR="00BF166B">
              <w:rPr>
                <w:rFonts w:ascii="Arial" w:hAnsi="Arial" w:cs="Arial"/>
                <w:sz w:val="22"/>
                <w:szCs w:val="22"/>
              </w:rPr>
              <w:t xml:space="preserve">Centers for Disease Control and Prevention, CDC, </w:t>
            </w:r>
            <w:r w:rsidR="004920C0">
              <w:rPr>
                <w:rFonts w:ascii="Arial" w:hAnsi="Arial" w:cs="Arial"/>
                <w:sz w:val="22"/>
                <w:szCs w:val="22"/>
              </w:rPr>
              <w:t>morphine, opioid,</w:t>
            </w:r>
            <w:r w:rsidR="004049E6">
              <w:rPr>
                <w:rFonts w:ascii="Arial" w:hAnsi="Arial" w:cs="Arial"/>
                <w:sz w:val="22"/>
                <w:szCs w:val="22"/>
              </w:rPr>
              <w:t xml:space="preserve"> </w:t>
            </w:r>
            <w:r w:rsidR="00AA6AFC">
              <w:rPr>
                <w:rFonts w:ascii="Arial" w:hAnsi="Arial" w:cs="Arial"/>
                <w:sz w:val="22"/>
                <w:szCs w:val="22"/>
              </w:rPr>
              <w:t>conversion factor, converting opioids,</w:t>
            </w:r>
            <w:r w:rsidR="004920C0">
              <w:rPr>
                <w:rFonts w:ascii="Arial" w:hAnsi="Arial" w:cs="Arial"/>
                <w:sz w:val="22"/>
                <w:szCs w:val="22"/>
              </w:rPr>
              <w:t xml:space="preserve"> sickle cell, sickle cell disease</w:t>
            </w:r>
            <w:r w:rsidR="00DC4843">
              <w:rPr>
                <w:rFonts w:ascii="Arial" w:hAnsi="Arial" w:cs="Arial"/>
                <w:sz w:val="22"/>
                <w:szCs w:val="22"/>
              </w:rPr>
              <w:t xml:space="preserve">, </w:t>
            </w:r>
            <w:r>
              <w:rPr>
                <w:rFonts w:ascii="Arial" w:hAnsi="Arial" w:cs="Arial"/>
                <w:sz w:val="22"/>
                <w:szCs w:val="22"/>
              </w:rPr>
              <w:t xml:space="preserve">SCD, </w:t>
            </w:r>
            <w:r w:rsidR="00DC4843">
              <w:rPr>
                <w:rFonts w:ascii="Arial" w:hAnsi="Arial" w:cs="Arial"/>
                <w:sz w:val="22"/>
                <w:szCs w:val="22"/>
              </w:rPr>
              <w:t>sickle cell disease pain</w:t>
            </w:r>
          </w:p>
        </w:tc>
      </w:tr>
      <w:tr w:rsidR="004C6528" w:rsidRPr="00981EE2" w14:paraId="2E364447" w14:textId="77777777" w:rsidTr="00516736">
        <w:trPr>
          <w:trHeight w:val="58"/>
          <w:jc w:val="center"/>
        </w:trPr>
        <w:tc>
          <w:tcPr>
            <w:tcW w:w="1920" w:type="dxa"/>
            <w:shd w:val="clear" w:color="auto" w:fill="D9D9D9" w:themeFill="background1" w:themeFillShade="D9"/>
          </w:tcPr>
          <w:p w14:paraId="300E6FA2" w14:textId="77777777" w:rsidR="004C6528" w:rsidRPr="00981EE2" w:rsidRDefault="004C6528" w:rsidP="009A76F2">
            <w:pPr>
              <w:shd w:val="clear" w:color="auto" w:fill="D9D9D9"/>
              <w:rPr>
                <w:rFonts w:ascii="Arial" w:hAnsi="Arial" w:cs="Arial"/>
                <w:b/>
                <w:sz w:val="22"/>
                <w:szCs w:val="22"/>
              </w:rPr>
            </w:pPr>
            <w:r>
              <w:rPr>
                <w:rFonts w:ascii="Arial" w:hAnsi="Arial" w:cs="Arial"/>
                <w:b/>
                <w:sz w:val="22"/>
                <w:szCs w:val="22"/>
              </w:rPr>
              <w:t>Protocol Name</w:t>
            </w:r>
            <w:r w:rsidR="00F67CF6">
              <w:rPr>
                <w:rFonts w:ascii="Arial" w:hAnsi="Arial" w:cs="Arial"/>
                <w:b/>
                <w:sz w:val="22"/>
                <w:szCs w:val="22"/>
              </w:rPr>
              <w:t xml:space="preserve"> from Source</w:t>
            </w:r>
            <w:r>
              <w:rPr>
                <w:rFonts w:ascii="Arial" w:hAnsi="Arial" w:cs="Arial"/>
                <w:b/>
                <w:sz w:val="22"/>
                <w:szCs w:val="22"/>
              </w:rPr>
              <w:t>:</w:t>
            </w:r>
          </w:p>
        </w:tc>
        <w:tc>
          <w:tcPr>
            <w:tcW w:w="9685" w:type="dxa"/>
          </w:tcPr>
          <w:p w14:paraId="34DD709F" w14:textId="0ADD7673" w:rsidR="004D086D" w:rsidRPr="00DA7C0C" w:rsidRDefault="00DA7C0C" w:rsidP="005F2503">
            <w:pPr>
              <w:rPr>
                <w:rFonts w:ascii="Arial" w:hAnsi="Arial" w:cs="Arial"/>
                <w:sz w:val="22"/>
                <w:szCs w:val="22"/>
              </w:rPr>
            </w:pPr>
            <w:r w:rsidRPr="00DA7C0C">
              <w:rPr>
                <w:rFonts w:ascii="Arial" w:hAnsi="Arial" w:cs="Arial"/>
                <w:sz w:val="22"/>
                <w:szCs w:val="22"/>
              </w:rPr>
              <w:t>Opioid Oral Morphine Milligram Equivalents (MME) Conversion Factors</w:t>
            </w:r>
          </w:p>
        </w:tc>
      </w:tr>
      <w:tr w:rsidR="005A32A6" w:rsidRPr="00981EE2" w14:paraId="39897B26" w14:textId="77777777" w:rsidTr="00516736">
        <w:trPr>
          <w:trHeight w:val="58"/>
          <w:jc w:val="center"/>
        </w:trPr>
        <w:tc>
          <w:tcPr>
            <w:tcW w:w="1920" w:type="dxa"/>
            <w:shd w:val="clear" w:color="auto" w:fill="FFFFFF" w:themeFill="background1"/>
          </w:tcPr>
          <w:p w14:paraId="72E61A54" w14:textId="77777777" w:rsidR="005A32A6" w:rsidRPr="00981EE2" w:rsidRDefault="000753CA" w:rsidP="009A76F2">
            <w:pPr>
              <w:rPr>
                <w:rFonts w:ascii="Arial" w:hAnsi="Arial" w:cs="Arial"/>
                <w:b/>
                <w:sz w:val="22"/>
                <w:szCs w:val="22"/>
              </w:rPr>
            </w:pPr>
            <w:r w:rsidRPr="00981EE2">
              <w:rPr>
                <w:rFonts w:ascii="Arial" w:hAnsi="Arial" w:cs="Arial"/>
                <w:b/>
                <w:sz w:val="22"/>
                <w:szCs w:val="22"/>
              </w:rPr>
              <w:t>Description</w:t>
            </w:r>
            <w:r w:rsidR="00037186" w:rsidRPr="00981EE2">
              <w:rPr>
                <w:rFonts w:ascii="Arial" w:hAnsi="Arial" w:cs="Arial"/>
                <w:b/>
                <w:sz w:val="22"/>
                <w:szCs w:val="22"/>
              </w:rPr>
              <w:t>:</w:t>
            </w:r>
          </w:p>
        </w:tc>
        <w:tc>
          <w:tcPr>
            <w:tcW w:w="9685" w:type="dxa"/>
          </w:tcPr>
          <w:p w14:paraId="008CEDBF" w14:textId="3BB6B805" w:rsidR="00154EFB" w:rsidRPr="00981EE2" w:rsidRDefault="007D5D10" w:rsidP="001D14E2">
            <w:pPr>
              <w:autoSpaceDE w:val="0"/>
              <w:autoSpaceDN w:val="0"/>
              <w:adjustRightInd w:val="0"/>
              <w:rPr>
                <w:rFonts w:ascii="Arial" w:hAnsi="Arial" w:cs="Arial"/>
                <w:sz w:val="22"/>
                <w:szCs w:val="22"/>
              </w:rPr>
            </w:pPr>
            <w:r>
              <w:rPr>
                <w:rFonts w:ascii="Arial" w:hAnsi="Arial" w:cs="Arial"/>
                <w:sz w:val="22"/>
                <w:szCs w:val="22"/>
              </w:rPr>
              <w:t>T</w:t>
            </w:r>
            <w:r w:rsidR="00050921">
              <w:rPr>
                <w:rFonts w:ascii="Arial" w:hAnsi="Arial" w:cs="Arial"/>
                <w:sz w:val="22"/>
                <w:szCs w:val="22"/>
              </w:rPr>
              <w:t>h</w:t>
            </w:r>
            <w:r w:rsidR="00E8142E">
              <w:rPr>
                <w:rFonts w:ascii="Arial" w:hAnsi="Arial" w:cs="Arial"/>
                <w:sz w:val="22"/>
                <w:szCs w:val="22"/>
              </w:rPr>
              <w:t xml:space="preserve">is protocol </w:t>
            </w:r>
            <w:r w:rsidR="00A01ABC">
              <w:rPr>
                <w:rFonts w:ascii="Arial" w:hAnsi="Arial" w:cs="Arial"/>
                <w:sz w:val="22"/>
                <w:szCs w:val="22"/>
              </w:rPr>
              <w:t>is a table containing conversion factors</w:t>
            </w:r>
            <w:r w:rsidR="00FA7394">
              <w:rPr>
                <w:rFonts w:ascii="Arial" w:hAnsi="Arial" w:cs="Arial"/>
                <w:sz w:val="22"/>
                <w:szCs w:val="22"/>
              </w:rPr>
              <w:t xml:space="preserve"> that enable</w:t>
            </w:r>
            <w:r w:rsidR="0003605E">
              <w:rPr>
                <w:rFonts w:ascii="Arial" w:hAnsi="Arial" w:cs="Arial"/>
                <w:sz w:val="22"/>
                <w:szCs w:val="22"/>
              </w:rPr>
              <w:t>s</w:t>
            </w:r>
            <w:r w:rsidR="00FA7394">
              <w:rPr>
                <w:rFonts w:ascii="Arial" w:hAnsi="Arial" w:cs="Arial"/>
                <w:sz w:val="22"/>
                <w:szCs w:val="22"/>
              </w:rPr>
              <w:t xml:space="preserve"> different opioid medications to be converted to</w:t>
            </w:r>
            <w:r w:rsidR="003C52B0">
              <w:rPr>
                <w:rFonts w:ascii="Arial" w:hAnsi="Arial" w:cs="Arial"/>
                <w:sz w:val="22"/>
                <w:szCs w:val="22"/>
              </w:rPr>
              <w:t xml:space="preserve"> </w:t>
            </w:r>
            <w:r w:rsidR="000F2392">
              <w:rPr>
                <w:rFonts w:ascii="Arial" w:hAnsi="Arial" w:cs="Arial"/>
                <w:sz w:val="22"/>
                <w:szCs w:val="22"/>
              </w:rPr>
              <w:t xml:space="preserve">consistent units. </w:t>
            </w:r>
          </w:p>
        </w:tc>
      </w:tr>
      <w:tr w:rsidR="00C53427" w:rsidRPr="00981EE2" w14:paraId="37CFB47F" w14:textId="77777777" w:rsidTr="00516736">
        <w:trPr>
          <w:trHeight w:val="58"/>
          <w:jc w:val="center"/>
        </w:trPr>
        <w:tc>
          <w:tcPr>
            <w:tcW w:w="1920" w:type="dxa"/>
            <w:shd w:val="clear" w:color="auto" w:fill="D9D9D9" w:themeFill="background1" w:themeFillShade="D9"/>
          </w:tcPr>
          <w:p w14:paraId="6A463493" w14:textId="77777777" w:rsidR="00C53427" w:rsidRPr="00981EE2" w:rsidRDefault="00C53427" w:rsidP="477BFD1A">
            <w:pPr>
              <w:rPr>
                <w:rFonts w:ascii="Arial" w:hAnsi="Arial" w:cs="Arial"/>
                <w:b/>
                <w:bCs/>
                <w:sz w:val="22"/>
                <w:szCs w:val="22"/>
              </w:rPr>
            </w:pPr>
            <w:r w:rsidRPr="477BFD1A">
              <w:rPr>
                <w:rFonts w:ascii="Arial" w:hAnsi="Arial" w:cs="Arial"/>
                <w:b/>
                <w:bCs/>
                <w:sz w:val="22"/>
                <w:szCs w:val="22"/>
              </w:rPr>
              <w:t>Specific Instructions:</w:t>
            </w:r>
          </w:p>
        </w:tc>
        <w:tc>
          <w:tcPr>
            <w:tcW w:w="9685" w:type="dxa"/>
          </w:tcPr>
          <w:p w14:paraId="225BD38E" w14:textId="3B036424" w:rsidR="00C53427" w:rsidRPr="00095978" w:rsidRDefault="00161368" w:rsidP="00095978">
            <w:pPr>
              <w:autoSpaceDE w:val="0"/>
              <w:autoSpaceDN w:val="0"/>
              <w:adjustRightInd w:val="0"/>
              <w:rPr>
                <w:rFonts w:ascii="Arial" w:hAnsi="Arial" w:cs="Arial"/>
                <w:sz w:val="22"/>
                <w:szCs w:val="22"/>
              </w:rPr>
            </w:pPr>
            <w:r>
              <w:rPr>
                <w:rFonts w:ascii="Arial" w:hAnsi="Arial" w:cs="Arial"/>
                <w:sz w:val="22"/>
                <w:szCs w:val="22"/>
              </w:rPr>
              <w:t>None</w:t>
            </w:r>
          </w:p>
        </w:tc>
      </w:tr>
      <w:tr w:rsidR="00C53427" w:rsidRPr="00981EE2" w14:paraId="225CF7CC" w14:textId="77777777" w:rsidTr="00516736">
        <w:trPr>
          <w:trHeight w:val="58"/>
          <w:jc w:val="center"/>
        </w:trPr>
        <w:tc>
          <w:tcPr>
            <w:tcW w:w="1920" w:type="dxa"/>
            <w:shd w:val="clear" w:color="auto" w:fill="FFFFFF" w:themeFill="background1"/>
          </w:tcPr>
          <w:p w14:paraId="364C31AC" w14:textId="77777777" w:rsidR="00C53427" w:rsidRPr="00981EE2" w:rsidRDefault="0AE84B05" w:rsidP="514A0F63">
            <w:pPr>
              <w:rPr>
                <w:rFonts w:ascii="Arial" w:hAnsi="Arial" w:cs="Arial"/>
                <w:b/>
                <w:bCs/>
                <w:sz w:val="22"/>
                <w:szCs w:val="22"/>
              </w:rPr>
            </w:pPr>
            <w:r w:rsidRPr="514A0F63">
              <w:rPr>
                <w:rFonts w:ascii="Arial" w:hAnsi="Arial" w:cs="Arial"/>
                <w:b/>
                <w:bCs/>
                <w:sz w:val="22"/>
                <w:szCs w:val="22"/>
              </w:rPr>
              <w:t>Protocol:</w:t>
            </w:r>
          </w:p>
        </w:tc>
        <w:tc>
          <w:tcPr>
            <w:tcW w:w="9685" w:type="dxa"/>
          </w:tcPr>
          <w:p w14:paraId="47B6C9A1" w14:textId="10EC2CA6" w:rsidR="00C53427" w:rsidRPr="00764985" w:rsidRDefault="00AC2993" w:rsidP="005F2503">
            <w:pPr>
              <w:autoSpaceDE w:val="0"/>
              <w:autoSpaceDN w:val="0"/>
              <w:adjustRightInd w:val="0"/>
              <w:rPr>
                <w:rFonts w:ascii="Arial" w:hAnsi="Arial" w:cs="Arial"/>
                <w:b/>
                <w:bCs/>
                <w:sz w:val="22"/>
                <w:szCs w:val="22"/>
              </w:rPr>
            </w:pPr>
            <w:r>
              <w:rPr>
                <w:rFonts w:ascii="Arial" w:hAnsi="Arial" w:cs="Arial"/>
                <w:b/>
                <w:bCs/>
                <w:sz w:val="22"/>
                <w:szCs w:val="22"/>
              </w:rPr>
              <w:t>Opioid</w:t>
            </w:r>
            <w:r w:rsidR="00D64440">
              <w:rPr>
                <w:rFonts w:ascii="Arial" w:hAnsi="Arial" w:cs="Arial"/>
                <w:b/>
                <w:bCs/>
                <w:sz w:val="22"/>
                <w:szCs w:val="22"/>
              </w:rPr>
              <w:t xml:space="preserve"> Oral </w:t>
            </w:r>
            <w:r w:rsidR="00764985" w:rsidRPr="44A24E26">
              <w:rPr>
                <w:rFonts w:ascii="Arial" w:hAnsi="Arial" w:cs="Arial"/>
                <w:b/>
                <w:bCs/>
                <w:sz w:val="22"/>
                <w:szCs w:val="22"/>
              </w:rPr>
              <w:t xml:space="preserve">Morphine Milligram Equivalent (MME) </w:t>
            </w:r>
            <w:r w:rsidR="00D64440">
              <w:rPr>
                <w:rFonts w:ascii="Arial" w:hAnsi="Arial" w:cs="Arial"/>
                <w:b/>
                <w:bCs/>
                <w:sz w:val="22"/>
                <w:szCs w:val="22"/>
              </w:rPr>
              <w:t>Conversion Factors</w:t>
            </w:r>
            <w:r w:rsidR="00D64440" w:rsidRPr="001236AF">
              <w:rPr>
                <w:rFonts w:ascii="Arial" w:hAnsi="Arial" w:cs="Arial"/>
                <w:b/>
                <w:bCs/>
                <w:sz w:val="22"/>
                <w:szCs w:val="22"/>
                <w:vertAlign w:val="superscript"/>
              </w:rPr>
              <w:t>i,ii</w:t>
            </w:r>
          </w:p>
          <w:p w14:paraId="2EC071D7" w14:textId="32367296" w:rsidR="00F71768" w:rsidRDefault="00F71768" w:rsidP="005F2503">
            <w:pPr>
              <w:autoSpaceDE w:val="0"/>
              <w:autoSpaceDN w:val="0"/>
              <w:adjustRightInd w:val="0"/>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3857"/>
            </w:tblGrid>
            <w:tr w:rsidR="00F71768" w14:paraId="10AE35C6" w14:textId="77777777" w:rsidTr="00EF704C">
              <w:tc>
                <w:tcPr>
                  <w:tcW w:w="3857" w:type="dxa"/>
                  <w:shd w:val="clear" w:color="auto" w:fill="auto"/>
                </w:tcPr>
                <w:p w14:paraId="7C72087F" w14:textId="0CB788BF" w:rsidR="00F71768" w:rsidRPr="00EF704C" w:rsidRDefault="00494A94" w:rsidP="00EF704C">
                  <w:pPr>
                    <w:autoSpaceDE w:val="0"/>
                    <w:autoSpaceDN w:val="0"/>
                    <w:adjustRightInd w:val="0"/>
                    <w:rPr>
                      <w:rFonts w:ascii="Arial" w:hAnsi="Arial" w:cs="Arial"/>
                      <w:b/>
                      <w:bCs/>
                      <w:sz w:val="22"/>
                      <w:szCs w:val="22"/>
                    </w:rPr>
                  </w:pPr>
                  <w:r>
                    <w:rPr>
                      <w:rFonts w:ascii="Arial" w:hAnsi="Arial" w:cs="Arial"/>
                      <w:b/>
                      <w:bCs/>
                      <w:sz w:val="22"/>
                      <w:szCs w:val="22"/>
                    </w:rPr>
                    <w:t>Type of Opioid (strength units)</w:t>
                  </w:r>
                </w:p>
              </w:tc>
              <w:tc>
                <w:tcPr>
                  <w:tcW w:w="3857" w:type="dxa"/>
                  <w:shd w:val="clear" w:color="auto" w:fill="auto"/>
                </w:tcPr>
                <w:p w14:paraId="3DBCD7C3" w14:textId="36CBA4A7" w:rsidR="00F71768" w:rsidRPr="00EF704C" w:rsidRDefault="00494A94" w:rsidP="00EF704C">
                  <w:pPr>
                    <w:autoSpaceDE w:val="0"/>
                    <w:autoSpaceDN w:val="0"/>
                    <w:adjustRightInd w:val="0"/>
                    <w:rPr>
                      <w:rFonts w:ascii="Arial" w:hAnsi="Arial" w:cs="Arial"/>
                      <w:b/>
                      <w:bCs/>
                      <w:sz w:val="22"/>
                      <w:szCs w:val="22"/>
                    </w:rPr>
                  </w:pPr>
                  <w:r>
                    <w:rPr>
                      <w:rFonts w:ascii="Arial" w:hAnsi="Arial" w:cs="Arial"/>
                      <w:b/>
                      <w:bCs/>
                      <w:sz w:val="22"/>
                      <w:szCs w:val="22"/>
                    </w:rPr>
                    <w:t xml:space="preserve">MME </w:t>
                  </w:r>
                  <w:r w:rsidR="00F71768" w:rsidRPr="00EF704C">
                    <w:rPr>
                      <w:rFonts w:ascii="Arial" w:hAnsi="Arial" w:cs="Arial"/>
                      <w:b/>
                      <w:bCs/>
                      <w:sz w:val="22"/>
                      <w:szCs w:val="22"/>
                    </w:rPr>
                    <w:t>Conversion Factor</w:t>
                  </w:r>
                </w:p>
              </w:tc>
            </w:tr>
            <w:tr w:rsidR="000F4039" w14:paraId="79204E52" w14:textId="77777777" w:rsidTr="00EF704C">
              <w:tc>
                <w:tcPr>
                  <w:tcW w:w="3857" w:type="dxa"/>
                  <w:shd w:val="clear" w:color="auto" w:fill="auto"/>
                </w:tcPr>
                <w:p w14:paraId="40EEC3AD" w14:textId="49E395C7" w:rsidR="000F4039" w:rsidRPr="00EF704C" w:rsidRDefault="007D6103" w:rsidP="00EF704C">
                  <w:pPr>
                    <w:autoSpaceDE w:val="0"/>
                    <w:autoSpaceDN w:val="0"/>
                    <w:adjustRightInd w:val="0"/>
                    <w:rPr>
                      <w:rFonts w:ascii="Arial" w:hAnsi="Arial" w:cs="Arial"/>
                      <w:sz w:val="22"/>
                      <w:szCs w:val="22"/>
                    </w:rPr>
                  </w:pPr>
                  <w:r>
                    <w:rPr>
                      <w:rFonts w:ascii="Arial" w:hAnsi="Arial" w:cs="Arial"/>
                      <w:sz w:val="22"/>
                      <w:szCs w:val="22"/>
                    </w:rPr>
                    <w:t>Buprenorphine film/tablet</w:t>
                  </w:r>
                  <w:r w:rsidRPr="001236AF">
                    <w:rPr>
                      <w:rFonts w:ascii="Arial" w:hAnsi="Arial" w:cs="Arial"/>
                      <w:sz w:val="22"/>
                      <w:szCs w:val="22"/>
                      <w:vertAlign w:val="superscript"/>
                    </w:rPr>
                    <w:t xml:space="preserve">iii </w:t>
                  </w:r>
                  <w:r>
                    <w:rPr>
                      <w:rFonts w:ascii="Arial" w:hAnsi="Arial" w:cs="Arial"/>
                      <w:sz w:val="22"/>
                      <w:szCs w:val="22"/>
                    </w:rPr>
                    <w:t>(mg)</w:t>
                  </w:r>
                </w:p>
              </w:tc>
              <w:tc>
                <w:tcPr>
                  <w:tcW w:w="3857" w:type="dxa"/>
                  <w:shd w:val="clear" w:color="auto" w:fill="auto"/>
                </w:tcPr>
                <w:p w14:paraId="22D5A4CF" w14:textId="77777777" w:rsidR="000F4039" w:rsidRPr="00EF704C" w:rsidRDefault="000F4039" w:rsidP="00EF704C">
                  <w:pPr>
                    <w:autoSpaceDE w:val="0"/>
                    <w:autoSpaceDN w:val="0"/>
                    <w:adjustRightInd w:val="0"/>
                    <w:rPr>
                      <w:rFonts w:ascii="Arial" w:hAnsi="Arial" w:cs="Arial"/>
                      <w:sz w:val="22"/>
                      <w:szCs w:val="22"/>
                    </w:rPr>
                  </w:pPr>
                </w:p>
              </w:tc>
            </w:tr>
            <w:tr w:rsidR="000F4039" w14:paraId="189AE049" w14:textId="77777777" w:rsidTr="00EF704C">
              <w:tc>
                <w:tcPr>
                  <w:tcW w:w="3857" w:type="dxa"/>
                  <w:shd w:val="clear" w:color="auto" w:fill="auto"/>
                </w:tcPr>
                <w:p w14:paraId="00DB0508" w14:textId="62BE8011" w:rsidR="000F4039" w:rsidRPr="00EF704C" w:rsidRDefault="007D6103" w:rsidP="00EF704C">
                  <w:pPr>
                    <w:autoSpaceDE w:val="0"/>
                    <w:autoSpaceDN w:val="0"/>
                    <w:adjustRightInd w:val="0"/>
                    <w:rPr>
                      <w:rFonts w:ascii="Arial" w:hAnsi="Arial" w:cs="Arial"/>
                      <w:sz w:val="22"/>
                      <w:szCs w:val="22"/>
                    </w:rPr>
                  </w:pPr>
                  <w:r>
                    <w:rPr>
                      <w:rFonts w:ascii="Arial" w:hAnsi="Arial" w:cs="Arial"/>
                      <w:sz w:val="22"/>
                      <w:szCs w:val="22"/>
                    </w:rPr>
                    <w:t>Buprenorphine patch</w:t>
                  </w:r>
                  <w:r w:rsidRPr="001236AF">
                    <w:rPr>
                      <w:rFonts w:ascii="Arial" w:hAnsi="Arial" w:cs="Arial"/>
                      <w:sz w:val="22"/>
                      <w:szCs w:val="22"/>
                      <w:vertAlign w:val="superscript"/>
                    </w:rPr>
                    <w:t>iii</w:t>
                  </w:r>
                  <w:r>
                    <w:rPr>
                      <w:rFonts w:ascii="Arial" w:hAnsi="Arial" w:cs="Arial"/>
                      <w:sz w:val="22"/>
                      <w:szCs w:val="22"/>
                    </w:rPr>
                    <w:t xml:space="preserve"> (mcg/hr)</w:t>
                  </w:r>
                </w:p>
              </w:tc>
              <w:tc>
                <w:tcPr>
                  <w:tcW w:w="3857" w:type="dxa"/>
                  <w:shd w:val="clear" w:color="auto" w:fill="auto"/>
                </w:tcPr>
                <w:p w14:paraId="6D5CB50F" w14:textId="77777777" w:rsidR="000F4039" w:rsidRPr="00EF704C" w:rsidRDefault="000F4039" w:rsidP="00EF704C">
                  <w:pPr>
                    <w:autoSpaceDE w:val="0"/>
                    <w:autoSpaceDN w:val="0"/>
                    <w:adjustRightInd w:val="0"/>
                    <w:rPr>
                      <w:rFonts w:ascii="Arial" w:hAnsi="Arial" w:cs="Arial"/>
                      <w:sz w:val="22"/>
                      <w:szCs w:val="22"/>
                    </w:rPr>
                  </w:pPr>
                </w:p>
              </w:tc>
            </w:tr>
            <w:tr w:rsidR="000F4039" w14:paraId="7B367C51" w14:textId="77777777" w:rsidTr="00EF704C">
              <w:tc>
                <w:tcPr>
                  <w:tcW w:w="3857" w:type="dxa"/>
                  <w:shd w:val="clear" w:color="auto" w:fill="auto"/>
                </w:tcPr>
                <w:p w14:paraId="089B1BD4" w14:textId="484B8778" w:rsidR="000F4039" w:rsidRPr="00EF704C" w:rsidRDefault="007D6103" w:rsidP="00EF704C">
                  <w:pPr>
                    <w:autoSpaceDE w:val="0"/>
                    <w:autoSpaceDN w:val="0"/>
                    <w:adjustRightInd w:val="0"/>
                    <w:rPr>
                      <w:rFonts w:ascii="Arial" w:hAnsi="Arial" w:cs="Arial"/>
                      <w:sz w:val="22"/>
                      <w:szCs w:val="22"/>
                    </w:rPr>
                  </w:pPr>
                  <w:r>
                    <w:rPr>
                      <w:rFonts w:ascii="Arial" w:hAnsi="Arial" w:cs="Arial"/>
                      <w:sz w:val="22"/>
                      <w:szCs w:val="22"/>
                    </w:rPr>
                    <w:t>Buprenorphine film</w:t>
                  </w:r>
                  <w:r w:rsidR="00254961" w:rsidRPr="001236AF">
                    <w:rPr>
                      <w:rFonts w:ascii="Arial" w:hAnsi="Arial" w:cs="Arial"/>
                      <w:sz w:val="22"/>
                      <w:szCs w:val="22"/>
                      <w:vertAlign w:val="superscript"/>
                    </w:rPr>
                    <w:t>iii</w:t>
                  </w:r>
                  <w:r w:rsidR="00254961">
                    <w:rPr>
                      <w:rFonts w:ascii="Arial" w:hAnsi="Arial" w:cs="Arial"/>
                      <w:sz w:val="22"/>
                      <w:szCs w:val="22"/>
                    </w:rPr>
                    <w:t xml:space="preserve"> (mcg)</w:t>
                  </w:r>
                </w:p>
              </w:tc>
              <w:tc>
                <w:tcPr>
                  <w:tcW w:w="3857" w:type="dxa"/>
                  <w:shd w:val="clear" w:color="auto" w:fill="auto"/>
                </w:tcPr>
                <w:p w14:paraId="4187362F" w14:textId="77777777" w:rsidR="000F4039" w:rsidRPr="00EF704C" w:rsidRDefault="000F4039" w:rsidP="00EF704C">
                  <w:pPr>
                    <w:autoSpaceDE w:val="0"/>
                    <w:autoSpaceDN w:val="0"/>
                    <w:adjustRightInd w:val="0"/>
                    <w:rPr>
                      <w:rFonts w:ascii="Arial" w:hAnsi="Arial" w:cs="Arial"/>
                      <w:sz w:val="22"/>
                      <w:szCs w:val="22"/>
                    </w:rPr>
                  </w:pPr>
                </w:p>
              </w:tc>
            </w:tr>
            <w:tr w:rsidR="000F4039" w14:paraId="112CC825" w14:textId="77777777" w:rsidTr="00EF704C">
              <w:tc>
                <w:tcPr>
                  <w:tcW w:w="3857" w:type="dxa"/>
                  <w:shd w:val="clear" w:color="auto" w:fill="auto"/>
                </w:tcPr>
                <w:p w14:paraId="744C280F" w14:textId="475C6A25" w:rsidR="000F4039" w:rsidRPr="00EF704C" w:rsidRDefault="00254961" w:rsidP="00EF704C">
                  <w:pPr>
                    <w:autoSpaceDE w:val="0"/>
                    <w:autoSpaceDN w:val="0"/>
                    <w:adjustRightInd w:val="0"/>
                    <w:rPr>
                      <w:rFonts w:ascii="Arial" w:hAnsi="Arial" w:cs="Arial"/>
                      <w:sz w:val="22"/>
                      <w:szCs w:val="22"/>
                    </w:rPr>
                  </w:pPr>
                  <w:r>
                    <w:rPr>
                      <w:rFonts w:ascii="Arial" w:hAnsi="Arial" w:cs="Arial"/>
                      <w:sz w:val="22"/>
                      <w:szCs w:val="22"/>
                    </w:rPr>
                    <w:t>Butorphanol (mg)</w:t>
                  </w:r>
                </w:p>
              </w:tc>
              <w:tc>
                <w:tcPr>
                  <w:tcW w:w="3857" w:type="dxa"/>
                  <w:shd w:val="clear" w:color="auto" w:fill="auto"/>
                </w:tcPr>
                <w:p w14:paraId="28A9B260" w14:textId="7ADC9F6B" w:rsidR="000F4039" w:rsidRPr="00EF704C" w:rsidRDefault="00254961" w:rsidP="00EF704C">
                  <w:pPr>
                    <w:autoSpaceDE w:val="0"/>
                    <w:autoSpaceDN w:val="0"/>
                    <w:adjustRightInd w:val="0"/>
                    <w:rPr>
                      <w:rFonts w:ascii="Arial" w:hAnsi="Arial" w:cs="Arial"/>
                      <w:sz w:val="22"/>
                      <w:szCs w:val="22"/>
                    </w:rPr>
                  </w:pPr>
                  <w:r>
                    <w:rPr>
                      <w:rFonts w:ascii="Arial" w:hAnsi="Arial" w:cs="Arial"/>
                      <w:sz w:val="22"/>
                      <w:szCs w:val="22"/>
                    </w:rPr>
                    <w:t>7</w:t>
                  </w:r>
                </w:p>
              </w:tc>
            </w:tr>
            <w:tr w:rsidR="00F71768" w14:paraId="6FDFE5E5" w14:textId="77777777" w:rsidTr="00EF704C">
              <w:tc>
                <w:tcPr>
                  <w:tcW w:w="3857" w:type="dxa"/>
                  <w:shd w:val="clear" w:color="auto" w:fill="auto"/>
                </w:tcPr>
                <w:p w14:paraId="0651AFEB" w14:textId="49D0F3F6" w:rsidR="00F71768" w:rsidRPr="00EF704C" w:rsidRDefault="007507E6" w:rsidP="00EF704C">
                  <w:pPr>
                    <w:autoSpaceDE w:val="0"/>
                    <w:autoSpaceDN w:val="0"/>
                    <w:adjustRightInd w:val="0"/>
                    <w:rPr>
                      <w:rFonts w:ascii="Arial" w:hAnsi="Arial" w:cs="Arial"/>
                      <w:sz w:val="22"/>
                      <w:szCs w:val="22"/>
                    </w:rPr>
                  </w:pPr>
                  <w:r w:rsidRPr="00EF704C">
                    <w:rPr>
                      <w:rFonts w:ascii="Arial" w:hAnsi="Arial" w:cs="Arial"/>
                      <w:sz w:val="22"/>
                      <w:szCs w:val="22"/>
                    </w:rPr>
                    <w:t>Codeine</w:t>
                  </w:r>
                  <w:r w:rsidR="00F3515E">
                    <w:rPr>
                      <w:rFonts w:ascii="Arial" w:hAnsi="Arial" w:cs="Arial"/>
                      <w:sz w:val="22"/>
                      <w:szCs w:val="22"/>
                    </w:rPr>
                    <w:t xml:space="preserve"> (mg)</w:t>
                  </w:r>
                </w:p>
              </w:tc>
              <w:tc>
                <w:tcPr>
                  <w:tcW w:w="3857" w:type="dxa"/>
                  <w:shd w:val="clear" w:color="auto" w:fill="auto"/>
                </w:tcPr>
                <w:p w14:paraId="06D68CB0" w14:textId="5677D355" w:rsidR="00F71768" w:rsidRPr="00EF704C" w:rsidRDefault="007507E6" w:rsidP="00EF704C">
                  <w:pPr>
                    <w:autoSpaceDE w:val="0"/>
                    <w:autoSpaceDN w:val="0"/>
                    <w:adjustRightInd w:val="0"/>
                    <w:rPr>
                      <w:rFonts w:ascii="Arial" w:hAnsi="Arial" w:cs="Arial"/>
                      <w:sz w:val="22"/>
                      <w:szCs w:val="22"/>
                    </w:rPr>
                  </w:pPr>
                  <w:r w:rsidRPr="00EF704C">
                    <w:rPr>
                      <w:rFonts w:ascii="Arial" w:hAnsi="Arial" w:cs="Arial"/>
                      <w:sz w:val="22"/>
                      <w:szCs w:val="22"/>
                    </w:rPr>
                    <w:t>0.15</w:t>
                  </w:r>
                </w:p>
              </w:tc>
            </w:tr>
            <w:tr w:rsidR="00F3515E" w14:paraId="525B44A1" w14:textId="77777777" w:rsidTr="00EF704C">
              <w:tc>
                <w:tcPr>
                  <w:tcW w:w="3857" w:type="dxa"/>
                  <w:shd w:val="clear" w:color="auto" w:fill="auto"/>
                </w:tcPr>
                <w:p w14:paraId="762D6924" w14:textId="1FEE0847" w:rsidR="00F3515E" w:rsidRPr="00EF704C" w:rsidRDefault="00F3515E" w:rsidP="00EF704C">
                  <w:pPr>
                    <w:autoSpaceDE w:val="0"/>
                    <w:autoSpaceDN w:val="0"/>
                    <w:adjustRightInd w:val="0"/>
                    <w:rPr>
                      <w:rFonts w:ascii="Arial" w:hAnsi="Arial" w:cs="Arial"/>
                      <w:sz w:val="22"/>
                      <w:szCs w:val="22"/>
                    </w:rPr>
                  </w:pPr>
                  <w:r>
                    <w:rPr>
                      <w:rFonts w:ascii="Arial" w:hAnsi="Arial" w:cs="Arial"/>
                      <w:sz w:val="22"/>
                      <w:szCs w:val="22"/>
                    </w:rPr>
                    <w:t>Dihydrocodeine (mg)</w:t>
                  </w:r>
                </w:p>
              </w:tc>
              <w:tc>
                <w:tcPr>
                  <w:tcW w:w="3857" w:type="dxa"/>
                  <w:shd w:val="clear" w:color="auto" w:fill="auto"/>
                </w:tcPr>
                <w:p w14:paraId="47278662" w14:textId="3086CD43" w:rsidR="00F3515E" w:rsidRPr="00EF704C" w:rsidRDefault="00F3515E" w:rsidP="00EF704C">
                  <w:pPr>
                    <w:autoSpaceDE w:val="0"/>
                    <w:autoSpaceDN w:val="0"/>
                    <w:adjustRightInd w:val="0"/>
                    <w:rPr>
                      <w:rFonts w:ascii="Arial" w:hAnsi="Arial" w:cs="Arial"/>
                      <w:sz w:val="22"/>
                      <w:szCs w:val="22"/>
                    </w:rPr>
                  </w:pPr>
                  <w:r>
                    <w:rPr>
                      <w:rFonts w:ascii="Arial" w:hAnsi="Arial" w:cs="Arial"/>
                      <w:sz w:val="22"/>
                      <w:szCs w:val="22"/>
                    </w:rPr>
                    <w:t>0.25</w:t>
                  </w:r>
                </w:p>
              </w:tc>
            </w:tr>
            <w:tr w:rsidR="00F71768" w14:paraId="221CCEDE" w14:textId="77777777" w:rsidTr="00EF704C">
              <w:tc>
                <w:tcPr>
                  <w:tcW w:w="3857" w:type="dxa"/>
                  <w:shd w:val="clear" w:color="auto" w:fill="auto"/>
                </w:tcPr>
                <w:p w14:paraId="7B83779A" w14:textId="4F79A55C" w:rsidR="00F71768" w:rsidRPr="00EF704C" w:rsidRDefault="007507E6" w:rsidP="00EF704C">
                  <w:pPr>
                    <w:autoSpaceDE w:val="0"/>
                    <w:autoSpaceDN w:val="0"/>
                    <w:adjustRightInd w:val="0"/>
                    <w:rPr>
                      <w:rFonts w:ascii="Arial" w:hAnsi="Arial" w:cs="Arial"/>
                      <w:sz w:val="22"/>
                      <w:szCs w:val="22"/>
                    </w:rPr>
                  </w:pPr>
                  <w:r w:rsidRPr="00EF704C">
                    <w:rPr>
                      <w:rFonts w:ascii="Arial" w:hAnsi="Arial" w:cs="Arial"/>
                      <w:sz w:val="22"/>
                      <w:szCs w:val="22"/>
                    </w:rPr>
                    <w:t xml:space="preserve">Fentanyl </w:t>
                  </w:r>
                  <w:r w:rsidR="004B1F45">
                    <w:rPr>
                      <w:rFonts w:ascii="Arial" w:hAnsi="Arial" w:cs="Arial"/>
                      <w:sz w:val="22"/>
                      <w:szCs w:val="22"/>
                    </w:rPr>
                    <w:t>buccal or SL tablets, or lozenge</w:t>
                  </w:r>
                  <w:r w:rsidR="006D19BF">
                    <w:rPr>
                      <w:rFonts w:ascii="Arial" w:hAnsi="Arial" w:cs="Arial"/>
                      <w:sz w:val="22"/>
                      <w:szCs w:val="22"/>
                    </w:rPr>
                    <w:t>/troche</w:t>
                  </w:r>
                  <w:r w:rsidR="006D19BF" w:rsidRPr="001236AF">
                    <w:rPr>
                      <w:rFonts w:ascii="Arial" w:hAnsi="Arial" w:cs="Arial"/>
                      <w:sz w:val="22"/>
                      <w:szCs w:val="22"/>
                      <w:vertAlign w:val="superscript"/>
                    </w:rPr>
                    <w:t>iv</w:t>
                  </w:r>
                  <w:r w:rsidR="006D19BF">
                    <w:rPr>
                      <w:rFonts w:ascii="Arial" w:hAnsi="Arial" w:cs="Arial"/>
                      <w:sz w:val="22"/>
                      <w:szCs w:val="22"/>
                    </w:rPr>
                    <w:t xml:space="preserve"> (mcg)</w:t>
                  </w:r>
                </w:p>
              </w:tc>
              <w:tc>
                <w:tcPr>
                  <w:tcW w:w="3857" w:type="dxa"/>
                  <w:shd w:val="clear" w:color="auto" w:fill="auto"/>
                </w:tcPr>
                <w:p w14:paraId="7D90410F" w14:textId="08C99816" w:rsidR="00F71768" w:rsidRPr="00EF704C" w:rsidRDefault="006D19BF" w:rsidP="00EF704C">
                  <w:pPr>
                    <w:autoSpaceDE w:val="0"/>
                    <w:autoSpaceDN w:val="0"/>
                    <w:adjustRightInd w:val="0"/>
                    <w:rPr>
                      <w:rFonts w:ascii="Arial" w:hAnsi="Arial" w:cs="Arial"/>
                      <w:sz w:val="22"/>
                      <w:szCs w:val="22"/>
                    </w:rPr>
                  </w:pPr>
                  <w:r>
                    <w:rPr>
                      <w:rFonts w:ascii="Arial" w:hAnsi="Arial" w:cs="Arial"/>
                      <w:sz w:val="22"/>
                      <w:szCs w:val="22"/>
                    </w:rPr>
                    <w:t>0.13</w:t>
                  </w:r>
                </w:p>
              </w:tc>
            </w:tr>
            <w:tr w:rsidR="00391E8C" w14:paraId="7E0C64DA" w14:textId="77777777" w:rsidTr="00EF704C">
              <w:tc>
                <w:tcPr>
                  <w:tcW w:w="3857" w:type="dxa"/>
                  <w:shd w:val="clear" w:color="auto" w:fill="auto"/>
                </w:tcPr>
                <w:p w14:paraId="3A705F2A" w14:textId="58AAD32A" w:rsidR="00391E8C" w:rsidRPr="00EF704C" w:rsidRDefault="00B27FC8" w:rsidP="00EF704C">
                  <w:pPr>
                    <w:autoSpaceDE w:val="0"/>
                    <w:autoSpaceDN w:val="0"/>
                    <w:adjustRightInd w:val="0"/>
                    <w:rPr>
                      <w:rFonts w:ascii="Arial" w:hAnsi="Arial" w:cs="Arial"/>
                      <w:sz w:val="22"/>
                      <w:szCs w:val="22"/>
                    </w:rPr>
                  </w:pPr>
                  <w:r>
                    <w:rPr>
                      <w:rFonts w:ascii="Arial" w:hAnsi="Arial" w:cs="Arial"/>
                      <w:sz w:val="22"/>
                      <w:szCs w:val="22"/>
                    </w:rPr>
                    <w:t>Fentanyl film or oral spray</w:t>
                  </w:r>
                  <w:r w:rsidRPr="001236AF">
                    <w:rPr>
                      <w:rFonts w:ascii="Arial" w:hAnsi="Arial" w:cs="Arial"/>
                      <w:sz w:val="22"/>
                      <w:szCs w:val="22"/>
                      <w:vertAlign w:val="superscript"/>
                    </w:rPr>
                    <w:t>v</w:t>
                  </w:r>
                  <w:r>
                    <w:rPr>
                      <w:rFonts w:ascii="Arial" w:hAnsi="Arial" w:cs="Arial"/>
                      <w:sz w:val="22"/>
                      <w:szCs w:val="22"/>
                    </w:rPr>
                    <w:t xml:space="preserve"> (mcg)</w:t>
                  </w:r>
                </w:p>
              </w:tc>
              <w:tc>
                <w:tcPr>
                  <w:tcW w:w="3857" w:type="dxa"/>
                  <w:shd w:val="clear" w:color="auto" w:fill="auto"/>
                </w:tcPr>
                <w:p w14:paraId="03FF8E8D" w14:textId="5359A905" w:rsidR="00391E8C" w:rsidRPr="00EF704C" w:rsidRDefault="00B27FC8" w:rsidP="00EF704C">
                  <w:pPr>
                    <w:autoSpaceDE w:val="0"/>
                    <w:autoSpaceDN w:val="0"/>
                    <w:adjustRightInd w:val="0"/>
                    <w:rPr>
                      <w:rFonts w:ascii="Arial" w:hAnsi="Arial" w:cs="Arial"/>
                      <w:sz w:val="22"/>
                      <w:szCs w:val="22"/>
                    </w:rPr>
                  </w:pPr>
                  <w:r>
                    <w:rPr>
                      <w:rFonts w:ascii="Arial" w:hAnsi="Arial" w:cs="Arial"/>
                      <w:sz w:val="22"/>
                      <w:szCs w:val="22"/>
                    </w:rPr>
                    <w:t>0.18</w:t>
                  </w:r>
                </w:p>
              </w:tc>
            </w:tr>
            <w:tr w:rsidR="00391E8C" w14:paraId="540FB948" w14:textId="77777777" w:rsidTr="00EF704C">
              <w:tc>
                <w:tcPr>
                  <w:tcW w:w="3857" w:type="dxa"/>
                  <w:shd w:val="clear" w:color="auto" w:fill="auto"/>
                </w:tcPr>
                <w:p w14:paraId="3C85F0CA" w14:textId="2132BDFA" w:rsidR="00391E8C" w:rsidRPr="00EF704C" w:rsidRDefault="00B27FC8" w:rsidP="00EF704C">
                  <w:pPr>
                    <w:autoSpaceDE w:val="0"/>
                    <w:autoSpaceDN w:val="0"/>
                    <w:adjustRightInd w:val="0"/>
                    <w:rPr>
                      <w:rFonts w:ascii="Arial" w:hAnsi="Arial" w:cs="Arial"/>
                      <w:sz w:val="22"/>
                      <w:szCs w:val="22"/>
                    </w:rPr>
                  </w:pPr>
                  <w:r>
                    <w:rPr>
                      <w:rFonts w:ascii="Arial" w:hAnsi="Arial" w:cs="Arial"/>
                      <w:sz w:val="22"/>
                      <w:szCs w:val="22"/>
                    </w:rPr>
                    <w:t>Fentanyl nasal spray</w:t>
                  </w:r>
                  <w:r w:rsidRPr="001236AF">
                    <w:rPr>
                      <w:rFonts w:ascii="Arial" w:hAnsi="Arial" w:cs="Arial"/>
                      <w:sz w:val="22"/>
                      <w:szCs w:val="22"/>
                      <w:vertAlign w:val="superscript"/>
                    </w:rPr>
                    <w:t>vi</w:t>
                  </w:r>
                  <w:r>
                    <w:rPr>
                      <w:rFonts w:ascii="Arial" w:hAnsi="Arial" w:cs="Arial"/>
                      <w:sz w:val="22"/>
                      <w:szCs w:val="22"/>
                    </w:rPr>
                    <w:t xml:space="preserve"> (mcg)</w:t>
                  </w:r>
                </w:p>
              </w:tc>
              <w:tc>
                <w:tcPr>
                  <w:tcW w:w="3857" w:type="dxa"/>
                  <w:shd w:val="clear" w:color="auto" w:fill="auto"/>
                </w:tcPr>
                <w:p w14:paraId="797336F1" w14:textId="5A1DD9F0" w:rsidR="00391E8C" w:rsidRPr="00EF704C" w:rsidRDefault="005A6B96" w:rsidP="00EF704C">
                  <w:pPr>
                    <w:autoSpaceDE w:val="0"/>
                    <w:autoSpaceDN w:val="0"/>
                    <w:adjustRightInd w:val="0"/>
                    <w:rPr>
                      <w:rFonts w:ascii="Arial" w:hAnsi="Arial" w:cs="Arial"/>
                      <w:sz w:val="22"/>
                      <w:szCs w:val="22"/>
                    </w:rPr>
                  </w:pPr>
                  <w:r>
                    <w:rPr>
                      <w:rFonts w:ascii="Arial" w:hAnsi="Arial" w:cs="Arial"/>
                      <w:sz w:val="22"/>
                      <w:szCs w:val="22"/>
                    </w:rPr>
                    <w:t>0.16</w:t>
                  </w:r>
                </w:p>
              </w:tc>
            </w:tr>
            <w:tr w:rsidR="00391E8C" w14:paraId="00F42B9D" w14:textId="77777777" w:rsidTr="00EF704C">
              <w:tc>
                <w:tcPr>
                  <w:tcW w:w="3857" w:type="dxa"/>
                  <w:shd w:val="clear" w:color="auto" w:fill="auto"/>
                </w:tcPr>
                <w:p w14:paraId="7A43D133" w14:textId="2FD2EBC5" w:rsidR="00391E8C" w:rsidRPr="00EF704C" w:rsidRDefault="005A6B96" w:rsidP="00EF704C">
                  <w:pPr>
                    <w:autoSpaceDE w:val="0"/>
                    <w:autoSpaceDN w:val="0"/>
                    <w:adjustRightInd w:val="0"/>
                    <w:rPr>
                      <w:rFonts w:ascii="Arial" w:hAnsi="Arial" w:cs="Arial"/>
                      <w:sz w:val="22"/>
                      <w:szCs w:val="22"/>
                    </w:rPr>
                  </w:pPr>
                  <w:r>
                    <w:rPr>
                      <w:rFonts w:ascii="Arial" w:hAnsi="Arial" w:cs="Arial"/>
                      <w:sz w:val="22"/>
                      <w:szCs w:val="22"/>
                    </w:rPr>
                    <w:t>Fentanyl patch</w:t>
                  </w:r>
                  <w:r w:rsidR="00D929AC" w:rsidRPr="001236AF">
                    <w:rPr>
                      <w:rFonts w:ascii="Arial" w:hAnsi="Arial" w:cs="Arial"/>
                      <w:sz w:val="22"/>
                      <w:szCs w:val="22"/>
                      <w:vertAlign w:val="superscript"/>
                    </w:rPr>
                    <w:t xml:space="preserve">vii </w:t>
                  </w:r>
                  <w:r w:rsidR="00D929AC">
                    <w:rPr>
                      <w:rFonts w:ascii="Arial" w:hAnsi="Arial" w:cs="Arial"/>
                      <w:sz w:val="22"/>
                      <w:szCs w:val="22"/>
                    </w:rPr>
                    <w:t>(mcg)</w:t>
                  </w:r>
                </w:p>
              </w:tc>
              <w:tc>
                <w:tcPr>
                  <w:tcW w:w="3857" w:type="dxa"/>
                  <w:shd w:val="clear" w:color="auto" w:fill="auto"/>
                </w:tcPr>
                <w:p w14:paraId="16BD8DC3" w14:textId="239D70D7" w:rsidR="00391E8C" w:rsidRPr="00EF704C" w:rsidRDefault="00D929AC" w:rsidP="00EF704C">
                  <w:pPr>
                    <w:autoSpaceDE w:val="0"/>
                    <w:autoSpaceDN w:val="0"/>
                    <w:adjustRightInd w:val="0"/>
                    <w:rPr>
                      <w:rFonts w:ascii="Arial" w:hAnsi="Arial" w:cs="Arial"/>
                      <w:sz w:val="22"/>
                      <w:szCs w:val="22"/>
                    </w:rPr>
                  </w:pPr>
                  <w:r>
                    <w:rPr>
                      <w:rFonts w:ascii="Arial" w:hAnsi="Arial" w:cs="Arial"/>
                      <w:sz w:val="22"/>
                      <w:szCs w:val="22"/>
                    </w:rPr>
                    <w:t>7.2</w:t>
                  </w:r>
                </w:p>
              </w:tc>
            </w:tr>
            <w:tr w:rsidR="00F71768" w14:paraId="4E31C771" w14:textId="77777777" w:rsidTr="00EF704C">
              <w:tc>
                <w:tcPr>
                  <w:tcW w:w="3857" w:type="dxa"/>
                  <w:shd w:val="clear" w:color="auto" w:fill="auto"/>
                </w:tcPr>
                <w:p w14:paraId="4638DC36" w14:textId="2E64DAD9" w:rsidR="00F71768" w:rsidRPr="00EF704C" w:rsidRDefault="007507E6" w:rsidP="00EF704C">
                  <w:pPr>
                    <w:autoSpaceDE w:val="0"/>
                    <w:autoSpaceDN w:val="0"/>
                    <w:adjustRightInd w:val="0"/>
                    <w:rPr>
                      <w:rFonts w:ascii="Arial" w:hAnsi="Arial" w:cs="Arial"/>
                      <w:sz w:val="22"/>
                      <w:szCs w:val="22"/>
                    </w:rPr>
                  </w:pPr>
                  <w:r w:rsidRPr="00EF704C">
                    <w:rPr>
                      <w:rFonts w:ascii="Arial" w:hAnsi="Arial" w:cs="Arial"/>
                      <w:sz w:val="22"/>
                      <w:szCs w:val="22"/>
                    </w:rPr>
                    <w:t>H</w:t>
                  </w:r>
                  <w:r w:rsidR="004A3C64" w:rsidRPr="00EF704C">
                    <w:rPr>
                      <w:rFonts w:ascii="Arial" w:hAnsi="Arial" w:cs="Arial"/>
                      <w:sz w:val="22"/>
                      <w:szCs w:val="22"/>
                    </w:rPr>
                    <w:t>ydrocodone</w:t>
                  </w:r>
                  <w:r w:rsidR="00D929AC">
                    <w:rPr>
                      <w:rFonts w:ascii="Arial" w:hAnsi="Arial" w:cs="Arial"/>
                      <w:sz w:val="22"/>
                      <w:szCs w:val="22"/>
                    </w:rPr>
                    <w:t xml:space="preserve"> (mg)</w:t>
                  </w:r>
                </w:p>
              </w:tc>
              <w:tc>
                <w:tcPr>
                  <w:tcW w:w="3857" w:type="dxa"/>
                  <w:shd w:val="clear" w:color="auto" w:fill="auto"/>
                </w:tcPr>
                <w:p w14:paraId="0E64DAFD" w14:textId="320C3E3C" w:rsidR="00F71768" w:rsidRPr="00EF704C" w:rsidRDefault="004A3C64" w:rsidP="00EF704C">
                  <w:pPr>
                    <w:autoSpaceDE w:val="0"/>
                    <w:autoSpaceDN w:val="0"/>
                    <w:adjustRightInd w:val="0"/>
                    <w:rPr>
                      <w:rFonts w:ascii="Arial" w:hAnsi="Arial" w:cs="Arial"/>
                      <w:sz w:val="22"/>
                      <w:szCs w:val="22"/>
                    </w:rPr>
                  </w:pPr>
                  <w:r w:rsidRPr="00EF704C">
                    <w:rPr>
                      <w:rFonts w:ascii="Arial" w:hAnsi="Arial" w:cs="Arial"/>
                      <w:sz w:val="22"/>
                      <w:szCs w:val="22"/>
                    </w:rPr>
                    <w:t>1</w:t>
                  </w:r>
                </w:p>
              </w:tc>
            </w:tr>
            <w:tr w:rsidR="00F71768" w14:paraId="7C2B6B0A" w14:textId="77777777" w:rsidTr="00EF704C">
              <w:tc>
                <w:tcPr>
                  <w:tcW w:w="3857" w:type="dxa"/>
                  <w:shd w:val="clear" w:color="auto" w:fill="auto"/>
                </w:tcPr>
                <w:p w14:paraId="66BD2858" w14:textId="496E1C3B" w:rsidR="00F71768" w:rsidRPr="00EF704C" w:rsidRDefault="004A3C64" w:rsidP="00EF704C">
                  <w:pPr>
                    <w:autoSpaceDE w:val="0"/>
                    <w:autoSpaceDN w:val="0"/>
                    <w:adjustRightInd w:val="0"/>
                    <w:rPr>
                      <w:rFonts w:ascii="Arial" w:hAnsi="Arial" w:cs="Arial"/>
                      <w:sz w:val="22"/>
                      <w:szCs w:val="22"/>
                    </w:rPr>
                  </w:pPr>
                  <w:r w:rsidRPr="00EF704C">
                    <w:rPr>
                      <w:rFonts w:ascii="Arial" w:hAnsi="Arial" w:cs="Arial"/>
                      <w:sz w:val="22"/>
                      <w:szCs w:val="22"/>
                    </w:rPr>
                    <w:t>Hydromorphone</w:t>
                  </w:r>
                  <w:r w:rsidR="00D929AC">
                    <w:rPr>
                      <w:rFonts w:ascii="Arial" w:hAnsi="Arial" w:cs="Arial"/>
                      <w:sz w:val="22"/>
                      <w:szCs w:val="22"/>
                    </w:rPr>
                    <w:t xml:space="preserve"> (mg)</w:t>
                  </w:r>
                </w:p>
              </w:tc>
              <w:tc>
                <w:tcPr>
                  <w:tcW w:w="3857" w:type="dxa"/>
                  <w:shd w:val="clear" w:color="auto" w:fill="auto"/>
                </w:tcPr>
                <w:p w14:paraId="01C1A033" w14:textId="76C8F0BB" w:rsidR="00F71768" w:rsidRPr="00EF704C" w:rsidRDefault="004A3C64" w:rsidP="00EF704C">
                  <w:pPr>
                    <w:autoSpaceDE w:val="0"/>
                    <w:autoSpaceDN w:val="0"/>
                    <w:adjustRightInd w:val="0"/>
                    <w:rPr>
                      <w:rFonts w:ascii="Arial" w:hAnsi="Arial" w:cs="Arial"/>
                      <w:sz w:val="22"/>
                      <w:szCs w:val="22"/>
                    </w:rPr>
                  </w:pPr>
                  <w:r w:rsidRPr="00EF704C">
                    <w:rPr>
                      <w:rFonts w:ascii="Arial" w:hAnsi="Arial" w:cs="Arial"/>
                      <w:sz w:val="22"/>
                      <w:szCs w:val="22"/>
                    </w:rPr>
                    <w:t>4</w:t>
                  </w:r>
                </w:p>
              </w:tc>
            </w:tr>
            <w:tr w:rsidR="00714545" w14:paraId="1D79507A" w14:textId="77777777" w:rsidTr="00EF704C">
              <w:tc>
                <w:tcPr>
                  <w:tcW w:w="3857" w:type="dxa"/>
                  <w:shd w:val="clear" w:color="auto" w:fill="auto"/>
                </w:tcPr>
                <w:p w14:paraId="0373ABA1" w14:textId="27977A06" w:rsidR="00714545" w:rsidRPr="00EF704C" w:rsidRDefault="0071596B" w:rsidP="00EF704C">
                  <w:pPr>
                    <w:autoSpaceDE w:val="0"/>
                    <w:autoSpaceDN w:val="0"/>
                    <w:adjustRightInd w:val="0"/>
                    <w:rPr>
                      <w:rFonts w:ascii="Arial" w:hAnsi="Arial" w:cs="Arial"/>
                      <w:sz w:val="22"/>
                      <w:szCs w:val="22"/>
                    </w:rPr>
                  </w:pPr>
                  <w:r>
                    <w:rPr>
                      <w:rFonts w:ascii="Arial" w:hAnsi="Arial" w:cs="Arial"/>
                      <w:sz w:val="22"/>
                      <w:szCs w:val="22"/>
                    </w:rPr>
                    <w:t>Levorphanol tartrate (mg)</w:t>
                  </w:r>
                </w:p>
              </w:tc>
              <w:tc>
                <w:tcPr>
                  <w:tcW w:w="3857" w:type="dxa"/>
                  <w:shd w:val="clear" w:color="auto" w:fill="auto"/>
                </w:tcPr>
                <w:p w14:paraId="078BE914" w14:textId="05F7A1D4" w:rsidR="00714545" w:rsidRPr="00EF704C" w:rsidRDefault="0071596B" w:rsidP="00EF704C">
                  <w:pPr>
                    <w:autoSpaceDE w:val="0"/>
                    <w:autoSpaceDN w:val="0"/>
                    <w:adjustRightInd w:val="0"/>
                    <w:rPr>
                      <w:rFonts w:ascii="Arial" w:hAnsi="Arial" w:cs="Arial"/>
                      <w:sz w:val="22"/>
                      <w:szCs w:val="22"/>
                    </w:rPr>
                  </w:pPr>
                  <w:r>
                    <w:rPr>
                      <w:rFonts w:ascii="Arial" w:hAnsi="Arial" w:cs="Arial"/>
                      <w:sz w:val="22"/>
                      <w:szCs w:val="22"/>
                    </w:rPr>
                    <w:t>11</w:t>
                  </w:r>
                </w:p>
              </w:tc>
            </w:tr>
            <w:tr w:rsidR="0071596B" w14:paraId="355635BF" w14:textId="77777777" w:rsidTr="00EF704C">
              <w:tc>
                <w:tcPr>
                  <w:tcW w:w="3857" w:type="dxa"/>
                  <w:shd w:val="clear" w:color="auto" w:fill="auto"/>
                </w:tcPr>
                <w:p w14:paraId="36640931" w14:textId="165A72F9" w:rsidR="0071596B" w:rsidRPr="00EF704C" w:rsidRDefault="005D3F19" w:rsidP="00EF704C">
                  <w:pPr>
                    <w:autoSpaceDE w:val="0"/>
                    <w:autoSpaceDN w:val="0"/>
                    <w:adjustRightInd w:val="0"/>
                    <w:rPr>
                      <w:rFonts w:ascii="Arial" w:hAnsi="Arial" w:cs="Arial"/>
                      <w:sz w:val="22"/>
                      <w:szCs w:val="22"/>
                    </w:rPr>
                  </w:pPr>
                  <w:r>
                    <w:rPr>
                      <w:rFonts w:ascii="Arial" w:hAnsi="Arial" w:cs="Arial"/>
                      <w:sz w:val="22"/>
                      <w:szCs w:val="22"/>
                    </w:rPr>
                    <w:t>Meperidine hydrochloride (mg)</w:t>
                  </w:r>
                </w:p>
              </w:tc>
              <w:tc>
                <w:tcPr>
                  <w:tcW w:w="3857" w:type="dxa"/>
                  <w:shd w:val="clear" w:color="auto" w:fill="auto"/>
                </w:tcPr>
                <w:p w14:paraId="36C16BED" w14:textId="0D70694F" w:rsidR="0071596B" w:rsidRPr="00EF704C" w:rsidRDefault="005D3F19" w:rsidP="00EF704C">
                  <w:pPr>
                    <w:autoSpaceDE w:val="0"/>
                    <w:autoSpaceDN w:val="0"/>
                    <w:adjustRightInd w:val="0"/>
                    <w:rPr>
                      <w:rFonts w:ascii="Arial" w:hAnsi="Arial" w:cs="Arial"/>
                      <w:sz w:val="22"/>
                      <w:szCs w:val="22"/>
                    </w:rPr>
                  </w:pPr>
                  <w:r>
                    <w:rPr>
                      <w:rFonts w:ascii="Arial" w:hAnsi="Arial" w:cs="Arial"/>
                      <w:sz w:val="22"/>
                      <w:szCs w:val="22"/>
                    </w:rPr>
                    <w:t>0.1</w:t>
                  </w:r>
                </w:p>
              </w:tc>
            </w:tr>
            <w:tr w:rsidR="00F71768" w14:paraId="767AA0D6" w14:textId="77777777" w:rsidTr="00EF704C">
              <w:tc>
                <w:tcPr>
                  <w:tcW w:w="3857" w:type="dxa"/>
                  <w:shd w:val="clear" w:color="auto" w:fill="auto"/>
                </w:tcPr>
                <w:p w14:paraId="28B6466A" w14:textId="0A5B5CEB" w:rsidR="00F71768" w:rsidRPr="00EF704C" w:rsidRDefault="004A3C64" w:rsidP="00EF704C">
                  <w:pPr>
                    <w:autoSpaceDE w:val="0"/>
                    <w:autoSpaceDN w:val="0"/>
                    <w:adjustRightInd w:val="0"/>
                    <w:rPr>
                      <w:rFonts w:ascii="Arial" w:hAnsi="Arial" w:cs="Arial"/>
                      <w:sz w:val="22"/>
                      <w:szCs w:val="22"/>
                    </w:rPr>
                  </w:pPr>
                  <w:r w:rsidRPr="00EF704C">
                    <w:rPr>
                      <w:rFonts w:ascii="Arial" w:hAnsi="Arial" w:cs="Arial"/>
                      <w:sz w:val="22"/>
                      <w:szCs w:val="22"/>
                    </w:rPr>
                    <w:lastRenderedPageBreak/>
                    <w:t>Methadone</w:t>
                  </w:r>
                  <w:r w:rsidR="005D3F19" w:rsidRPr="001236AF">
                    <w:rPr>
                      <w:rFonts w:ascii="Arial" w:hAnsi="Arial" w:cs="Arial"/>
                      <w:sz w:val="22"/>
                      <w:szCs w:val="22"/>
                      <w:vertAlign w:val="superscript"/>
                    </w:rPr>
                    <w:t>viii</w:t>
                  </w:r>
                  <w:r w:rsidR="005D3F19">
                    <w:rPr>
                      <w:rFonts w:ascii="Arial" w:hAnsi="Arial" w:cs="Arial"/>
                      <w:sz w:val="22"/>
                      <w:szCs w:val="22"/>
                    </w:rPr>
                    <w:t xml:space="preserve"> (mg)</w:t>
                  </w:r>
                </w:p>
              </w:tc>
              <w:tc>
                <w:tcPr>
                  <w:tcW w:w="3857" w:type="dxa"/>
                  <w:shd w:val="clear" w:color="auto" w:fill="auto"/>
                </w:tcPr>
                <w:p w14:paraId="73B80A93" w14:textId="082DB3AE" w:rsidR="00F71768" w:rsidRPr="00EF704C" w:rsidRDefault="008F617F" w:rsidP="00EF704C">
                  <w:pPr>
                    <w:autoSpaceDE w:val="0"/>
                    <w:autoSpaceDN w:val="0"/>
                    <w:adjustRightInd w:val="0"/>
                    <w:rPr>
                      <w:rFonts w:ascii="Arial" w:hAnsi="Arial" w:cs="Arial"/>
                      <w:sz w:val="22"/>
                      <w:szCs w:val="22"/>
                    </w:rPr>
                  </w:pPr>
                  <w:r>
                    <w:rPr>
                      <w:rFonts w:ascii="Arial" w:hAnsi="Arial" w:cs="Arial"/>
                      <w:sz w:val="22"/>
                      <w:szCs w:val="22"/>
                    </w:rPr>
                    <w:t>3</w:t>
                  </w:r>
                </w:p>
              </w:tc>
            </w:tr>
            <w:tr w:rsidR="00F71768" w14:paraId="6483AF8E" w14:textId="77777777" w:rsidTr="00EF704C">
              <w:tc>
                <w:tcPr>
                  <w:tcW w:w="3857" w:type="dxa"/>
                  <w:shd w:val="clear" w:color="auto" w:fill="auto"/>
                </w:tcPr>
                <w:p w14:paraId="59792043" w14:textId="4AFFB713" w:rsidR="00F71768" w:rsidRPr="00EF704C" w:rsidRDefault="008F617F" w:rsidP="00EF704C">
                  <w:pPr>
                    <w:autoSpaceDE w:val="0"/>
                    <w:autoSpaceDN w:val="0"/>
                    <w:adjustRightInd w:val="0"/>
                    <w:ind w:left="720"/>
                    <w:rPr>
                      <w:rFonts w:ascii="Arial" w:hAnsi="Arial" w:cs="Arial"/>
                      <w:sz w:val="22"/>
                      <w:szCs w:val="22"/>
                    </w:rPr>
                  </w:pPr>
                  <w:r>
                    <w:rPr>
                      <w:rFonts w:ascii="Arial" w:hAnsi="Arial" w:cs="Arial"/>
                      <w:sz w:val="22"/>
                      <w:szCs w:val="22"/>
                    </w:rPr>
                    <w:t xml:space="preserve">&gt;0, </w:t>
                  </w:r>
                  <w:r w:rsidR="00775A33">
                    <w:rPr>
                      <w:rFonts w:ascii="Arial" w:hAnsi="Arial" w:cs="Arial"/>
                      <w:sz w:val="22"/>
                      <w:szCs w:val="22"/>
                    </w:rPr>
                    <w:t>≤</w:t>
                  </w:r>
                  <w:r>
                    <w:rPr>
                      <w:rFonts w:ascii="Arial" w:hAnsi="Arial" w:cs="Arial"/>
                      <w:sz w:val="22"/>
                      <w:szCs w:val="22"/>
                    </w:rPr>
                    <w:t>20</w:t>
                  </w:r>
                </w:p>
              </w:tc>
              <w:tc>
                <w:tcPr>
                  <w:tcW w:w="3857" w:type="dxa"/>
                  <w:shd w:val="clear" w:color="auto" w:fill="auto"/>
                </w:tcPr>
                <w:p w14:paraId="16D7812F" w14:textId="0A515D06" w:rsidR="00F71768" w:rsidRPr="00EF704C" w:rsidRDefault="009C7885" w:rsidP="00EF704C">
                  <w:pPr>
                    <w:autoSpaceDE w:val="0"/>
                    <w:autoSpaceDN w:val="0"/>
                    <w:adjustRightInd w:val="0"/>
                    <w:rPr>
                      <w:rFonts w:ascii="Arial" w:hAnsi="Arial" w:cs="Arial"/>
                      <w:sz w:val="22"/>
                      <w:szCs w:val="22"/>
                    </w:rPr>
                  </w:pPr>
                  <w:r w:rsidRPr="00EF704C">
                    <w:rPr>
                      <w:rFonts w:ascii="Arial" w:hAnsi="Arial" w:cs="Arial"/>
                      <w:sz w:val="22"/>
                      <w:szCs w:val="22"/>
                    </w:rPr>
                    <w:t>4</w:t>
                  </w:r>
                </w:p>
              </w:tc>
            </w:tr>
            <w:tr w:rsidR="00F71768" w14:paraId="6014137E" w14:textId="77777777" w:rsidTr="00EF704C">
              <w:tc>
                <w:tcPr>
                  <w:tcW w:w="3857" w:type="dxa"/>
                  <w:shd w:val="clear" w:color="auto" w:fill="auto"/>
                </w:tcPr>
                <w:p w14:paraId="2AF2BF5E" w14:textId="4F1F2DF7" w:rsidR="00F71768" w:rsidRPr="00EF704C" w:rsidRDefault="00A67C86" w:rsidP="00EF704C">
                  <w:pPr>
                    <w:autoSpaceDE w:val="0"/>
                    <w:autoSpaceDN w:val="0"/>
                    <w:adjustRightInd w:val="0"/>
                    <w:ind w:left="720"/>
                    <w:rPr>
                      <w:rFonts w:ascii="Arial" w:hAnsi="Arial" w:cs="Arial"/>
                      <w:sz w:val="22"/>
                      <w:szCs w:val="22"/>
                    </w:rPr>
                  </w:pPr>
                  <w:r>
                    <w:rPr>
                      <w:rFonts w:ascii="Arial" w:hAnsi="Arial" w:cs="Arial"/>
                      <w:sz w:val="22"/>
                      <w:szCs w:val="22"/>
                    </w:rPr>
                    <w:t xml:space="preserve">&gt;20, </w:t>
                  </w:r>
                  <w:r w:rsidR="00775A33">
                    <w:rPr>
                      <w:rFonts w:ascii="Arial" w:hAnsi="Arial" w:cs="Arial"/>
                      <w:sz w:val="22"/>
                      <w:szCs w:val="22"/>
                    </w:rPr>
                    <w:t>≤</w:t>
                  </w:r>
                  <w:r>
                    <w:rPr>
                      <w:rFonts w:ascii="Arial" w:hAnsi="Arial" w:cs="Arial"/>
                      <w:sz w:val="22"/>
                      <w:szCs w:val="22"/>
                    </w:rPr>
                    <w:t>40</w:t>
                  </w:r>
                </w:p>
              </w:tc>
              <w:tc>
                <w:tcPr>
                  <w:tcW w:w="3857" w:type="dxa"/>
                  <w:shd w:val="clear" w:color="auto" w:fill="auto"/>
                </w:tcPr>
                <w:p w14:paraId="3DA43863" w14:textId="4C4B7B51" w:rsidR="00F71768"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8</w:t>
                  </w:r>
                </w:p>
              </w:tc>
            </w:tr>
            <w:tr w:rsidR="007507E6" w14:paraId="5F807E31" w14:textId="77777777" w:rsidTr="00EF704C">
              <w:tc>
                <w:tcPr>
                  <w:tcW w:w="3857" w:type="dxa"/>
                  <w:shd w:val="clear" w:color="auto" w:fill="auto"/>
                </w:tcPr>
                <w:p w14:paraId="0B662F47" w14:textId="7A33434E" w:rsidR="007507E6" w:rsidRPr="00EF704C" w:rsidRDefault="00A67C86" w:rsidP="00EF704C">
                  <w:pPr>
                    <w:autoSpaceDE w:val="0"/>
                    <w:autoSpaceDN w:val="0"/>
                    <w:adjustRightInd w:val="0"/>
                    <w:ind w:left="720"/>
                    <w:rPr>
                      <w:rFonts w:ascii="Arial" w:hAnsi="Arial" w:cs="Arial"/>
                      <w:sz w:val="22"/>
                      <w:szCs w:val="22"/>
                    </w:rPr>
                  </w:pPr>
                  <w:r>
                    <w:rPr>
                      <w:rFonts w:ascii="Arial" w:hAnsi="Arial" w:cs="Arial"/>
                      <w:sz w:val="22"/>
                      <w:szCs w:val="22"/>
                    </w:rPr>
                    <w:t xml:space="preserve">&gt;40, </w:t>
                  </w:r>
                  <w:r w:rsidR="00775A33">
                    <w:rPr>
                      <w:rFonts w:ascii="Arial" w:hAnsi="Arial" w:cs="Arial"/>
                      <w:sz w:val="22"/>
                      <w:szCs w:val="22"/>
                    </w:rPr>
                    <w:t>≤</w:t>
                  </w:r>
                  <w:r>
                    <w:rPr>
                      <w:rFonts w:ascii="Arial" w:hAnsi="Arial" w:cs="Arial"/>
                      <w:sz w:val="22"/>
                      <w:szCs w:val="22"/>
                    </w:rPr>
                    <w:t>60</w:t>
                  </w:r>
                </w:p>
              </w:tc>
              <w:tc>
                <w:tcPr>
                  <w:tcW w:w="3857" w:type="dxa"/>
                  <w:shd w:val="clear" w:color="auto" w:fill="auto"/>
                </w:tcPr>
                <w:p w14:paraId="6A307189" w14:textId="1121637A"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10</w:t>
                  </w:r>
                </w:p>
              </w:tc>
            </w:tr>
            <w:tr w:rsidR="007507E6" w14:paraId="32AE6ED3" w14:textId="77777777" w:rsidTr="00EF704C">
              <w:tc>
                <w:tcPr>
                  <w:tcW w:w="3857" w:type="dxa"/>
                  <w:shd w:val="clear" w:color="auto" w:fill="auto"/>
                </w:tcPr>
                <w:p w14:paraId="5F760D71" w14:textId="2B78364B" w:rsidR="007507E6" w:rsidRPr="00EF704C" w:rsidRDefault="00A67C86" w:rsidP="00EF704C">
                  <w:pPr>
                    <w:autoSpaceDE w:val="0"/>
                    <w:autoSpaceDN w:val="0"/>
                    <w:adjustRightInd w:val="0"/>
                    <w:ind w:left="720"/>
                    <w:rPr>
                      <w:rFonts w:ascii="Arial" w:hAnsi="Arial" w:cs="Arial"/>
                      <w:sz w:val="22"/>
                      <w:szCs w:val="22"/>
                    </w:rPr>
                  </w:pPr>
                  <w:r>
                    <w:rPr>
                      <w:rFonts w:ascii="Arial" w:hAnsi="Arial" w:cs="Arial"/>
                      <w:sz w:val="22"/>
                      <w:szCs w:val="22"/>
                    </w:rPr>
                    <w:t>&gt;60</w:t>
                  </w:r>
                </w:p>
              </w:tc>
              <w:tc>
                <w:tcPr>
                  <w:tcW w:w="3857" w:type="dxa"/>
                  <w:shd w:val="clear" w:color="auto" w:fill="auto"/>
                </w:tcPr>
                <w:p w14:paraId="4EEE9A9E" w14:textId="08B0E31B"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12</w:t>
                  </w:r>
                </w:p>
              </w:tc>
            </w:tr>
            <w:tr w:rsidR="007507E6" w14:paraId="2124B59C" w14:textId="77777777" w:rsidTr="00EF704C">
              <w:tc>
                <w:tcPr>
                  <w:tcW w:w="3857" w:type="dxa"/>
                  <w:shd w:val="clear" w:color="auto" w:fill="auto"/>
                </w:tcPr>
                <w:p w14:paraId="68DE5CCE" w14:textId="3850ECD2"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Morphine</w:t>
                  </w:r>
                  <w:r w:rsidR="00983211">
                    <w:rPr>
                      <w:rFonts w:ascii="Arial" w:hAnsi="Arial" w:cs="Arial"/>
                      <w:sz w:val="22"/>
                      <w:szCs w:val="22"/>
                    </w:rPr>
                    <w:t xml:space="preserve"> (mg)</w:t>
                  </w:r>
                </w:p>
              </w:tc>
              <w:tc>
                <w:tcPr>
                  <w:tcW w:w="3857" w:type="dxa"/>
                  <w:shd w:val="clear" w:color="auto" w:fill="auto"/>
                </w:tcPr>
                <w:p w14:paraId="359B47F8" w14:textId="05054AF8"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1</w:t>
                  </w:r>
                </w:p>
              </w:tc>
            </w:tr>
            <w:tr w:rsidR="00983211" w14:paraId="7C9BB938" w14:textId="77777777" w:rsidTr="00EF704C">
              <w:tc>
                <w:tcPr>
                  <w:tcW w:w="3857" w:type="dxa"/>
                  <w:shd w:val="clear" w:color="auto" w:fill="auto"/>
                </w:tcPr>
                <w:p w14:paraId="333AB824" w14:textId="42E439F2" w:rsidR="00983211" w:rsidRPr="00EF704C" w:rsidRDefault="00983211" w:rsidP="00EF704C">
                  <w:pPr>
                    <w:autoSpaceDE w:val="0"/>
                    <w:autoSpaceDN w:val="0"/>
                    <w:adjustRightInd w:val="0"/>
                    <w:rPr>
                      <w:rFonts w:ascii="Arial" w:hAnsi="Arial" w:cs="Arial"/>
                      <w:sz w:val="22"/>
                      <w:szCs w:val="22"/>
                    </w:rPr>
                  </w:pPr>
                  <w:r>
                    <w:rPr>
                      <w:rFonts w:ascii="Arial" w:hAnsi="Arial" w:cs="Arial"/>
                      <w:sz w:val="22"/>
                      <w:szCs w:val="22"/>
                    </w:rPr>
                    <w:t>Opium (mg)</w:t>
                  </w:r>
                </w:p>
              </w:tc>
              <w:tc>
                <w:tcPr>
                  <w:tcW w:w="3857" w:type="dxa"/>
                  <w:shd w:val="clear" w:color="auto" w:fill="auto"/>
                </w:tcPr>
                <w:p w14:paraId="6EB6F9D8" w14:textId="2EDF8C59" w:rsidR="00983211" w:rsidRPr="00EF704C" w:rsidRDefault="00983211" w:rsidP="00EF704C">
                  <w:pPr>
                    <w:autoSpaceDE w:val="0"/>
                    <w:autoSpaceDN w:val="0"/>
                    <w:adjustRightInd w:val="0"/>
                    <w:rPr>
                      <w:rFonts w:ascii="Arial" w:hAnsi="Arial" w:cs="Arial"/>
                      <w:sz w:val="22"/>
                      <w:szCs w:val="22"/>
                    </w:rPr>
                  </w:pPr>
                  <w:r>
                    <w:rPr>
                      <w:rFonts w:ascii="Arial" w:hAnsi="Arial" w:cs="Arial"/>
                      <w:sz w:val="22"/>
                      <w:szCs w:val="22"/>
                    </w:rPr>
                    <w:t>1</w:t>
                  </w:r>
                </w:p>
              </w:tc>
            </w:tr>
            <w:tr w:rsidR="007507E6" w14:paraId="25CB19BC" w14:textId="77777777" w:rsidTr="00EF704C">
              <w:tc>
                <w:tcPr>
                  <w:tcW w:w="3857" w:type="dxa"/>
                  <w:shd w:val="clear" w:color="auto" w:fill="auto"/>
                </w:tcPr>
                <w:p w14:paraId="1857E436" w14:textId="46555A53"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Oxycodone</w:t>
                  </w:r>
                  <w:r w:rsidR="002E51A6">
                    <w:rPr>
                      <w:rFonts w:ascii="Arial" w:hAnsi="Arial" w:cs="Arial"/>
                      <w:sz w:val="22"/>
                      <w:szCs w:val="22"/>
                    </w:rPr>
                    <w:t xml:space="preserve"> (mg)</w:t>
                  </w:r>
                </w:p>
              </w:tc>
              <w:tc>
                <w:tcPr>
                  <w:tcW w:w="3857" w:type="dxa"/>
                  <w:shd w:val="clear" w:color="auto" w:fill="auto"/>
                </w:tcPr>
                <w:p w14:paraId="7EDAAA7B" w14:textId="3A21CAFD"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1.5</w:t>
                  </w:r>
                </w:p>
              </w:tc>
            </w:tr>
            <w:tr w:rsidR="007507E6" w14:paraId="21DF8D50" w14:textId="77777777" w:rsidTr="00EF704C">
              <w:tc>
                <w:tcPr>
                  <w:tcW w:w="3857" w:type="dxa"/>
                  <w:shd w:val="clear" w:color="auto" w:fill="auto"/>
                </w:tcPr>
                <w:p w14:paraId="7BA70E3F" w14:textId="50AC3869"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Oxymorphone</w:t>
                  </w:r>
                  <w:r w:rsidR="002E51A6">
                    <w:rPr>
                      <w:rFonts w:ascii="Arial" w:hAnsi="Arial" w:cs="Arial"/>
                      <w:sz w:val="22"/>
                      <w:szCs w:val="22"/>
                    </w:rPr>
                    <w:t xml:space="preserve"> (mg)</w:t>
                  </w:r>
                </w:p>
              </w:tc>
              <w:tc>
                <w:tcPr>
                  <w:tcW w:w="3857" w:type="dxa"/>
                  <w:shd w:val="clear" w:color="auto" w:fill="auto"/>
                </w:tcPr>
                <w:p w14:paraId="52DA75A1" w14:textId="3D753124" w:rsidR="007507E6"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3</w:t>
                  </w:r>
                </w:p>
              </w:tc>
            </w:tr>
            <w:tr w:rsidR="002E51A6" w14:paraId="4DB9229C" w14:textId="77777777" w:rsidTr="00EF704C">
              <w:tc>
                <w:tcPr>
                  <w:tcW w:w="3857" w:type="dxa"/>
                  <w:shd w:val="clear" w:color="auto" w:fill="auto"/>
                </w:tcPr>
                <w:p w14:paraId="7048065F" w14:textId="55CC4234" w:rsidR="002E51A6" w:rsidRPr="00EF704C" w:rsidRDefault="000B1632" w:rsidP="00EF704C">
                  <w:pPr>
                    <w:autoSpaceDE w:val="0"/>
                    <w:autoSpaceDN w:val="0"/>
                    <w:adjustRightInd w:val="0"/>
                    <w:rPr>
                      <w:rFonts w:ascii="Arial" w:hAnsi="Arial" w:cs="Arial"/>
                      <w:sz w:val="22"/>
                      <w:szCs w:val="22"/>
                    </w:rPr>
                  </w:pPr>
                  <w:r>
                    <w:rPr>
                      <w:rFonts w:ascii="Arial" w:hAnsi="Arial" w:cs="Arial"/>
                      <w:sz w:val="22"/>
                      <w:szCs w:val="22"/>
                    </w:rPr>
                    <w:t>Pentazocine (mg)</w:t>
                  </w:r>
                </w:p>
              </w:tc>
              <w:tc>
                <w:tcPr>
                  <w:tcW w:w="3857" w:type="dxa"/>
                  <w:shd w:val="clear" w:color="auto" w:fill="auto"/>
                </w:tcPr>
                <w:p w14:paraId="1629694B" w14:textId="3123BEB0" w:rsidR="002E51A6" w:rsidRPr="00EF704C" w:rsidRDefault="000B1632" w:rsidP="00EF704C">
                  <w:pPr>
                    <w:autoSpaceDE w:val="0"/>
                    <w:autoSpaceDN w:val="0"/>
                    <w:adjustRightInd w:val="0"/>
                    <w:rPr>
                      <w:rFonts w:ascii="Arial" w:hAnsi="Arial" w:cs="Arial"/>
                      <w:sz w:val="22"/>
                      <w:szCs w:val="22"/>
                    </w:rPr>
                  </w:pPr>
                  <w:r>
                    <w:rPr>
                      <w:rFonts w:ascii="Arial" w:hAnsi="Arial" w:cs="Arial"/>
                      <w:sz w:val="22"/>
                      <w:szCs w:val="22"/>
                    </w:rPr>
                    <w:t>0.37</w:t>
                  </w:r>
                </w:p>
              </w:tc>
            </w:tr>
            <w:tr w:rsidR="00A74468" w14:paraId="3C7451AE" w14:textId="77777777" w:rsidTr="00EF704C">
              <w:tc>
                <w:tcPr>
                  <w:tcW w:w="3857" w:type="dxa"/>
                  <w:shd w:val="clear" w:color="auto" w:fill="auto"/>
                </w:tcPr>
                <w:p w14:paraId="15413666" w14:textId="3DC79F35" w:rsidR="00A74468"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Tapentadol</w:t>
                  </w:r>
                  <w:r w:rsidR="001C69FF">
                    <w:rPr>
                      <w:rFonts w:ascii="Arial" w:hAnsi="Arial" w:cs="Arial"/>
                      <w:sz w:val="22"/>
                      <w:szCs w:val="22"/>
                      <w:vertAlign w:val="superscript"/>
                    </w:rPr>
                    <w:t xml:space="preserve">ix </w:t>
                  </w:r>
                  <w:r w:rsidR="001C69FF">
                    <w:rPr>
                      <w:rFonts w:ascii="Arial" w:hAnsi="Arial" w:cs="Arial"/>
                      <w:sz w:val="22"/>
                      <w:szCs w:val="22"/>
                    </w:rPr>
                    <w:t>(mg)</w:t>
                  </w:r>
                </w:p>
              </w:tc>
              <w:tc>
                <w:tcPr>
                  <w:tcW w:w="3857" w:type="dxa"/>
                  <w:shd w:val="clear" w:color="auto" w:fill="auto"/>
                </w:tcPr>
                <w:p w14:paraId="01D0A5C6" w14:textId="2184972C" w:rsidR="00A74468" w:rsidRPr="00EF704C" w:rsidRDefault="00A74468" w:rsidP="00EF704C">
                  <w:pPr>
                    <w:autoSpaceDE w:val="0"/>
                    <w:autoSpaceDN w:val="0"/>
                    <w:adjustRightInd w:val="0"/>
                    <w:rPr>
                      <w:rFonts w:ascii="Arial" w:hAnsi="Arial" w:cs="Arial"/>
                      <w:sz w:val="22"/>
                      <w:szCs w:val="22"/>
                    </w:rPr>
                  </w:pPr>
                  <w:r w:rsidRPr="00EF704C">
                    <w:rPr>
                      <w:rFonts w:ascii="Arial" w:hAnsi="Arial" w:cs="Arial"/>
                      <w:sz w:val="22"/>
                      <w:szCs w:val="22"/>
                    </w:rPr>
                    <w:t>0.4</w:t>
                  </w:r>
                </w:p>
              </w:tc>
            </w:tr>
            <w:tr w:rsidR="000B1632" w14:paraId="5A6DA349" w14:textId="77777777" w:rsidTr="00EF704C">
              <w:tc>
                <w:tcPr>
                  <w:tcW w:w="3857" w:type="dxa"/>
                  <w:shd w:val="clear" w:color="auto" w:fill="auto"/>
                </w:tcPr>
                <w:p w14:paraId="2FF43CEC" w14:textId="3B92CB98" w:rsidR="000B1632" w:rsidRPr="00EF704C" w:rsidRDefault="001C69FF" w:rsidP="00EF704C">
                  <w:pPr>
                    <w:autoSpaceDE w:val="0"/>
                    <w:autoSpaceDN w:val="0"/>
                    <w:adjustRightInd w:val="0"/>
                    <w:rPr>
                      <w:rFonts w:ascii="Arial" w:hAnsi="Arial" w:cs="Arial"/>
                      <w:sz w:val="22"/>
                      <w:szCs w:val="22"/>
                    </w:rPr>
                  </w:pPr>
                  <w:r>
                    <w:rPr>
                      <w:rFonts w:ascii="Arial" w:hAnsi="Arial" w:cs="Arial"/>
                      <w:sz w:val="22"/>
                      <w:szCs w:val="22"/>
                    </w:rPr>
                    <w:t>Tramadol (mg)</w:t>
                  </w:r>
                </w:p>
              </w:tc>
              <w:tc>
                <w:tcPr>
                  <w:tcW w:w="3857" w:type="dxa"/>
                  <w:shd w:val="clear" w:color="auto" w:fill="auto"/>
                </w:tcPr>
                <w:p w14:paraId="47D1E5E7" w14:textId="2E8F1B90" w:rsidR="000B1632" w:rsidRPr="00EF704C" w:rsidRDefault="001C69FF" w:rsidP="00EF704C">
                  <w:pPr>
                    <w:autoSpaceDE w:val="0"/>
                    <w:autoSpaceDN w:val="0"/>
                    <w:adjustRightInd w:val="0"/>
                    <w:rPr>
                      <w:rFonts w:ascii="Arial" w:hAnsi="Arial" w:cs="Arial"/>
                      <w:sz w:val="22"/>
                      <w:szCs w:val="22"/>
                    </w:rPr>
                  </w:pPr>
                  <w:r>
                    <w:rPr>
                      <w:rFonts w:ascii="Arial" w:hAnsi="Arial" w:cs="Arial"/>
                      <w:sz w:val="22"/>
                      <w:szCs w:val="22"/>
                    </w:rPr>
                    <w:t>0.1</w:t>
                  </w:r>
                </w:p>
              </w:tc>
            </w:tr>
          </w:tbl>
          <w:p w14:paraId="423A3FFC" w14:textId="77777777" w:rsidR="00F71768" w:rsidRDefault="00F71768" w:rsidP="005F2503">
            <w:pPr>
              <w:pBdr>
                <w:bottom w:val="single" w:sz="6" w:space="1" w:color="auto"/>
              </w:pBdr>
              <w:autoSpaceDE w:val="0"/>
              <w:autoSpaceDN w:val="0"/>
              <w:adjustRightInd w:val="0"/>
              <w:rPr>
                <w:rFonts w:ascii="Arial" w:hAnsi="Arial" w:cs="Arial"/>
                <w:b/>
                <w:bCs/>
                <w:sz w:val="22"/>
                <w:szCs w:val="22"/>
                <w:u w:val="single"/>
              </w:rPr>
            </w:pPr>
          </w:p>
          <w:p w14:paraId="50AE004F" w14:textId="40EF1BD8" w:rsidR="00A73C27" w:rsidRDefault="00A73C27"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i</w:t>
            </w:r>
            <w:r w:rsidRPr="001236AF">
              <w:rPr>
                <w:rFonts w:ascii="Arial" w:hAnsi="Arial" w:cs="Arial"/>
                <w:sz w:val="22"/>
                <w:szCs w:val="22"/>
              </w:rPr>
              <w:t xml:space="preserve"> The</w:t>
            </w:r>
            <w:r>
              <w:rPr>
                <w:rFonts w:ascii="Arial" w:hAnsi="Arial" w:cs="Arial"/>
                <w:sz w:val="22"/>
                <w:szCs w:val="22"/>
              </w:rPr>
              <w:t xml:space="preserve"> MME conversion factor is intended only for analy</w:t>
            </w:r>
            <w:r w:rsidR="0033443D">
              <w:rPr>
                <w:rFonts w:ascii="Arial" w:hAnsi="Arial" w:cs="Arial"/>
                <w:sz w:val="22"/>
                <w:szCs w:val="22"/>
              </w:rPr>
              <w:t xml:space="preserve">tic purposes where prescription data are used to </w:t>
            </w:r>
            <w:r w:rsidR="005C2D66">
              <w:rPr>
                <w:rFonts w:ascii="Arial" w:hAnsi="Arial" w:cs="Arial"/>
                <w:sz w:val="22"/>
                <w:szCs w:val="22"/>
              </w:rPr>
              <w:t xml:space="preserve">calculate daily MME. Use the formula: Strength per Unit </w:t>
            </w:r>
            <w:r w:rsidR="005E656E">
              <w:rPr>
                <w:rFonts w:ascii="Arial" w:hAnsi="Arial" w:cs="Arial"/>
                <w:sz w:val="22"/>
                <w:szCs w:val="22"/>
              </w:rPr>
              <w:t>×</w:t>
            </w:r>
            <w:r w:rsidR="005C2D66">
              <w:rPr>
                <w:rFonts w:ascii="Arial" w:hAnsi="Arial" w:cs="Arial"/>
                <w:sz w:val="22"/>
                <w:szCs w:val="22"/>
              </w:rPr>
              <w:t xml:space="preserve"> (Number of Units/</w:t>
            </w:r>
            <w:proofErr w:type="spellStart"/>
            <w:r w:rsidR="005C2D66">
              <w:rPr>
                <w:rFonts w:ascii="Arial" w:hAnsi="Arial" w:cs="Arial"/>
                <w:sz w:val="22"/>
                <w:szCs w:val="22"/>
              </w:rPr>
              <w:t>Days</w:t>
            </w:r>
            <w:proofErr w:type="spellEnd"/>
            <w:r w:rsidR="005C2D66">
              <w:rPr>
                <w:rFonts w:ascii="Arial" w:hAnsi="Arial" w:cs="Arial"/>
                <w:sz w:val="22"/>
                <w:szCs w:val="22"/>
              </w:rPr>
              <w:t xml:space="preserve"> Supply)</w:t>
            </w:r>
            <w:r w:rsidR="0009613F">
              <w:rPr>
                <w:rFonts w:ascii="Arial" w:hAnsi="Arial" w:cs="Arial"/>
                <w:sz w:val="22"/>
                <w:szCs w:val="22"/>
              </w:rPr>
              <w:t xml:space="preserve"> </w:t>
            </w:r>
            <w:r w:rsidR="005E656E">
              <w:rPr>
                <w:rFonts w:ascii="Arial" w:hAnsi="Arial" w:cs="Arial"/>
                <w:sz w:val="22"/>
                <w:szCs w:val="22"/>
              </w:rPr>
              <w:t>×</w:t>
            </w:r>
            <w:r w:rsidR="0009613F">
              <w:rPr>
                <w:rFonts w:ascii="Arial" w:hAnsi="Arial" w:cs="Arial"/>
                <w:sz w:val="22"/>
                <w:szCs w:val="22"/>
              </w:rPr>
              <w:t xml:space="preserve"> MME conversion factor = MME/Day. This value does not constitute clinical guidance or recommendations</w:t>
            </w:r>
            <w:r w:rsidR="00696ACF">
              <w:rPr>
                <w:rFonts w:ascii="Arial" w:hAnsi="Arial" w:cs="Arial"/>
                <w:sz w:val="22"/>
                <w:szCs w:val="22"/>
              </w:rPr>
              <w:t xml:space="preserve"> for converting patients from one form of opioid analgesic to another. Please consult the manufacturer’s full prescribing information for such guidance. Use of this file for the purposes of any clinical decision-making warrants caution. This is particularly true with regard to methadone (see viii below).</w:t>
            </w:r>
          </w:p>
          <w:p w14:paraId="3EDF986A" w14:textId="77777777" w:rsidR="00696ACF" w:rsidRDefault="00696ACF" w:rsidP="005F2503">
            <w:pPr>
              <w:autoSpaceDE w:val="0"/>
              <w:autoSpaceDN w:val="0"/>
              <w:adjustRightInd w:val="0"/>
              <w:rPr>
                <w:rFonts w:ascii="Arial" w:hAnsi="Arial" w:cs="Arial"/>
                <w:sz w:val="22"/>
                <w:szCs w:val="22"/>
              </w:rPr>
            </w:pPr>
          </w:p>
          <w:p w14:paraId="360B8696" w14:textId="25446C0B" w:rsidR="00D16039" w:rsidRDefault="00FE3DD5"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ii</w:t>
            </w:r>
            <w:r>
              <w:rPr>
                <w:rFonts w:ascii="Arial" w:hAnsi="Arial" w:cs="Arial"/>
                <w:sz w:val="22"/>
                <w:szCs w:val="22"/>
              </w:rPr>
              <w:t xml:space="preserve"> National Center for Injury Prevention and Control</w:t>
            </w:r>
            <w:r w:rsidR="00BF114B">
              <w:rPr>
                <w:rFonts w:ascii="Arial" w:hAnsi="Arial" w:cs="Arial"/>
                <w:sz w:val="22"/>
                <w:szCs w:val="22"/>
              </w:rPr>
              <w:t>. CDC compilation of benzodiazepines, muscle relaxants, stimulant</w:t>
            </w:r>
            <w:r w:rsidR="00C139A2">
              <w:rPr>
                <w:rFonts w:ascii="Arial" w:hAnsi="Arial" w:cs="Arial"/>
                <w:sz w:val="22"/>
                <w:szCs w:val="22"/>
              </w:rPr>
              <w:t>s, zolpidem, and opioid analgesics with oral morphine milligram equivalent conversion factors, 2017 version. Atlanta, GA: Centers</w:t>
            </w:r>
            <w:r w:rsidR="009215E7">
              <w:rPr>
                <w:rFonts w:ascii="Arial" w:hAnsi="Arial" w:cs="Arial"/>
                <w:sz w:val="22"/>
                <w:szCs w:val="22"/>
              </w:rPr>
              <w:t xml:space="preserve"> for Disease Control and Prevention; Available at </w:t>
            </w:r>
            <w:hyperlink r:id="rId10" w:history="1">
              <w:r w:rsidR="00513ADE" w:rsidRPr="005C6270">
                <w:rPr>
                  <w:rStyle w:val="Hyperlink"/>
                  <w:rFonts w:ascii="Arial" w:hAnsi="Arial" w:cs="Arial"/>
                  <w:sz w:val="22"/>
                  <w:szCs w:val="22"/>
                </w:rPr>
                <w:t>https://www.cdc.gov/drugoverdose/resources/data.html</w:t>
              </w:r>
            </w:hyperlink>
            <w:r w:rsidR="00513ADE">
              <w:rPr>
                <w:rFonts w:ascii="Arial" w:hAnsi="Arial" w:cs="Arial"/>
                <w:sz w:val="22"/>
                <w:szCs w:val="22"/>
              </w:rPr>
              <w:t xml:space="preserve">. For more information, send an email to </w:t>
            </w:r>
            <w:hyperlink r:id="rId11" w:history="1">
              <w:r w:rsidR="00513ADE" w:rsidRPr="005C6270">
                <w:rPr>
                  <w:rStyle w:val="Hyperlink"/>
                  <w:rFonts w:ascii="Arial" w:hAnsi="Arial" w:cs="Arial"/>
                  <w:sz w:val="22"/>
                  <w:szCs w:val="22"/>
                </w:rPr>
                <w:t>Mbohm@cdc.gov</w:t>
              </w:r>
            </w:hyperlink>
            <w:r w:rsidR="00513ADE">
              <w:rPr>
                <w:rFonts w:ascii="Arial" w:hAnsi="Arial" w:cs="Arial"/>
                <w:sz w:val="22"/>
                <w:szCs w:val="22"/>
              </w:rPr>
              <w:t>.</w:t>
            </w:r>
          </w:p>
          <w:p w14:paraId="5A2EB154" w14:textId="77777777" w:rsidR="00513ADE" w:rsidRDefault="00513ADE" w:rsidP="005F2503">
            <w:pPr>
              <w:autoSpaceDE w:val="0"/>
              <w:autoSpaceDN w:val="0"/>
              <w:adjustRightInd w:val="0"/>
              <w:rPr>
                <w:rFonts w:ascii="Arial" w:hAnsi="Arial" w:cs="Arial"/>
                <w:sz w:val="22"/>
                <w:szCs w:val="22"/>
              </w:rPr>
            </w:pPr>
          </w:p>
          <w:p w14:paraId="54B34ACD" w14:textId="7EFE261B" w:rsidR="00513ADE" w:rsidRDefault="005C7DAE"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iii</w:t>
            </w:r>
            <w:r>
              <w:rPr>
                <w:rFonts w:ascii="Arial" w:hAnsi="Arial" w:cs="Arial"/>
                <w:sz w:val="22"/>
                <w:szCs w:val="22"/>
              </w:rPr>
              <w:t xml:space="preserve"> Buprenorphine products are listed but do not have an associated MME conversion factor</w:t>
            </w:r>
            <w:r w:rsidR="00AB7AE3">
              <w:rPr>
                <w:rFonts w:ascii="Arial" w:hAnsi="Arial" w:cs="Arial"/>
                <w:sz w:val="22"/>
                <w:szCs w:val="22"/>
              </w:rPr>
              <w:t>. These buprenorphine products, as partial opioid agonists, are not expected to be associated with overdose risk in the same dose-dependent manner as doses for full agonist opioids.</w:t>
            </w:r>
            <w:r w:rsidR="005C5D60">
              <w:rPr>
                <w:rFonts w:ascii="Arial" w:hAnsi="Arial" w:cs="Arial"/>
                <w:sz w:val="22"/>
                <w:szCs w:val="22"/>
              </w:rPr>
              <w:t xml:space="preserve"> The conversion factors for drugs prescribed or provided as part of medication-assisted treatment of opioid use disorder should not be used to benchmark against dosage thresholds meant for opioids prescribed for pain.</w:t>
            </w:r>
          </w:p>
          <w:p w14:paraId="3DD05957" w14:textId="77777777" w:rsidR="00C21FCD" w:rsidRDefault="00C21FCD" w:rsidP="005F2503">
            <w:pPr>
              <w:autoSpaceDE w:val="0"/>
              <w:autoSpaceDN w:val="0"/>
              <w:adjustRightInd w:val="0"/>
              <w:rPr>
                <w:rFonts w:ascii="Arial" w:hAnsi="Arial" w:cs="Arial"/>
                <w:sz w:val="22"/>
                <w:szCs w:val="22"/>
              </w:rPr>
            </w:pPr>
          </w:p>
          <w:p w14:paraId="342629D4" w14:textId="173E548B" w:rsidR="00FF5772" w:rsidRDefault="003B45D3"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 xml:space="preserve">iv </w:t>
            </w:r>
            <w:r w:rsidR="009C4D3D">
              <w:rPr>
                <w:rFonts w:ascii="Arial" w:hAnsi="Arial" w:cs="Arial"/>
                <w:sz w:val="22"/>
                <w:szCs w:val="22"/>
              </w:rPr>
              <w:t>The MME conversion factor for fentanyl buccal tablets, sublingual tablets, and lozenges</w:t>
            </w:r>
            <w:r w:rsidR="00376ED3">
              <w:rPr>
                <w:rFonts w:ascii="Arial" w:hAnsi="Arial" w:cs="Arial"/>
                <w:sz w:val="22"/>
                <w:szCs w:val="22"/>
              </w:rPr>
              <w:t>/troche is 0.13. This conversion factor should be multiplied by the number of micrograms in a given tablet or lozenge/troche.</w:t>
            </w:r>
          </w:p>
          <w:p w14:paraId="1285A042" w14:textId="77777777" w:rsidR="009C4D3D" w:rsidRDefault="009C4D3D" w:rsidP="005F2503">
            <w:pPr>
              <w:autoSpaceDE w:val="0"/>
              <w:autoSpaceDN w:val="0"/>
              <w:adjustRightInd w:val="0"/>
              <w:rPr>
                <w:rFonts w:ascii="Arial" w:hAnsi="Arial" w:cs="Arial"/>
                <w:sz w:val="22"/>
                <w:szCs w:val="22"/>
              </w:rPr>
            </w:pPr>
          </w:p>
          <w:p w14:paraId="0C84E36F" w14:textId="572CCBBE" w:rsidR="00C21FCD" w:rsidRDefault="00FF5772"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v</w:t>
            </w:r>
            <w:r>
              <w:rPr>
                <w:rFonts w:ascii="Arial" w:hAnsi="Arial" w:cs="Arial"/>
                <w:sz w:val="22"/>
                <w:szCs w:val="22"/>
              </w:rPr>
              <w:t xml:space="preserve"> </w:t>
            </w:r>
            <w:r w:rsidR="003B45D3">
              <w:rPr>
                <w:rFonts w:ascii="Arial" w:hAnsi="Arial" w:cs="Arial"/>
                <w:sz w:val="22"/>
                <w:szCs w:val="22"/>
              </w:rPr>
              <w:t>The MME conversion factor for fentanyl film and oral spray is 0.18</w:t>
            </w:r>
            <w:r w:rsidR="0036470E">
              <w:rPr>
                <w:rFonts w:ascii="Arial" w:hAnsi="Arial" w:cs="Arial"/>
                <w:sz w:val="22"/>
                <w:szCs w:val="22"/>
              </w:rPr>
              <w:t>. This reflects a 40% greater bioavailability for films compared</w:t>
            </w:r>
            <w:r>
              <w:rPr>
                <w:rFonts w:ascii="Arial" w:hAnsi="Arial" w:cs="Arial"/>
                <w:sz w:val="22"/>
                <w:szCs w:val="22"/>
              </w:rPr>
              <w:t xml:space="preserve"> to lozenges/tablets and 38% greater bioavailability for oral sprays compared to lozenges/tablets.</w:t>
            </w:r>
          </w:p>
          <w:p w14:paraId="6C63E9F1" w14:textId="77777777" w:rsidR="00376ED3" w:rsidRDefault="00376ED3" w:rsidP="005F2503">
            <w:pPr>
              <w:autoSpaceDE w:val="0"/>
              <w:autoSpaceDN w:val="0"/>
              <w:adjustRightInd w:val="0"/>
              <w:rPr>
                <w:rFonts w:ascii="Arial" w:hAnsi="Arial" w:cs="Arial"/>
                <w:sz w:val="22"/>
                <w:szCs w:val="22"/>
              </w:rPr>
            </w:pPr>
          </w:p>
          <w:p w14:paraId="4EF8FE36" w14:textId="59FD3444" w:rsidR="00376ED3" w:rsidRDefault="00376ED3"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vi</w:t>
            </w:r>
            <w:r>
              <w:rPr>
                <w:rFonts w:ascii="Arial" w:hAnsi="Arial" w:cs="Arial"/>
                <w:sz w:val="22"/>
                <w:szCs w:val="22"/>
              </w:rPr>
              <w:t xml:space="preserve"> </w:t>
            </w:r>
            <w:r w:rsidR="007267F0">
              <w:rPr>
                <w:rFonts w:ascii="Arial" w:hAnsi="Arial" w:cs="Arial"/>
                <w:sz w:val="22"/>
                <w:szCs w:val="22"/>
              </w:rPr>
              <w:t>The MME conversion factor for fentanyl nasal spray is 0.16, which reflects a 20% greater bioavailability for sprays compared to lozenges/tablets.</w:t>
            </w:r>
          </w:p>
          <w:p w14:paraId="3AFCCEE0" w14:textId="77777777" w:rsidR="007267F0" w:rsidRDefault="007267F0" w:rsidP="005F2503">
            <w:pPr>
              <w:autoSpaceDE w:val="0"/>
              <w:autoSpaceDN w:val="0"/>
              <w:adjustRightInd w:val="0"/>
              <w:rPr>
                <w:rFonts w:ascii="Arial" w:hAnsi="Arial" w:cs="Arial"/>
                <w:sz w:val="22"/>
                <w:szCs w:val="22"/>
              </w:rPr>
            </w:pPr>
          </w:p>
          <w:p w14:paraId="3F059D9E" w14:textId="300BF806" w:rsidR="00E91E94" w:rsidRDefault="0001143D" w:rsidP="005F2503">
            <w:pPr>
              <w:autoSpaceDE w:val="0"/>
              <w:autoSpaceDN w:val="0"/>
              <w:adjustRightInd w:val="0"/>
              <w:rPr>
                <w:rFonts w:ascii="Arial" w:hAnsi="Arial" w:cs="Arial"/>
                <w:sz w:val="22"/>
                <w:szCs w:val="22"/>
              </w:rPr>
            </w:pPr>
            <w:r w:rsidRPr="001236AF">
              <w:rPr>
                <w:rFonts w:ascii="Arial" w:hAnsi="Arial" w:cs="Arial"/>
                <w:sz w:val="22"/>
                <w:szCs w:val="22"/>
                <w:vertAlign w:val="superscript"/>
              </w:rPr>
              <w:t>vii</w:t>
            </w:r>
            <w:r>
              <w:rPr>
                <w:rFonts w:ascii="Arial" w:hAnsi="Arial" w:cs="Arial"/>
                <w:sz w:val="22"/>
                <w:szCs w:val="22"/>
              </w:rPr>
              <w:t xml:space="preserve"> The MME conversion factor for fentanyl patches is based on the assumption</w:t>
            </w:r>
            <w:r w:rsidR="00BE225B">
              <w:rPr>
                <w:rFonts w:ascii="Arial" w:hAnsi="Arial" w:cs="Arial"/>
                <w:sz w:val="22"/>
                <w:szCs w:val="22"/>
              </w:rPr>
              <w:t xml:space="preserve"> that one milligram of parenteral fentanyl is equivalent to 100 milligrams of oral morphine</w:t>
            </w:r>
            <w:r w:rsidR="008170E0">
              <w:rPr>
                <w:rFonts w:ascii="Arial" w:hAnsi="Arial" w:cs="Arial"/>
                <w:sz w:val="22"/>
                <w:szCs w:val="22"/>
              </w:rPr>
              <w:t xml:space="preserve"> and that one patch delivers the dispensed micrograms per hour over a 24 hour day.</w:t>
            </w:r>
            <w:r w:rsidR="00990696">
              <w:rPr>
                <w:rFonts w:ascii="Arial" w:hAnsi="Arial" w:cs="Arial"/>
                <w:sz w:val="22"/>
                <w:szCs w:val="22"/>
              </w:rPr>
              <w:t xml:space="preserve"> Example: 25 ug/</w:t>
            </w:r>
            <w:proofErr w:type="spellStart"/>
            <w:r w:rsidR="00990696">
              <w:rPr>
                <w:rFonts w:ascii="Arial" w:hAnsi="Arial" w:cs="Arial"/>
                <w:sz w:val="22"/>
                <w:szCs w:val="22"/>
              </w:rPr>
              <w:t>hr</w:t>
            </w:r>
            <w:proofErr w:type="spellEnd"/>
            <w:r w:rsidR="00990696">
              <w:rPr>
                <w:rFonts w:ascii="Arial" w:hAnsi="Arial" w:cs="Arial"/>
                <w:sz w:val="22"/>
                <w:szCs w:val="22"/>
              </w:rPr>
              <w:t xml:space="preserve"> fentanyl patch </w:t>
            </w:r>
            <w:r w:rsidR="005E656E">
              <w:rPr>
                <w:rFonts w:ascii="Arial" w:hAnsi="Arial" w:cs="Arial"/>
                <w:sz w:val="22"/>
                <w:szCs w:val="22"/>
              </w:rPr>
              <w:t>×</w:t>
            </w:r>
            <w:r w:rsidR="00990696">
              <w:rPr>
                <w:rFonts w:ascii="Arial" w:hAnsi="Arial" w:cs="Arial"/>
                <w:sz w:val="22"/>
                <w:szCs w:val="22"/>
              </w:rPr>
              <w:t xml:space="preserve"> 24 </w:t>
            </w:r>
            <w:proofErr w:type="spellStart"/>
            <w:r w:rsidR="00990696">
              <w:rPr>
                <w:rFonts w:ascii="Arial" w:hAnsi="Arial" w:cs="Arial"/>
                <w:sz w:val="22"/>
                <w:szCs w:val="22"/>
              </w:rPr>
              <w:t>hrs</w:t>
            </w:r>
            <w:proofErr w:type="spellEnd"/>
            <w:r w:rsidR="00990696">
              <w:rPr>
                <w:rFonts w:ascii="Arial" w:hAnsi="Arial" w:cs="Arial"/>
                <w:sz w:val="22"/>
                <w:szCs w:val="22"/>
              </w:rPr>
              <w:t xml:space="preserve"> = 600 ug/day fentanyl = </w:t>
            </w:r>
            <w:r w:rsidR="00FA703B">
              <w:rPr>
                <w:rFonts w:ascii="Arial" w:hAnsi="Arial" w:cs="Arial"/>
                <w:sz w:val="22"/>
                <w:szCs w:val="22"/>
              </w:rPr>
              <w:t>60 mg/day oral morphine milligram equivalent. In other words, the conversion factor not accounting for days of use would be 60/25 or 2.4</w:t>
            </w:r>
            <w:r w:rsidR="00E91E94">
              <w:rPr>
                <w:rFonts w:ascii="Arial" w:hAnsi="Arial" w:cs="Arial"/>
                <w:sz w:val="22"/>
                <w:szCs w:val="22"/>
              </w:rPr>
              <w:t xml:space="preserve">. </w:t>
            </w:r>
          </w:p>
          <w:p w14:paraId="077E687A" w14:textId="5636CDC1" w:rsidR="00E91E94" w:rsidRDefault="00E91E94" w:rsidP="005F2503">
            <w:pPr>
              <w:autoSpaceDE w:val="0"/>
              <w:autoSpaceDN w:val="0"/>
              <w:adjustRightInd w:val="0"/>
              <w:rPr>
                <w:rFonts w:ascii="Arial" w:hAnsi="Arial" w:cs="Arial"/>
                <w:sz w:val="22"/>
                <w:szCs w:val="22"/>
              </w:rPr>
            </w:pPr>
            <w:r>
              <w:rPr>
                <w:rFonts w:ascii="Arial" w:hAnsi="Arial" w:cs="Arial"/>
                <w:sz w:val="22"/>
                <w:szCs w:val="22"/>
              </w:rPr>
              <w:t>However, since the fentanyl patch remains in place for 3 days</w:t>
            </w:r>
            <w:r w:rsidR="007A3334">
              <w:rPr>
                <w:rFonts w:ascii="Arial" w:hAnsi="Arial" w:cs="Arial"/>
                <w:sz w:val="22"/>
                <w:szCs w:val="22"/>
              </w:rPr>
              <w:t xml:space="preserve">, we have multiplied the conversion factor by 3 (2.4 </w:t>
            </w:r>
            <w:r w:rsidR="005E656E">
              <w:rPr>
                <w:rFonts w:ascii="Arial" w:hAnsi="Arial" w:cs="Arial"/>
                <w:sz w:val="22"/>
                <w:szCs w:val="22"/>
              </w:rPr>
              <w:t>×</w:t>
            </w:r>
            <w:r w:rsidR="007A3334">
              <w:rPr>
                <w:rFonts w:ascii="Arial" w:hAnsi="Arial" w:cs="Arial"/>
                <w:sz w:val="22"/>
                <w:szCs w:val="22"/>
              </w:rPr>
              <w:t xml:space="preserve"> 3 = 7.2). In this example, MME/day for ten 25 </w:t>
            </w:r>
            <w:r w:rsidR="005238F1">
              <w:rPr>
                <w:rFonts w:ascii="Arial" w:hAnsi="Arial" w:cs="Arial"/>
                <w:sz w:val="22"/>
                <w:szCs w:val="22"/>
              </w:rPr>
              <w:t>ug/hr fentanyl patches dispensed for use over 30 days would work out as follows:</w:t>
            </w:r>
          </w:p>
          <w:p w14:paraId="040AFB1E" w14:textId="03116C3B" w:rsidR="00DB0ED6" w:rsidRPr="00DB0ED6" w:rsidRDefault="004F6DEA" w:rsidP="00DB0ED6">
            <w:pPr>
              <w:autoSpaceDE w:val="0"/>
              <w:autoSpaceDN w:val="0"/>
              <w:adjustRightInd w:val="0"/>
              <w:rPr>
                <w:rFonts w:ascii="Arial" w:hAnsi="Arial" w:cs="Arial"/>
                <w:sz w:val="22"/>
                <w:szCs w:val="22"/>
              </w:rPr>
            </w:pPr>
            <w:r>
              <w:rPr>
                <w:rFonts w:ascii="Arial" w:hAnsi="Arial" w:cs="Arial"/>
                <w:sz w:val="22"/>
                <w:szCs w:val="22"/>
              </w:rPr>
              <w:lastRenderedPageBreak/>
              <w:t>Example: 25 ug/</w:t>
            </w:r>
            <w:proofErr w:type="spellStart"/>
            <w:r>
              <w:rPr>
                <w:rFonts w:ascii="Arial" w:hAnsi="Arial" w:cs="Arial"/>
                <w:sz w:val="22"/>
                <w:szCs w:val="22"/>
              </w:rPr>
              <w:t>hr</w:t>
            </w:r>
            <w:proofErr w:type="spellEnd"/>
            <w:r>
              <w:rPr>
                <w:rFonts w:ascii="Arial" w:hAnsi="Arial" w:cs="Arial"/>
                <w:sz w:val="22"/>
                <w:szCs w:val="22"/>
              </w:rPr>
              <w:t xml:space="preserve"> fentanyl patch </w:t>
            </w:r>
            <w:r w:rsidR="005E656E">
              <w:rPr>
                <w:rFonts w:ascii="Arial" w:hAnsi="Arial" w:cs="Arial"/>
                <w:sz w:val="22"/>
                <w:szCs w:val="22"/>
              </w:rPr>
              <w:t>×</w:t>
            </w:r>
            <w:r>
              <w:rPr>
                <w:rFonts w:ascii="Arial" w:hAnsi="Arial" w:cs="Arial"/>
                <w:sz w:val="22"/>
                <w:szCs w:val="22"/>
              </w:rPr>
              <w:t xml:space="preserve"> (10 patches/30 days) </w:t>
            </w:r>
            <w:r w:rsidR="005E656E">
              <w:rPr>
                <w:rFonts w:ascii="Arial" w:hAnsi="Arial" w:cs="Arial"/>
                <w:sz w:val="22"/>
                <w:szCs w:val="22"/>
              </w:rPr>
              <w:t>×</w:t>
            </w:r>
            <w:r>
              <w:rPr>
                <w:rFonts w:ascii="Arial" w:hAnsi="Arial" w:cs="Arial"/>
                <w:sz w:val="22"/>
                <w:szCs w:val="22"/>
              </w:rPr>
              <w:t xml:space="preserve"> 7.2 = 60 MME/day</w:t>
            </w:r>
            <w:r w:rsidR="006A3A8E">
              <w:rPr>
                <w:rFonts w:ascii="Arial" w:hAnsi="Arial" w:cs="Arial"/>
                <w:sz w:val="22"/>
                <w:szCs w:val="22"/>
              </w:rPr>
              <w:t>. Please note that because this allowance has been made based on the typical dosage of one fentanyl patch per 3</w:t>
            </w:r>
            <w:r w:rsidR="005E656E">
              <w:rPr>
                <w:rFonts w:ascii="Arial" w:hAnsi="Arial" w:cs="Arial"/>
                <w:sz w:val="22"/>
                <w:szCs w:val="22"/>
              </w:rPr>
              <w:t> </w:t>
            </w:r>
            <w:r w:rsidR="006A3A8E">
              <w:rPr>
                <w:rFonts w:ascii="Arial" w:hAnsi="Arial" w:cs="Arial"/>
                <w:sz w:val="22"/>
                <w:szCs w:val="22"/>
              </w:rPr>
              <w:t>days</w:t>
            </w:r>
            <w:r w:rsidR="00DB0ED6">
              <w:rPr>
                <w:rFonts w:ascii="Arial" w:hAnsi="Arial" w:cs="Arial"/>
                <w:sz w:val="22"/>
                <w:szCs w:val="22"/>
              </w:rPr>
              <w:t xml:space="preserve">, </w:t>
            </w:r>
            <w:r w:rsidR="00DB0ED6" w:rsidRPr="00DB0ED6">
              <w:rPr>
                <w:rFonts w:ascii="Arial" w:hAnsi="Arial" w:cs="Arial"/>
                <w:sz w:val="22"/>
                <w:szCs w:val="22"/>
              </w:rPr>
              <w:t>you should first change all Days Supply in your prescription data to follow this standard, i.e., Days Supply for fentanyl patches</w:t>
            </w:r>
            <w:r w:rsidR="005E656E">
              <w:rPr>
                <w:rFonts w:ascii="Arial" w:hAnsi="Arial" w:cs="Arial"/>
                <w:sz w:val="22"/>
                <w:szCs w:val="22"/>
              </w:rPr>
              <w:t xml:space="preserve"> </w:t>
            </w:r>
            <w:r w:rsidR="00DB0ED6" w:rsidRPr="00DB0ED6">
              <w:rPr>
                <w:rFonts w:ascii="Arial" w:hAnsi="Arial" w:cs="Arial"/>
                <w:sz w:val="22"/>
                <w:szCs w:val="22"/>
              </w:rPr>
              <w:t xml:space="preserve">= # of patches </w:t>
            </w:r>
            <w:r w:rsidR="005E656E">
              <w:rPr>
                <w:rFonts w:ascii="Arial" w:hAnsi="Arial" w:cs="Arial"/>
                <w:sz w:val="22"/>
                <w:szCs w:val="22"/>
              </w:rPr>
              <w:t>×</w:t>
            </w:r>
            <w:r w:rsidR="00DB0ED6" w:rsidRPr="00DB0ED6">
              <w:rPr>
                <w:rFonts w:ascii="Arial" w:hAnsi="Arial" w:cs="Arial"/>
                <w:sz w:val="22"/>
                <w:szCs w:val="22"/>
              </w:rPr>
              <w:t xml:space="preserve"> 3.</w:t>
            </w:r>
          </w:p>
          <w:p w14:paraId="145AD04D" w14:textId="345064E6" w:rsidR="004F6DEA" w:rsidRDefault="004F6DEA" w:rsidP="005F2503">
            <w:pPr>
              <w:autoSpaceDE w:val="0"/>
              <w:autoSpaceDN w:val="0"/>
              <w:adjustRightInd w:val="0"/>
              <w:rPr>
                <w:rFonts w:ascii="Arial" w:hAnsi="Arial" w:cs="Arial"/>
                <w:sz w:val="22"/>
                <w:szCs w:val="22"/>
              </w:rPr>
            </w:pPr>
          </w:p>
          <w:p w14:paraId="7A3FD79C" w14:textId="77777777" w:rsidR="00FB027E" w:rsidRPr="00FB027E" w:rsidRDefault="00FB027E" w:rsidP="00FB027E">
            <w:pPr>
              <w:autoSpaceDE w:val="0"/>
              <w:autoSpaceDN w:val="0"/>
              <w:adjustRightInd w:val="0"/>
              <w:rPr>
                <w:rFonts w:ascii="Arial" w:hAnsi="Arial" w:cs="Arial"/>
                <w:sz w:val="22"/>
                <w:szCs w:val="22"/>
              </w:rPr>
            </w:pPr>
            <w:r w:rsidRPr="001236AF">
              <w:rPr>
                <w:rFonts w:ascii="Arial" w:hAnsi="Arial" w:cs="Arial"/>
                <w:sz w:val="22"/>
                <w:szCs w:val="22"/>
                <w:vertAlign w:val="superscript"/>
              </w:rPr>
              <w:t>viii</w:t>
            </w:r>
            <w:r>
              <w:rPr>
                <w:rFonts w:ascii="Arial" w:hAnsi="Arial" w:cs="Arial"/>
                <w:sz w:val="22"/>
                <w:szCs w:val="22"/>
              </w:rPr>
              <w:t xml:space="preserve"> </w:t>
            </w:r>
            <w:r w:rsidRPr="00FB027E">
              <w:rPr>
                <w:rFonts w:ascii="Arial" w:hAnsi="Arial" w:cs="Arial"/>
                <w:sz w:val="22"/>
                <w:szCs w:val="22"/>
              </w:rPr>
              <w:t>The CDC MME conversion factor to calculate morphine milligram equivalents of methadone is 3. Calculating MME for methadone in clinical practice often involves a sliding-scale approach whereby the conversion factor increases with increasing dose since the conversion factor of 3 for methadone could underestimate MME for a given patient. CMS uses this conversion factor when analyzing Medicare population opioid use. CMS uses the graduated methadone MME conversion factors to</w:t>
            </w:r>
            <w:r w:rsidRPr="00FB027E">
              <w:rPr>
                <w:rFonts w:ascii="Arial" w:hAnsi="Arial" w:cs="Arial"/>
                <w:sz w:val="22"/>
                <w:szCs w:val="22"/>
              </w:rPr>
              <w:br/>
              <w:t>calculate MME within the Overutilization Monitoring System (OMS) for identifying and reporting potential opioid overutilizers. https://www.cdc.gov/drugoverdose/pdf/calculating_total_daily_dose-a.pdf.</w:t>
            </w:r>
          </w:p>
          <w:p w14:paraId="4D823A71" w14:textId="7E3F84DD" w:rsidR="00FB027E" w:rsidRDefault="00FB027E" w:rsidP="005F2503">
            <w:pPr>
              <w:autoSpaceDE w:val="0"/>
              <w:autoSpaceDN w:val="0"/>
              <w:adjustRightInd w:val="0"/>
              <w:rPr>
                <w:rFonts w:ascii="Arial" w:hAnsi="Arial" w:cs="Arial"/>
                <w:sz w:val="22"/>
                <w:szCs w:val="22"/>
              </w:rPr>
            </w:pPr>
          </w:p>
          <w:p w14:paraId="241A5C8B" w14:textId="7693D9D9" w:rsidR="009E1D06" w:rsidRPr="009E1D06" w:rsidRDefault="000C409F" w:rsidP="009E1D06">
            <w:r w:rsidRPr="001236AF">
              <w:rPr>
                <w:rFonts w:ascii="Arial" w:hAnsi="Arial" w:cs="Arial"/>
                <w:sz w:val="22"/>
                <w:szCs w:val="22"/>
                <w:vertAlign w:val="superscript"/>
              </w:rPr>
              <w:t>ix</w:t>
            </w:r>
            <w:r w:rsidRPr="000C409F">
              <w:rPr>
                <w:rFonts w:ascii="Arial" w:hAnsi="Arial" w:cs="Arial"/>
                <w:sz w:val="22"/>
                <w:szCs w:val="22"/>
              </w:rPr>
              <w:t xml:space="preserve"> Tapentadol is a mu receptor agonist and norepinephrine reuptake inhibitor. Oral MMEs are based on degree of mu receptor agonist activity, but it is unknown if this drug is associated with overdose in the same dose-dependent manner as observed with medications that are solely mu receptor agonists. </w:t>
            </w:r>
          </w:p>
        </w:tc>
      </w:tr>
      <w:tr w:rsidR="00C53427" w:rsidRPr="00981EE2" w14:paraId="0B0781CF" w14:textId="77777777" w:rsidTr="00516736">
        <w:trPr>
          <w:trHeight w:val="58"/>
          <w:jc w:val="center"/>
        </w:trPr>
        <w:tc>
          <w:tcPr>
            <w:tcW w:w="1920" w:type="dxa"/>
            <w:shd w:val="clear" w:color="auto" w:fill="D9D9D9" w:themeFill="background1" w:themeFillShade="D9"/>
          </w:tcPr>
          <w:p w14:paraId="639B0288" w14:textId="77777777" w:rsidR="00A02104" w:rsidRPr="00981EE2" w:rsidRDefault="00C53427" w:rsidP="0038448E">
            <w:pPr>
              <w:rPr>
                <w:rFonts w:ascii="Arial" w:hAnsi="Arial" w:cs="Arial"/>
                <w:b/>
                <w:sz w:val="22"/>
                <w:szCs w:val="22"/>
              </w:rPr>
            </w:pPr>
            <w:r w:rsidRPr="00981EE2">
              <w:rPr>
                <w:rFonts w:ascii="Arial" w:hAnsi="Arial" w:cs="Arial"/>
                <w:b/>
                <w:sz w:val="22"/>
                <w:szCs w:val="22"/>
              </w:rPr>
              <w:lastRenderedPageBreak/>
              <w:t>Selection Rationale:</w:t>
            </w:r>
          </w:p>
        </w:tc>
        <w:tc>
          <w:tcPr>
            <w:tcW w:w="9685" w:type="dxa"/>
          </w:tcPr>
          <w:p w14:paraId="4CBD08CD" w14:textId="15292891" w:rsidR="00C53427" w:rsidRPr="00981EE2" w:rsidRDefault="005D69D9" w:rsidP="005F2503">
            <w:pPr>
              <w:rPr>
                <w:rFonts w:ascii="Arial" w:hAnsi="Arial" w:cs="Arial"/>
                <w:sz w:val="22"/>
                <w:szCs w:val="22"/>
              </w:rPr>
            </w:pPr>
            <w:r>
              <w:rPr>
                <w:rFonts w:ascii="Arial" w:hAnsi="Arial" w:cs="Arial"/>
                <w:sz w:val="22"/>
                <w:szCs w:val="22"/>
              </w:rPr>
              <w:t xml:space="preserve">These conversion factors are recommended by the </w:t>
            </w:r>
            <w:r w:rsidR="00392C3B">
              <w:rPr>
                <w:rFonts w:ascii="Arial" w:hAnsi="Arial" w:cs="Arial"/>
                <w:sz w:val="22"/>
                <w:szCs w:val="22"/>
              </w:rPr>
              <w:t>Centers for Medicare and Medicaid Services</w:t>
            </w:r>
            <w:r>
              <w:rPr>
                <w:rFonts w:ascii="Arial" w:hAnsi="Arial" w:cs="Arial"/>
                <w:sz w:val="22"/>
                <w:szCs w:val="22"/>
              </w:rPr>
              <w:t xml:space="preserve">. </w:t>
            </w:r>
            <w:r w:rsidR="001402B5">
              <w:rPr>
                <w:rFonts w:ascii="Arial" w:hAnsi="Arial" w:cs="Arial"/>
                <w:sz w:val="22"/>
                <w:szCs w:val="22"/>
              </w:rPr>
              <w:t xml:space="preserve">Converting </w:t>
            </w:r>
            <w:r w:rsidR="00C079D4">
              <w:rPr>
                <w:rFonts w:ascii="Arial" w:hAnsi="Arial" w:cs="Arial"/>
                <w:sz w:val="22"/>
                <w:szCs w:val="22"/>
              </w:rPr>
              <w:t xml:space="preserve">different opioid medications to consistent units </w:t>
            </w:r>
            <w:r w:rsidR="00DC0381">
              <w:rPr>
                <w:rFonts w:ascii="Arial" w:hAnsi="Arial" w:cs="Arial"/>
                <w:sz w:val="22"/>
                <w:szCs w:val="22"/>
              </w:rPr>
              <w:t>assists in calculating the total daily dose of opioids a patient consumes. This can help identify patients who may benefit from implementing one or more measures to reduce the risk of overdose.</w:t>
            </w:r>
          </w:p>
        </w:tc>
      </w:tr>
      <w:tr w:rsidR="004C6528" w:rsidRPr="00981EE2" w14:paraId="3EA07371" w14:textId="77777777" w:rsidTr="00516736">
        <w:trPr>
          <w:trHeight w:val="58"/>
          <w:jc w:val="center"/>
        </w:trPr>
        <w:tc>
          <w:tcPr>
            <w:tcW w:w="1920" w:type="dxa"/>
            <w:shd w:val="clear" w:color="auto" w:fill="FFFFFF" w:themeFill="background1"/>
          </w:tcPr>
          <w:p w14:paraId="3A0B93CD" w14:textId="77777777" w:rsidR="004C6528" w:rsidRPr="00981EE2" w:rsidDel="00C53427" w:rsidRDefault="004C6528" w:rsidP="0038448E">
            <w:pPr>
              <w:rPr>
                <w:rFonts w:ascii="Arial" w:hAnsi="Arial" w:cs="Arial"/>
                <w:b/>
                <w:sz w:val="22"/>
                <w:szCs w:val="22"/>
              </w:rPr>
            </w:pPr>
            <w:r w:rsidRPr="00981EE2">
              <w:rPr>
                <w:rFonts w:ascii="Arial" w:hAnsi="Arial" w:cs="Arial"/>
                <w:b/>
                <w:sz w:val="22"/>
                <w:szCs w:val="22"/>
              </w:rPr>
              <w:t xml:space="preserve">Source: </w:t>
            </w:r>
          </w:p>
        </w:tc>
        <w:tc>
          <w:tcPr>
            <w:tcW w:w="9685" w:type="dxa"/>
          </w:tcPr>
          <w:p w14:paraId="693202C0" w14:textId="02060CD0" w:rsidR="004C6528" w:rsidRPr="00981EE2" w:rsidDel="00C53427" w:rsidRDefault="00B84CFB" w:rsidP="001F15B7">
            <w:pPr>
              <w:rPr>
                <w:rFonts w:ascii="Arial" w:hAnsi="Arial" w:cs="Arial"/>
                <w:b/>
                <w:bCs/>
                <w:sz w:val="22"/>
                <w:szCs w:val="22"/>
              </w:rPr>
            </w:pPr>
            <w:r w:rsidRPr="00B84CFB">
              <w:rPr>
                <w:rFonts w:ascii="Arial" w:hAnsi="Arial" w:cs="Arial"/>
                <w:sz w:val="22"/>
                <w:szCs w:val="22"/>
              </w:rPr>
              <w:t>https://www.hhs.gov/guidance/sites/default/files/hhs-guidance-documents/Opioid%20Morphine%20EQ%20Conversion%20Factors%20%28vFeb%202018%29.pdf</w:t>
            </w:r>
          </w:p>
        </w:tc>
      </w:tr>
      <w:tr w:rsidR="0054144D" w:rsidRPr="00981EE2" w14:paraId="329A0981" w14:textId="77777777" w:rsidTr="00516736">
        <w:trPr>
          <w:trHeight w:val="58"/>
          <w:jc w:val="center"/>
        </w:trPr>
        <w:tc>
          <w:tcPr>
            <w:tcW w:w="1920" w:type="dxa"/>
            <w:shd w:val="clear" w:color="auto" w:fill="D9D9D9" w:themeFill="background1" w:themeFillShade="D9"/>
          </w:tcPr>
          <w:p w14:paraId="2C797AE9" w14:textId="77777777" w:rsidR="0054144D" w:rsidRDefault="00AE3AA7" w:rsidP="004C6528">
            <w:pPr>
              <w:rPr>
                <w:rFonts w:ascii="Arial" w:hAnsi="Arial" w:cs="Arial"/>
                <w:b/>
                <w:sz w:val="22"/>
                <w:szCs w:val="22"/>
              </w:rPr>
            </w:pPr>
            <w:r>
              <w:rPr>
                <w:rFonts w:ascii="Arial" w:hAnsi="Arial" w:cs="Arial"/>
                <w:b/>
                <w:sz w:val="22"/>
                <w:szCs w:val="22"/>
              </w:rPr>
              <w:t>Availability:</w:t>
            </w:r>
          </w:p>
        </w:tc>
        <w:tc>
          <w:tcPr>
            <w:tcW w:w="9685" w:type="dxa"/>
          </w:tcPr>
          <w:p w14:paraId="4B6D13B6" w14:textId="5A36EC3C" w:rsidR="0054144D" w:rsidRPr="00C07DF1" w:rsidRDefault="006669D3" w:rsidP="00230346">
            <w:pPr>
              <w:rPr>
                <w:rFonts w:ascii="Arial" w:hAnsi="Arial" w:cs="Arial"/>
                <w:bCs/>
                <w:sz w:val="22"/>
                <w:szCs w:val="22"/>
              </w:rPr>
            </w:pPr>
            <w:r>
              <w:rPr>
                <w:rFonts w:ascii="Arial" w:hAnsi="Arial" w:cs="Arial"/>
                <w:bCs/>
                <w:sz w:val="22"/>
                <w:szCs w:val="22"/>
              </w:rPr>
              <w:t>Publicly a</w:t>
            </w:r>
            <w:r w:rsidR="0054379F">
              <w:rPr>
                <w:rFonts w:ascii="Arial" w:hAnsi="Arial" w:cs="Arial"/>
                <w:bCs/>
                <w:sz w:val="22"/>
                <w:szCs w:val="22"/>
              </w:rPr>
              <w:t>vailable</w:t>
            </w:r>
          </w:p>
        </w:tc>
      </w:tr>
      <w:tr w:rsidR="004C6528" w:rsidRPr="00981EE2" w14:paraId="50B06D47" w14:textId="77777777" w:rsidTr="00516736">
        <w:trPr>
          <w:trHeight w:val="58"/>
          <w:jc w:val="center"/>
        </w:trPr>
        <w:tc>
          <w:tcPr>
            <w:tcW w:w="1920" w:type="dxa"/>
            <w:shd w:val="clear" w:color="auto" w:fill="FFFFFF" w:themeFill="background1"/>
          </w:tcPr>
          <w:p w14:paraId="5A6B7247" w14:textId="77777777" w:rsidR="00A02104" w:rsidRPr="00981EE2" w:rsidDel="00C53427" w:rsidRDefault="004C6528" w:rsidP="004C6528">
            <w:pPr>
              <w:rPr>
                <w:rFonts w:ascii="Arial" w:hAnsi="Arial" w:cs="Arial"/>
                <w:b/>
                <w:sz w:val="22"/>
                <w:szCs w:val="22"/>
              </w:rPr>
            </w:pPr>
            <w:r>
              <w:rPr>
                <w:rFonts w:ascii="Arial" w:hAnsi="Arial" w:cs="Arial"/>
                <w:b/>
                <w:sz w:val="22"/>
                <w:szCs w:val="22"/>
              </w:rPr>
              <w:t>Life Stage:</w:t>
            </w:r>
          </w:p>
        </w:tc>
        <w:tc>
          <w:tcPr>
            <w:tcW w:w="9685" w:type="dxa"/>
          </w:tcPr>
          <w:p w14:paraId="670BF485" w14:textId="3125FFE3" w:rsidR="004926F7" w:rsidRPr="0054379F" w:rsidDel="00C53427" w:rsidRDefault="0054379F" w:rsidP="009A76F2">
            <w:pPr>
              <w:rPr>
                <w:rFonts w:ascii="Arial" w:hAnsi="Arial" w:cs="Arial"/>
                <w:sz w:val="22"/>
                <w:szCs w:val="22"/>
              </w:rPr>
            </w:pPr>
            <w:r w:rsidRPr="0054379F">
              <w:rPr>
                <w:rFonts w:ascii="Arial" w:hAnsi="Arial" w:cs="Arial"/>
                <w:sz w:val="22"/>
                <w:szCs w:val="22"/>
              </w:rPr>
              <w:t>None</w:t>
            </w:r>
          </w:p>
        </w:tc>
      </w:tr>
      <w:tr w:rsidR="004C6528" w:rsidRPr="00981EE2" w14:paraId="748F4B6C" w14:textId="77777777" w:rsidTr="00516736">
        <w:trPr>
          <w:trHeight w:val="58"/>
          <w:jc w:val="center"/>
        </w:trPr>
        <w:tc>
          <w:tcPr>
            <w:tcW w:w="1920" w:type="dxa"/>
            <w:shd w:val="clear" w:color="auto" w:fill="D9D9D9" w:themeFill="background1" w:themeFillShade="D9"/>
          </w:tcPr>
          <w:p w14:paraId="1B5D2A44" w14:textId="77777777" w:rsidR="00A02104" w:rsidRPr="00981EE2" w:rsidDel="00C53427" w:rsidRDefault="004C6528" w:rsidP="0038448E">
            <w:pPr>
              <w:rPr>
                <w:rFonts w:ascii="Arial" w:hAnsi="Arial" w:cs="Arial"/>
                <w:b/>
                <w:sz w:val="22"/>
                <w:szCs w:val="22"/>
              </w:rPr>
            </w:pPr>
            <w:r w:rsidRPr="00981EE2">
              <w:rPr>
                <w:rFonts w:ascii="Arial" w:hAnsi="Arial" w:cs="Arial"/>
                <w:b/>
                <w:sz w:val="22"/>
                <w:szCs w:val="22"/>
              </w:rPr>
              <w:t>Language:</w:t>
            </w:r>
          </w:p>
        </w:tc>
        <w:tc>
          <w:tcPr>
            <w:tcW w:w="9685" w:type="dxa"/>
          </w:tcPr>
          <w:p w14:paraId="602B34A3" w14:textId="6E3113FB" w:rsidR="004C6528" w:rsidRPr="0054379F" w:rsidDel="00C53427" w:rsidRDefault="0054379F" w:rsidP="009A76F2">
            <w:pPr>
              <w:rPr>
                <w:rFonts w:ascii="Arial" w:hAnsi="Arial" w:cs="Arial"/>
                <w:sz w:val="22"/>
                <w:szCs w:val="22"/>
              </w:rPr>
            </w:pPr>
            <w:r w:rsidRPr="0054379F">
              <w:rPr>
                <w:rFonts w:ascii="Arial" w:hAnsi="Arial" w:cs="Arial"/>
                <w:sz w:val="22"/>
                <w:szCs w:val="22"/>
              </w:rPr>
              <w:t>English</w:t>
            </w:r>
          </w:p>
        </w:tc>
      </w:tr>
      <w:tr w:rsidR="004C6528" w:rsidRPr="00981EE2" w14:paraId="2BF31A36" w14:textId="77777777" w:rsidTr="00516736">
        <w:trPr>
          <w:trHeight w:val="58"/>
          <w:jc w:val="center"/>
        </w:trPr>
        <w:tc>
          <w:tcPr>
            <w:tcW w:w="1920" w:type="dxa"/>
            <w:shd w:val="clear" w:color="auto" w:fill="FFFFFF" w:themeFill="background1"/>
          </w:tcPr>
          <w:p w14:paraId="384D51E4" w14:textId="77777777" w:rsidR="004C6528" w:rsidRPr="009A76F2" w:rsidRDefault="004C6528" w:rsidP="004C6528">
            <w:pPr>
              <w:rPr>
                <w:rFonts w:ascii="Arial" w:hAnsi="Arial" w:cs="Arial"/>
                <w:b/>
                <w:sz w:val="16"/>
                <w:szCs w:val="16"/>
              </w:rPr>
            </w:pPr>
            <w:r w:rsidRPr="00981EE2">
              <w:rPr>
                <w:rFonts w:ascii="Arial" w:hAnsi="Arial" w:cs="Arial"/>
                <w:b/>
                <w:sz w:val="22"/>
                <w:szCs w:val="22"/>
              </w:rPr>
              <w:t>Participant:</w:t>
            </w:r>
          </w:p>
        </w:tc>
        <w:tc>
          <w:tcPr>
            <w:tcW w:w="9685" w:type="dxa"/>
          </w:tcPr>
          <w:p w14:paraId="094B61C9" w14:textId="018D8054" w:rsidR="004C6528" w:rsidRPr="00DA0B77" w:rsidRDefault="00DA0B77" w:rsidP="005F2503">
            <w:pPr>
              <w:rPr>
                <w:rFonts w:ascii="Arial" w:hAnsi="Arial" w:cs="Arial"/>
                <w:sz w:val="22"/>
                <w:szCs w:val="22"/>
              </w:rPr>
            </w:pPr>
            <w:r w:rsidRPr="00DA0B77">
              <w:rPr>
                <w:rFonts w:ascii="Arial" w:hAnsi="Arial" w:cs="Arial"/>
                <w:sz w:val="22"/>
                <w:szCs w:val="22"/>
              </w:rPr>
              <w:t>None</w:t>
            </w:r>
          </w:p>
        </w:tc>
      </w:tr>
      <w:tr w:rsidR="004C6528" w:rsidRPr="00981EE2" w14:paraId="27558E14" w14:textId="77777777" w:rsidTr="00516736">
        <w:trPr>
          <w:trHeight w:val="58"/>
          <w:jc w:val="center"/>
        </w:trPr>
        <w:tc>
          <w:tcPr>
            <w:tcW w:w="1920" w:type="dxa"/>
            <w:tcBorders>
              <w:bottom w:val="single" w:sz="4" w:space="0" w:color="auto"/>
            </w:tcBorders>
            <w:shd w:val="clear" w:color="auto" w:fill="D9D9D9" w:themeFill="background1" w:themeFillShade="D9"/>
          </w:tcPr>
          <w:p w14:paraId="28415A51" w14:textId="77777777" w:rsidR="004C6528" w:rsidRPr="009A76F2" w:rsidRDefault="004C6528" w:rsidP="004C6528">
            <w:pPr>
              <w:rPr>
                <w:rFonts w:ascii="Arial" w:hAnsi="Arial" w:cs="Arial"/>
                <w:b/>
                <w:sz w:val="22"/>
                <w:szCs w:val="22"/>
              </w:rPr>
            </w:pPr>
            <w:r w:rsidRPr="00981EE2">
              <w:rPr>
                <w:rFonts w:ascii="Arial" w:hAnsi="Arial" w:cs="Arial"/>
                <w:b/>
                <w:sz w:val="22"/>
                <w:szCs w:val="22"/>
              </w:rPr>
              <w:t>Personnel and Training Required:</w:t>
            </w:r>
          </w:p>
        </w:tc>
        <w:tc>
          <w:tcPr>
            <w:tcW w:w="9685" w:type="dxa"/>
          </w:tcPr>
          <w:p w14:paraId="6E32A0F3" w14:textId="24F75FB0" w:rsidR="004C6528" w:rsidRPr="00981EE2" w:rsidRDefault="00877345" w:rsidP="009A76F2">
            <w:pPr>
              <w:rPr>
                <w:rFonts w:ascii="Arial" w:hAnsi="Arial" w:cs="Arial"/>
                <w:sz w:val="22"/>
                <w:szCs w:val="22"/>
              </w:rPr>
            </w:pPr>
            <w:r>
              <w:rPr>
                <w:rFonts w:ascii="Arial" w:hAnsi="Arial" w:cs="Arial"/>
                <w:sz w:val="22"/>
                <w:szCs w:val="22"/>
              </w:rPr>
              <w:t>None</w:t>
            </w:r>
          </w:p>
        </w:tc>
      </w:tr>
      <w:tr w:rsidR="004C6528" w:rsidRPr="00981EE2" w14:paraId="62FF7BA0" w14:textId="77777777" w:rsidTr="00516736">
        <w:trPr>
          <w:trHeight w:val="58"/>
          <w:jc w:val="center"/>
        </w:trPr>
        <w:tc>
          <w:tcPr>
            <w:tcW w:w="1920" w:type="dxa"/>
            <w:shd w:val="clear" w:color="auto" w:fill="FFFFFF" w:themeFill="background1"/>
          </w:tcPr>
          <w:p w14:paraId="18385C3A" w14:textId="77777777" w:rsidR="004C6528" w:rsidRPr="009A76F2" w:rsidRDefault="004C6528" w:rsidP="004C6528">
            <w:pPr>
              <w:rPr>
                <w:rFonts w:ascii="Arial" w:hAnsi="Arial" w:cs="Arial"/>
                <w:b/>
                <w:sz w:val="22"/>
                <w:szCs w:val="22"/>
              </w:rPr>
            </w:pPr>
            <w:r w:rsidRPr="00981EE2">
              <w:rPr>
                <w:rFonts w:ascii="Arial" w:hAnsi="Arial" w:cs="Arial"/>
                <w:b/>
                <w:sz w:val="22"/>
                <w:szCs w:val="22"/>
              </w:rPr>
              <w:t>Equipment Needs:</w:t>
            </w:r>
          </w:p>
        </w:tc>
        <w:tc>
          <w:tcPr>
            <w:tcW w:w="9685" w:type="dxa"/>
          </w:tcPr>
          <w:p w14:paraId="4536D112" w14:textId="69D74236" w:rsidR="004C6528" w:rsidRPr="00981EE2" w:rsidRDefault="00877345" w:rsidP="009A76F2">
            <w:pPr>
              <w:rPr>
                <w:rFonts w:ascii="Arial" w:hAnsi="Arial" w:cs="Arial"/>
                <w:sz w:val="22"/>
                <w:szCs w:val="22"/>
              </w:rPr>
            </w:pPr>
            <w:r>
              <w:rPr>
                <w:rFonts w:ascii="Arial" w:hAnsi="Arial" w:cs="Arial"/>
                <w:sz w:val="22"/>
                <w:szCs w:val="22"/>
              </w:rPr>
              <w:t>None</w:t>
            </w:r>
          </w:p>
        </w:tc>
      </w:tr>
      <w:tr w:rsidR="004C6528" w:rsidRPr="00981EE2" w14:paraId="55E2C8A7" w14:textId="77777777" w:rsidTr="00516736">
        <w:trPr>
          <w:trHeight w:val="58"/>
          <w:jc w:val="center"/>
        </w:trPr>
        <w:tc>
          <w:tcPr>
            <w:tcW w:w="1920" w:type="dxa"/>
            <w:shd w:val="clear" w:color="auto" w:fill="D9D9D9" w:themeFill="background1" w:themeFillShade="D9"/>
          </w:tcPr>
          <w:p w14:paraId="7E368C07" w14:textId="77777777" w:rsidR="004C6528" w:rsidRPr="009A76F2" w:rsidRDefault="004C6528" w:rsidP="415D4811">
            <w:pPr>
              <w:rPr>
                <w:rFonts w:ascii="Arial" w:hAnsi="Arial" w:cs="Arial"/>
                <w:b/>
                <w:bCs/>
                <w:sz w:val="16"/>
                <w:szCs w:val="16"/>
              </w:rPr>
            </w:pPr>
            <w:r w:rsidRPr="44A24E26">
              <w:rPr>
                <w:rFonts w:ascii="Arial" w:hAnsi="Arial" w:cs="Arial"/>
                <w:b/>
                <w:bCs/>
                <w:sz w:val="22"/>
                <w:szCs w:val="22"/>
              </w:rPr>
              <w:t>General References:</w:t>
            </w:r>
          </w:p>
        </w:tc>
        <w:tc>
          <w:tcPr>
            <w:tcW w:w="9685" w:type="dxa"/>
          </w:tcPr>
          <w:p w14:paraId="0DA6DFC2" w14:textId="7F305B92" w:rsidR="00F15E47" w:rsidRPr="00B04EC5" w:rsidRDefault="00253867" w:rsidP="00B04EC5">
            <w:pPr>
              <w:rPr>
                <w:rFonts w:ascii="Arial" w:hAnsi="Arial" w:cs="Arial"/>
                <w:sz w:val="22"/>
                <w:szCs w:val="22"/>
                <w:shd w:val="clear" w:color="auto" w:fill="FFFFFF"/>
              </w:rPr>
            </w:pPr>
            <w:r w:rsidRPr="00253867">
              <w:rPr>
                <w:rFonts w:ascii="Arial" w:hAnsi="Arial" w:cs="Arial"/>
                <w:sz w:val="22"/>
                <w:szCs w:val="22"/>
                <w:shd w:val="clear" w:color="auto" w:fill="FFFFFF"/>
              </w:rPr>
              <w:t xml:space="preserve">Weiner, S. G., El Ibrahimi, S., Hendricks, M. A., Hallvik, S. E., Hildebran, C., Fischer, M. A., Weiss, R. D., Boyer, E. W., Kreiner, P. W., Wright, D. A., Flores, D. P., &amp; Ritter, G. A. (2022). Factors </w:t>
            </w:r>
            <w:r w:rsidR="0061655A" w:rsidRPr="00253867">
              <w:rPr>
                <w:rFonts w:ascii="Arial" w:hAnsi="Arial" w:cs="Arial"/>
                <w:sz w:val="22"/>
                <w:szCs w:val="22"/>
                <w:shd w:val="clear" w:color="auto" w:fill="FFFFFF"/>
              </w:rPr>
              <w:t>associated with opioid overdose after an initial opioid prescription. </w:t>
            </w:r>
            <w:r w:rsidRPr="00253867">
              <w:rPr>
                <w:rFonts w:ascii="Arial" w:hAnsi="Arial" w:cs="Arial"/>
                <w:i/>
                <w:iCs/>
                <w:sz w:val="22"/>
                <w:szCs w:val="22"/>
                <w:shd w:val="clear" w:color="auto" w:fill="FFFFFF"/>
              </w:rPr>
              <w:t xml:space="preserve">JAMA </w:t>
            </w:r>
            <w:r w:rsidR="0061655A">
              <w:rPr>
                <w:rFonts w:ascii="Arial" w:hAnsi="Arial" w:cs="Arial"/>
                <w:i/>
                <w:iCs/>
                <w:sz w:val="22"/>
                <w:szCs w:val="22"/>
                <w:shd w:val="clear" w:color="auto" w:fill="FFFFFF"/>
              </w:rPr>
              <w:t>N</w:t>
            </w:r>
            <w:r w:rsidRPr="00253867">
              <w:rPr>
                <w:rFonts w:ascii="Arial" w:hAnsi="Arial" w:cs="Arial"/>
                <w:i/>
                <w:iCs/>
                <w:sz w:val="22"/>
                <w:szCs w:val="22"/>
                <w:shd w:val="clear" w:color="auto" w:fill="FFFFFF"/>
              </w:rPr>
              <w:t xml:space="preserve">etwork </w:t>
            </w:r>
            <w:r w:rsidR="0061655A">
              <w:rPr>
                <w:rFonts w:ascii="Arial" w:hAnsi="Arial" w:cs="Arial"/>
                <w:i/>
                <w:iCs/>
                <w:sz w:val="22"/>
                <w:szCs w:val="22"/>
                <w:shd w:val="clear" w:color="auto" w:fill="FFFFFF"/>
              </w:rPr>
              <w:t>O</w:t>
            </w:r>
            <w:r w:rsidRPr="00253867">
              <w:rPr>
                <w:rFonts w:ascii="Arial" w:hAnsi="Arial" w:cs="Arial"/>
                <w:i/>
                <w:iCs/>
                <w:sz w:val="22"/>
                <w:szCs w:val="22"/>
                <w:shd w:val="clear" w:color="auto" w:fill="FFFFFF"/>
              </w:rPr>
              <w:t>pen</w:t>
            </w:r>
            <w:r w:rsidRPr="00253867">
              <w:rPr>
                <w:rFonts w:ascii="Arial" w:hAnsi="Arial" w:cs="Arial"/>
                <w:sz w:val="22"/>
                <w:szCs w:val="22"/>
                <w:shd w:val="clear" w:color="auto" w:fill="FFFFFF"/>
              </w:rPr>
              <w:t>, </w:t>
            </w:r>
            <w:r w:rsidRPr="00253867">
              <w:rPr>
                <w:rFonts w:ascii="Arial" w:hAnsi="Arial" w:cs="Arial"/>
                <w:i/>
                <w:iCs/>
                <w:sz w:val="22"/>
                <w:szCs w:val="22"/>
                <w:shd w:val="clear" w:color="auto" w:fill="FFFFFF"/>
              </w:rPr>
              <w:t>5</w:t>
            </w:r>
            <w:r w:rsidRPr="00253867">
              <w:rPr>
                <w:rFonts w:ascii="Arial" w:hAnsi="Arial" w:cs="Arial"/>
                <w:sz w:val="22"/>
                <w:szCs w:val="22"/>
                <w:shd w:val="clear" w:color="auto" w:fill="FFFFFF"/>
              </w:rPr>
              <w:t>(1), e2145691. https://doi.org/10.1001/jamanetworkopen.2021.45691</w:t>
            </w:r>
          </w:p>
        </w:tc>
      </w:tr>
      <w:tr w:rsidR="004C6528" w:rsidRPr="00981EE2" w14:paraId="348487A1" w14:textId="77777777" w:rsidTr="00516736">
        <w:trPr>
          <w:trHeight w:val="58"/>
          <w:jc w:val="center"/>
        </w:trPr>
        <w:tc>
          <w:tcPr>
            <w:tcW w:w="1920" w:type="dxa"/>
            <w:shd w:val="clear" w:color="auto" w:fill="FFFFFF" w:themeFill="background1"/>
          </w:tcPr>
          <w:p w14:paraId="78388AD4" w14:textId="77777777" w:rsidR="00A02104" w:rsidRPr="00981EE2" w:rsidRDefault="004C6528" w:rsidP="004C6528">
            <w:pPr>
              <w:rPr>
                <w:rFonts w:ascii="Arial" w:hAnsi="Arial" w:cs="Arial"/>
                <w:b/>
                <w:sz w:val="22"/>
                <w:szCs w:val="22"/>
              </w:rPr>
            </w:pPr>
            <w:r>
              <w:rPr>
                <w:rFonts w:ascii="Arial" w:hAnsi="Arial" w:cs="Arial"/>
                <w:b/>
                <w:sz w:val="22"/>
                <w:szCs w:val="22"/>
              </w:rPr>
              <w:t>Mode of Administration</w:t>
            </w:r>
            <w:r w:rsidRPr="00981EE2">
              <w:rPr>
                <w:rFonts w:ascii="Arial" w:hAnsi="Arial" w:cs="Arial"/>
                <w:b/>
                <w:sz w:val="22"/>
                <w:szCs w:val="22"/>
              </w:rPr>
              <w:t>:</w:t>
            </w:r>
          </w:p>
        </w:tc>
        <w:tc>
          <w:tcPr>
            <w:tcW w:w="9685" w:type="dxa"/>
          </w:tcPr>
          <w:p w14:paraId="2C32D0E4" w14:textId="441EC278" w:rsidR="001F47C8" w:rsidRPr="006D2955" w:rsidRDefault="071FD190" w:rsidP="009A76F2">
            <w:pPr>
              <w:rPr>
                <w:rFonts w:ascii="Arial" w:hAnsi="Arial" w:cs="Arial"/>
                <w:sz w:val="22"/>
                <w:szCs w:val="22"/>
              </w:rPr>
            </w:pPr>
            <w:r w:rsidRPr="514A0F63">
              <w:rPr>
                <w:rFonts w:ascii="Arial" w:hAnsi="Arial" w:cs="Arial"/>
                <w:sz w:val="22"/>
                <w:szCs w:val="22"/>
              </w:rPr>
              <w:t>Secondary Data Analysis</w:t>
            </w:r>
          </w:p>
        </w:tc>
      </w:tr>
      <w:tr w:rsidR="002B7F74" w:rsidRPr="00981EE2" w14:paraId="3FFC37A9" w14:textId="77777777" w:rsidTr="00516736">
        <w:trPr>
          <w:trHeight w:val="58"/>
          <w:jc w:val="center"/>
        </w:trPr>
        <w:tc>
          <w:tcPr>
            <w:tcW w:w="1920" w:type="dxa"/>
            <w:shd w:val="clear" w:color="auto" w:fill="D9D9D9" w:themeFill="background1" w:themeFillShade="D9"/>
          </w:tcPr>
          <w:p w14:paraId="5B540C4B" w14:textId="77777777" w:rsidR="002B7F74" w:rsidRPr="00981EE2" w:rsidRDefault="002B7F74" w:rsidP="002B7F74">
            <w:pPr>
              <w:rPr>
                <w:rFonts w:ascii="Arial" w:hAnsi="Arial" w:cs="Arial"/>
                <w:b/>
                <w:sz w:val="22"/>
                <w:szCs w:val="22"/>
              </w:rPr>
            </w:pPr>
            <w:r w:rsidRPr="00981EE2">
              <w:rPr>
                <w:rFonts w:ascii="Arial" w:hAnsi="Arial" w:cs="Arial"/>
                <w:b/>
                <w:sz w:val="22"/>
                <w:szCs w:val="22"/>
              </w:rPr>
              <w:t>Derived Variables:</w:t>
            </w:r>
          </w:p>
        </w:tc>
        <w:tc>
          <w:tcPr>
            <w:tcW w:w="9685" w:type="dxa"/>
          </w:tcPr>
          <w:p w14:paraId="42688D29" w14:textId="0DA7CB22" w:rsidR="002B7F74" w:rsidRPr="00E06CD7" w:rsidRDefault="00E06CD7" w:rsidP="002B7F74">
            <w:pPr>
              <w:rPr>
                <w:rFonts w:ascii="Arial" w:hAnsi="Arial" w:cs="Arial"/>
                <w:sz w:val="22"/>
                <w:szCs w:val="22"/>
              </w:rPr>
            </w:pPr>
            <w:r w:rsidRPr="00E06CD7">
              <w:rPr>
                <w:rFonts w:ascii="Arial" w:hAnsi="Arial" w:cs="Arial"/>
                <w:sz w:val="22"/>
                <w:szCs w:val="22"/>
              </w:rPr>
              <w:t>None</w:t>
            </w:r>
          </w:p>
        </w:tc>
      </w:tr>
      <w:tr w:rsidR="002B7F74" w:rsidRPr="00981EE2" w14:paraId="2EE4637F" w14:textId="77777777" w:rsidTr="00516736">
        <w:trPr>
          <w:trHeight w:val="953"/>
          <w:jc w:val="center"/>
        </w:trPr>
        <w:tc>
          <w:tcPr>
            <w:tcW w:w="1920" w:type="dxa"/>
            <w:shd w:val="clear" w:color="auto" w:fill="FFFFFF" w:themeFill="background1"/>
          </w:tcPr>
          <w:p w14:paraId="49F01919" w14:textId="77777777" w:rsidR="00A02104" w:rsidRPr="00981EE2" w:rsidRDefault="002B7F74" w:rsidP="0038448E">
            <w:pPr>
              <w:rPr>
                <w:rFonts w:ascii="Arial" w:hAnsi="Arial" w:cs="Arial"/>
                <w:b/>
                <w:sz w:val="22"/>
                <w:szCs w:val="22"/>
              </w:rPr>
            </w:pPr>
            <w:r w:rsidRPr="00981EE2">
              <w:rPr>
                <w:rFonts w:ascii="Arial" w:hAnsi="Arial" w:cs="Arial"/>
                <w:b/>
                <w:sz w:val="22"/>
                <w:szCs w:val="22"/>
              </w:rPr>
              <w:t>Requirements:</w:t>
            </w:r>
          </w:p>
        </w:tc>
        <w:tc>
          <w:tcPr>
            <w:tcW w:w="9685" w:type="dxa"/>
          </w:tcPr>
          <w:p w14:paraId="1AFFB198" w14:textId="77777777" w:rsidR="002B7F74" w:rsidRPr="00981EE2" w:rsidRDefault="002B7F74" w:rsidP="002B7F74">
            <w:pPr>
              <w:rPr>
                <w:rFonts w:ascii="Arial" w:hAnsi="Arial" w:cs="Arial"/>
                <w:sz w:val="22"/>
                <w:szCs w:val="22"/>
              </w:rPr>
            </w:pPr>
          </w:p>
          <w:tbl>
            <w:tblPr>
              <w:tblW w:w="0" w:type="auto"/>
              <w:tblCellMar>
                <w:left w:w="10" w:type="dxa"/>
                <w:right w:w="10" w:type="dxa"/>
              </w:tblCellMar>
              <w:tblLook w:val="0000" w:firstRow="0" w:lastRow="0" w:firstColumn="0" w:lastColumn="0" w:noHBand="0" w:noVBand="0"/>
            </w:tblPr>
            <w:tblGrid>
              <w:gridCol w:w="4680"/>
              <w:gridCol w:w="2250"/>
            </w:tblGrid>
            <w:tr w:rsidR="002B7F74" w:rsidRPr="00981EE2" w14:paraId="282B5B26" w14:textId="77777777" w:rsidTr="008A218B">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5E4CE211"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46899BD0"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B7F74" w:rsidRPr="00981EE2" w14:paraId="06AF8BDD" w14:textId="77777777" w:rsidTr="008A218B">
              <w:trPr>
                <w:trHeight w:val="384"/>
              </w:trPr>
              <w:tc>
                <w:tcPr>
                  <w:tcW w:w="4680" w:type="dxa"/>
                  <w:tcBorders>
                    <w:top w:val="nil"/>
                    <w:left w:val="single" w:sz="8" w:space="0" w:color="auto"/>
                    <w:bottom w:val="single" w:sz="8" w:space="0" w:color="auto"/>
                    <w:right w:val="single" w:sz="8" w:space="0" w:color="auto"/>
                  </w:tcBorders>
                </w:tcPr>
                <w:p w14:paraId="22547974"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1DC416E8" w14:textId="2365988F" w:rsidR="002B7F74" w:rsidRPr="00981EE2" w:rsidRDefault="00E06CD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7F708434" w14:textId="77777777" w:rsidTr="008A218B">
              <w:trPr>
                <w:trHeight w:val="384"/>
              </w:trPr>
              <w:tc>
                <w:tcPr>
                  <w:tcW w:w="4680" w:type="dxa"/>
                  <w:tcBorders>
                    <w:top w:val="nil"/>
                    <w:left w:val="single" w:sz="8" w:space="0" w:color="auto"/>
                    <w:bottom w:val="single" w:sz="8" w:space="0" w:color="auto"/>
                    <w:right w:val="single" w:sz="8" w:space="0" w:color="auto"/>
                  </w:tcBorders>
                </w:tcPr>
                <w:p w14:paraId="17955F00"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586A41F0" w14:textId="4078C1D1" w:rsidR="002B7F74" w:rsidRPr="00981EE2" w:rsidRDefault="00E06CD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7D5C557E"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1A8CADF0"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21F98B29" w14:textId="49A2BE61" w:rsidR="002B7F74" w:rsidRPr="00981EE2" w:rsidRDefault="00E06CD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12193343"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5A48CC6A"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35D6F246" w14:textId="3E90ECA0" w:rsidR="002B7F74" w:rsidRPr="00981EE2" w:rsidRDefault="00E06CD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bl>
          <w:p w14:paraId="6BD03DEB" w14:textId="77777777" w:rsidR="002B7F74" w:rsidRPr="00981EE2" w:rsidRDefault="002B7F74" w:rsidP="005F2503">
            <w:pPr>
              <w:autoSpaceDE w:val="0"/>
              <w:autoSpaceDN w:val="0"/>
              <w:adjustRightInd w:val="0"/>
              <w:rPr>
                <w:rFonts w:ascii="Arial" w:hAnsi="Arial" w:cs="Arial"/>
                <w:b/>
                <w:sz w:val="22"/>
                <w:szCs w:val="22"/>
              </w:rPr>
            </w:pPr>
          </w:p>
        </w:tc>
      </w:tr>
      <w:tr w:rsidR="00E952CE" w:rsidRPr="00981EE2" w14:paraId="066C022A" w14:textId="77777777" w:rsidTr="00516736">
        <w:trPr>
          <w:trHeight w:val="58"/>
          <w:jc w:val="center"/>
        </w:trPr>
        <w:tc>
          <w:tcPr>
            <w:tcW w:w="1920" w:type="dxa"/>
            <w:tcBorders>
              <w:bottom w:val="single" w:sz="4" w:space="0" w:color="auto"/>
            </w:tcBorders>
            <w:shd w:val="clear" w:color="auto" w:fill="D9D9D9" w:themeFill="background1" w:themeFillShade="D9"/>
          </w:tcPr>
          <w:p w14:paraId="0AC9D42F" w14:textId="77777777" w:rsidR="00E952CE" w:rsidRDefault="00E952CE" w:rsidP="002B7F74">
            <w:pPr>
              <w:rPr>
                <w:rFonts w:ascii="Arial" w:hAnsi="Arial" w:cs="Arial"/>
                <w:b/>
                <w:sz w:val="22"/>
                <w:szCs w:val="22"/>
              </w:rPr>
            </w:pPr>
            <w:r>
              <w:rPr>
                <w:rFonts w:ascii="Arial" w:hAnsi="Arial" w:cs="Arial"/>
                <w:b/>
                <w:sz w:val="22"/>
                <w:szCs w:val="22"/>
              </w:rPr>
              <w:lastRenderedPageBreak/>
              <w:t>Annotations for Specific Conditions:</w:t>
            </w:r>
          </w:p>
        </w:tc>
        <w:tc>
          <w:tcPr>
            <w:tcW w:w="9685" w:type="dxa"/>
          </w:tcPr>
          <w:p w14:paraId="7BDDC8C4" w14:textId="7D523B09" w:rsidR="00E952CE" w:rsidRPr="005D6ADF" w:rsidRDefault="00E06CD7" w:rsidP="0046236D">
            <w:pPr>
              <w:rPr>
                <w:rFonts w:ascii="Arial" w:hAnsi="Arial" w:cs="Arial"/>
                <w:sz w:val="22"/>
                <w:szCs w:val="22"/>
              </w:rPr>
            </w:pPr>
            <w:r>
              <w:rPr>
                <w:rFonts w:ascii="Arial" w:hAnsi="Arial" w:cs="Arial"/>
                <w:sz w:val="22"/>
                <w:szCs w:val="22"/>
              </w:rPr>
              <w:t>No annotations at this time</w:t>
            </w:r>
          </w:p>
        </w:tc>
      </w:tr>
      <w:tr w:rsidR="002B7F74" w:rsidRPr="00981EE2" w14:paraId="5E331C54" w14:textId="77777777" w:rsidTr="00516736">
        <w:trPr>
          <w:trHeight w:val="58"/>
          <w:jc w:val="center"/>
        </w:trPr>
        <w:tc>
          <w:tcPr>
            <w:tcW w:w="1920" w:type="dxa"/>
            <w:shd w:val="clear" w:color="auto" w:fill="FFFFFF" w:themeFill="background1"/>
          </w:tcPr>
          <w:p w14:paraId="789BBB94" w14:textId="77777777" w:rsidR="002B7F74" w:rsidRPr="00981EE2" w:rsidRDefault="002B7F74" w:rsidP="002B7F74">
            <w:pPr>
              <w:rPr>
                <w:rFonts w:ascii="Arial" w:hAnsi="Arial" w:cs="Arial"/>
                <w:b/>
                <w:sz w:val="22"/>
                <w:szCs w:val="22"/>
              </w:rPr>
            </w:pPr>
            <w:r>
              <w:rPr>
                <w:rFonts w:ascii="Arial" w:hAnsi="Arial" w:cs="Arial"/>
                <w:b/>
                <w:sz w:val="22"/>
                <w:szCs w:val="22"/>
              </w:rPr>
              <w:t>Process and Review:</w:t>
            </w:r>
          </w:p>
        </w:tc>
        <w:tc>
          <w:tcPr>
            <w:tcW w:w="9685" w:type="dxa"/>
          </w:tcPr>
          <w:p w14:paraId="0978110F" w14:textId="3C5E9BE8" w:rsidR="002B7F74" w:rsidRPr="00A26D97" w:rsidRDefault="00732722" w:rsidP="009A76F2">
            <w:pPr>
              <w:rPr>
                <w:rFonts w:ascii="Arial" w:hAnsi="Arial" w:cs="Arial"/>
                <w:sz w:val="22"/>
                <w:szCs w:val="22"/>
              </w:rPr>
            </w:pPr>
            <w:r>
              <w:rPr>
                <w:rFonts w:ascii="Arial" w:hAnsi="Arial" w:cs="Arial"/>
                <w:sz w:val="22"/>
                <w:szCs w:val="22"/>
              </w:rPr>
              <w:t>N</w:t>
            </w:r>
            <w:r w:rsidR="007B1B66">
              <w:rPr>
                <w:rFonts w:ascii="Arial" w:hAnsi="Arial" w:cs="Arial"/>
                <w:sz w:val="22"/>
                <w:szCs w:val="22"/>
              </w:rPr>
              <w:t>ot Applicable</w:t>
            </w:r>
          </w:p>
        </w:tc>
      </w:tr>
    </w:tbl>
    <w:p w14:paraId="69D29EFA" w14:textId="77777777" w:rsidR="006902DF" w:rsidRPr="00981EE2" w:rsidRDefault="006902DF" w:rsidP="00154EFB">
      <w:pPr>
        <w:rPr>
          <w:rFonts w:ascii="Arial" w:hAnsi="Arial" w:cs="Arial"/>
          <w:sz w:val="22"/>
          <w:szCs w:val="22"/>
        </w:rPr>
      </w:pPr>
    </w:p>
    <w:p w14:paraId="5029BC34" w14:textId="77777777" w:rsidR="006902DF" w:rsidRPr="00981EE2" w:rsidRDefault="006902DF" w:rsidP="00154EFB">
      <w:pPr>
        <w:rPr>
          <w:rFonts w:ascii="Arial" w:hAnsi="Arial" w:cs="Arial"/>
          <w:sz w:val="22"/>
          <w:szCs w:val="22"/>
        </w:rPr>
      </w:pPr>
    </w:p>
    <w:p w14:paraId="6C25F97E" w14:textId="77777777" w:rsidR="006902DF" w:rsidRPr="00981EE2" w:rsidRDefault="006902DF" w:rsidP="00154EFB">
      <w:pPr>
        <w:rPr>
          <w:rFonts w:ascii="Arial" w:hAnsi="Arial" w:cs="Arial"/>
          <w:sz w:val="22"/>
          <w:szCs w:val="22"/>
        </w:rPr>
      </w:pPr>
    </w:p>
    <w:p w14:paraId="07E1587A" w14:textId="77777777" w:rsidR="00981EE2" w:rsidRPr="00981EE2" w:rsidRDefault="00981EE2" w:rsidP="00154EFB">
      <w:pPr>
        <w:rPr>
          <w:rFonts w:ascii="Arial" w:hAnsi="Arial" w:cs="Arial"/>
          <w:sz w:val="22"/>
          <w:szCs w:val="22"/>
        </w:rPr>
      </w:pPr>
    </w:p>
    <w:sectPr w:rsidR="00981EE2" w:rsidRPr="00981EE2" w:rsidSect="00C37848">
      <w:headerReference w:type="default" r:id="rId12"/>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4D4B" w14:textId="77777777" w:rsidR="00C06AFC" w:rsidRDefault="00C06AFC">
      <w:r>
        <w:separator/>
      </w:r>
    </w:p>
  </w:endnote>
  <w:endnote w:type="continuationSeparator" w:id="0">
    <w:p w14:paraId="3D1408C1" w14:textId="77777777" w:rsidR="00C06AFC" w:rsidRDefault="00C06AFC">
      <w:r>
        <w:continuationSeparator/>
      </w:r>
    </w:p>
  </w:endnote>
  <w:endnote w:type="continuationNotice" w:id="1">
    <w:p w14:paraId="60139FC8" w14:textId="77777777" w:rsidR="00C06AFC" w:rsidRDefault="00C06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3AA7" w14:textId="77777777" w:rsidR="00C06AFC" w:rsidRDefault="00C06AFC">
      <w:r>
        <w:separator/>
      </w:r>
    </w:p>
  </w:footnote>
  <w:footnote w:type="continuationSeparator" w:id="0">
    <w:p w14:paraId="4D6E6048" w14:textId="77777777" w:rsidR="00C06AFC" w:rsidRDefault="00C06AFC">
      <w:r>
        <w:continuationSeparator/>
      </w:r>
    </w:p>
  </w:footnote>
  <w:footnote w:type="continuationNotice" w:id="1">
    <w:p w14:paraId="5F9B4741" w14:textId="77777777" w:rsidR="00C06AFC" w:rsidRDefault="00C06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9C83" w14:textId="47624FE8" w:rsidR="00C604EB" w:rsidRPr="0036273F" w:rsidRDefault="0010564B" w:rsidP="003F496E">
    <w:pPr>
      <w:rPr>
        <w:rFonts w:ascii="Arial" w:hAnsi="Arial" w:cs="Arial"/>
        <w:b/>
        <w:sz w:val="20"/>
        <w:szCs w:val="20"/>
      </w:rPr>
    </w:pPr>
    <w:r>
      <w:rPr>
        <w:rFonts w:ascii="Arial" w:hAnsi="Arial" w:cs="Arial"/>
        <w:b/>
        <w:sz w:val="20"/>
        <w:szCs w:val="20"/>
      </w:rPr>
      <w:t>Oral Morphine Milligram Equivalents</w:t>
    </w:r>
    <w:r w:rsidR="00C604EB" w:rsidRPr="0036273F">
      <w:rPr>
        <w:rFonts w:ascii="Arial" w:hAnsi="Arial" w:cs="Arial"/>
        <w:b/>
        <w:sz w:val="20"/>
        <w:szCs w:val="20"/>
      </w:rPr>
      <w:tab/>
    </w:r>
    <w:r w:rsidR="00C604EB" w:rsidRPr="0036273F">
      <w:rPr>
        <w:rFonts w:ascii="Arial" w:hAnsi="Arial" w:cs="Arial"/>
        <w:b/>
        <w:sz w:val="20"/>
        <w:szCs w:val="20"/>
      </w:rPr>
      <w:tab/>
      <w:t xml:space="preserve">                                                  </w:t>
    </w:r>
    <w:r w:rsidR="00C604EB">
      <w:rPr>
        <w:rFonts w:ascii="Arial" w:hAnsi="Arial" w:cs="Arial"/>
        <w:b/>
        <w:sz w:val="20"/>
        <w:szCs w:val="20"/>
      </w:rPr>
      <w:tab/>
    </w:r>
    <w:r w:rsidR="00C604EB" w:rsidRPr="0036273F">
      <w:rPr>
        <w:rFonts w:ascii="Arial" w:hAnsi="Arial" w:cs="Arial"/>
        <w:b/>
        <w:sz w:val="20"/>
        <w:szCs w:val="20"/>
      </w:rPr>
      <w:t>Date of SC final approval</w:t>
    </w:r>
  </w:p>
  <w:p w14:paraId="22131F90"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15:restartNumberingAfterBreak="0">
    <w:nsid w:val="377847D1"/>
    <w:multiLevelType w:val="hybridMultilevel"/>
    <w:tmpl w:val="C2D029FA"/>
    <w:lvl w:ilvl="0" w:tplc="B40A93F6">
      <w:start w:val="1"/>
      <w:numFmt w:val="decimal"/>
      <w:lvlText w:val="%1."/>
      <w:lvlJc w:val="left"/>
      <w:pPr>
        <w:ind w:left="720" w:hanging="360"/>
      </w:pPr>
    </w:lvl>
    <w:lvl w:ilvl="1" w:tplc="AF887EB2">
      <w:start w:val="1"/>
      <w:numFmt w:val="lowerLetter"/>
      <w:lvlText w:val="%2."/>
      <w:lvlJc w:val="left"/>
      <w:pPr>
        <w:ind w:left="1440" w:hanging="360"/>
      </w:pPr>
    </w:lvl>
    <w:lvl w:ilvl="2" w:tplc="E2F8F528">
      <w:start w:val="1"/>
      <w:numFmt w:val="lowerRoman"/>
      <w:lvlText w:val="%3."/>
      <w:lvlJc w:val="right"/>
      <w:pPr>
        <w:ind w:left="2160" w:hanging="180"/>
      </w:pPr>
    </w:lvl>
    <w:lvl w:ilvl="3" w:tplc="C9D0C3CE">
      <w:start w:val="1"/>
      <w:numFmt w:val="decimal"/>
      <w:lvlText w:val="%4."/>
      <w:lvlJc w:val="left"/>
      <w:pPr>
        <w:ind w:left="2880" w:hanging="360"/>
      </w:pPr>
    </w:lvl>
    <w:lvl w:ilvl="4" w:tplc="3D9E2FBA">
      <w:start w:val="1"/>
      <w:numFmt w:val="lowerLetter"/>
      <w:lvlText w:val="%5."/>
      <w:lvlJc w:val="left"/>
      <w:pPr>
        <w:ind w:left="3600" w:hanging="360"/>
      </w:pPr>
    </w:lvl>
    <w:lvl w:ilvl="5" w:tplc="81FE63DC">
      <w:start w:val="1"/>
      <w:numFmt w:val="lowerRoman"/>
      <w:lvlText w:val="%6."/>
      <w:lvlJc w:val="right"/>
      <w:pPr>
        <w:ind w:left="4320" w:hanging="180"/>
      </w:pPr>
    </w:lvl>
    <w:lvl w:ilvl="6" w:tplc="8398C3E2">
      <w:start w:val="1"/>
      <w:numFmt w:val="decimal"/>
      <w:lvlText w:val="%7."/>
      <w:lvlJc w:val="left"/>
      <w:pPr>
        <w:ind w:left="5040" w:hanging="360"/>
      </w:pPr>
    </w:lvl>
    <w:lvl w:ilvl="7" w:tplc="5DDC178E">
      <w:start w:val="1"/>
      <w:numFmt w:val="lowerLetter"/>
      <w:lvlText w:val="%8."/>
      <w:lvlJc w:val="left"/>
      <w:pPr>
        <w:ind w:left="5760" w:hanging="360"/>
      </w:pPr>
    </w:lvl>
    <w:lvl w:ilvl="8" w:tplc="2924BA5C">
      <w:start w:val="1"/>
      <w:numFmt w:val="lowerRoman"/>
      <w:lvlText w:val="%9."/>
      <w:lvlJc w:val="right"/>
      <w:pPr>
        <w:ind w:left="6480" w:hanging="180"/>
      </w:pPr>
    </w:lvl>
  </w:abstractNum>
  <w:abstractNum w:abstractNumId="7"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6528E"/>
    <w:multiLevelType w:val="hybridMultilevel"/>
    <w:tmpl w:val="CC569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2862008">
    <w:abstractNumId w:val="6"/>
  </w:num>
  <w:num w:numId="2" w16cid:durableId="264728059">
    <w:abstractNumId w:val="0"/>
  </w:num>
  <w:num w:numId="3" w16cid:durableId="1476753409">
    <w:abstractNumId w:val="2"/>
  </w:num>
  <w:num w:numId="4" w16cid:durableId="921061203">
    <w:abstractNumId w:val="15"/>
  </w:num>
  <w:num w:numId="5" w16cid:durableId="1289892467">
    <w:abstractNumId w:val="8"/>
  </w:num>
  <w:num w:numId="6" w16cid:durableId="1022516612">
    <w:abstractNumId w:val="4"/>
  </w:num>
  <w:num w:numId="7" w16cid:durableId="1535266055">
    <w:abstractNumId w:val="16"/>
  </w:num>
  <w:num w:numId="8" w16cid:durableId="344476002">
    <w:abstractNumId w:val="18"/>
  </w:num>
  <w:num w:numId="9" w16cid:durableId="1207110529">
    <w:abstractNumId w:val="10"/>
  </w:num>
  <w:num w:numId="10" w16cid:durableId="1347629951">
    <w:abstractNumId w:val="21"/>
  </w:num>
  <w:num w:numId="11" w16cid:durableId="2016759373">
    <w:abstractNumId w:val="7"/>
  </w:num>
  <w:num w:numId="12" w16cid:durableId="1144934188">
    <w:abstractNumId w:val="1"/>
  </w:num>
  <w:num w:numId="13" w16cid:durableId="1089275686">
    <w:abstractNumId w:val="5"/>
  </w:num>
  <w:num w:numId="14" w16cid:durableId="1344431769">
    <w:abstractNumId w:val="17"/>
  </w:num>
  <w:num w:numId="15" w16cid:durableId="1587764548">
    <w:abstractNumId w:val="11"/>
  </w:num>
  <w:num w:numId="16" w16cid:durableId="1773934853">
    <w:abstractNumId w:val="3"/>
  </w:num>
  <w:num w:numId="17" w16cid:durableId="14578486">
    <w:abstractNumId w:val="20"/>
  </w:num>
  <w:num w:numId="18" w16cid:durableId="1455714846">
    <w:abstractNumId w:val="24"/>
  </w:num>
  <w:num w:numId="19" w16cid:durableId="792820425">
    <w:abstractNumId w:val="13"/>
  </w:num>
  <w:num w:numId="20" w16cid:durableId="543057694">
    <w:abstractNumId w:val="19"/>
  </w:num>
  <w:num w:numId="21" w16cid:durableId="872890424">
    <w:abstractNumId w:val="13"/>
  </w:num>
  <w:num w:numId="22" w16cid:durableId="815533366">
    <w:abstractNumId w:val="22"/>
  </w:num>
  <w:num w:numId="23" w16cid:durableId="1543518891">
    <w:abstractNumId w:val="12"/>
  </w:num>
  <w:num w:numId="24" w16cid:durableId="2120639907">
    <w:abstractNumId w:val="14"/>
  </w:num>
  <w:num w:numId="25" w16cid:durableId="1336877895">
    <w:abstractNumId w:val="9"/>
  </w:num>
  <w:num w:numId="26" w16cid:durableId="38869471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70DA"/>
    <w:rsid w:val="00010291"/>
    <w:rsid w:val="0001143D"/>
    <w:rsid w:val="00012AE8"/>
    <w:rsid w:val="000168F4"/>
    <w:rsid w:val="00020515"/>
    <w:rsid w:val="00022357"/>
    <w:rsid w:val="000232E5"/>
    <w:rsid w:val="00032CCE"/>
    <w:rsid w:val="0003461D"/>
    <w:rsid w:val="00034A43"/>
    <w:rsid w:val="0003605E"/>
    <w:rsid w:val="0003618D"/>
    <w:rsid w:val="00036940"/>
    <w:rsid w:val="00037186"/>
    <w:rsid w:val="00040E4D"/>
    <w:rsid w:val="00041101"/>
    <w:rsid w:val="000449BC"/>
    <w:rsid w:val="000454A2"/>
    <w:rsid w:val="00050921"/>
    <w:rsid w:val="000521A6"/>
    <w:rsid w:val="00054005"/>
    <w:rsid w:val="00055008"/>
    <w:rsid w:val="00057C85"/>
    <w:rsid w:val="00062666"/>
    <w:rsid w:val="00063E86"/>
    <w:rsid w:val="00065BDD"/>
    <w:rsid w:val="00071DFF"/>
    <w:rsid w:val="00071E5F"/>
    <w:rsid w:val="00073724"/>
    <w:rsid w:val="000753CA"/>
    <w:rsid w:val="0007791C"/>
    <w:rsid w:val="000825DC"/>
    <w:rsid w:val="00086B33"/>
    <w:rsid w:val="000913FF"/>
    <w:rsid w:val="000919E6"/>
    <w:rsid w:val="00091B07"/>
    <w:rsid w:val="000948ED"/>
    <w:rsid w:val="00095978"/>
    <w:rsid w:val="0009613F"/>
    <w:rsid w:val="000977FC"/>
    <w:rsid w:val="00097BCB"/>
    <w:rsid w:val="000A38F8"/>
    <w:rsid w:val="000A3939"/>
    <w:rsid w:val="000A4C7C"/>
    <w:rsid w:val="000A64F2"/>
    <w:rsid w:val="000B04CC"/>
    <w:rsid w:val="000B1632"/>
    <w:rsid w:val="000C1640"/>
    <w:rsid w:val="000C4099"/>
    <w:rsid w:val="000C409F"/>
    <w:rsid w:val="000C4564"/>
    <w:rsid w:val="000C4A4D"/>
    <w:rsid w:val="000D0F67"/>
    <w:rsid w:val="000D164A"/>
    <w:rsid w:val="000D5658"/>
    <w:rsid w:val="000D5712"/>
    <w:rsid w:val="000E4F78"/>
    <w:rsid w:val="000E70E9"/>
    <w:rsid w:val="000F1B73"/>
    <w:rsid w:val="000F2392"/>
    <w:rsid w:val="000F4039"/>
    <w:rsid w:val="00100E0A"/>
    <w:rsid w:val="001024B4"/>
    <w:rsid w:val="00102EDD"/>
    <w:rsid w:val="00102FE5"/>
    <w:rsid w:val="0010564B"/>
    <w:rsid w:val="0010623F"/>
    <w:rsid w:val="00111537"/>
    <w:rsid w:val="00115F3F"/>
    <w:rsid w:val="00117985"/>
    <w:rsid w:val="00120BDC"/>
    <w:rsid w:val="001236AF"/>
    <w:rsid w:val="001243FC"/>
    <w:rsid w:val="00127C66"/>
    <w:rsid w:val="00132012"/>
    <w:rsid w:val="00135342"/>
    <w:rsid w:val="00136FEB"/>
    <w:rsid w:val="001402B5"/>
    <w:rsid w:val="00140E9B"/>
    <w:rsid w:val="00145CDB"/>
    <w:rsid w:val="0014724B"/>
    <w:rsid w:val="0015097C"/>
    <w:rsid w:val="00154EFB"/>
    <w:rsid w:val="00161368"/>
    <w:rsid w:val="00161693"/>
    <w:rsid w:val="00161FB3"/>
    <w:rsid w:val="00167C79"/>
    <w:rsid w:val="00172E1C"/>
    <w:rsid w:val="0017784A"/>
    <w:rsid w:val="001846DE"/>
    <w:rsid w:val="00184EB7"/>
    <w:rsid w:val="001858B0"/>
    <w:rsid w:val="00186F30"/>
    <w:rsid w:val="00192529"/>
    <w:rsid w:val="00196D1F"/>
    <w:rsid w:val="001A2D35"/>
    <w:rsid w:val="001A419B"/>
    <w:rsid w:val="001B0CA5"/>
    <w:rsid w:val="001B3B8C"/>
    <w:rsid w:val="001B598D"/>
    <w:rsid w:val="001B73D0"/>
    <w:rsid w:val="001C035C"/>
    <w:rsid w:val="001C3295"/>
    <w:rsid w:val="001C4111"/>
    <w:rsid w:val="001C4128"/>
    <w:rsid w:val="001C5FF0"/>
    <w:rsid w:val="001C69FF"/>
    <w:rsid w:val="001C7AF5"/>
    <w:rsid w:val="001D14E2"/>
    <w:rsid w:val="001D2DF4"/>
    <w:rsid w:val="001D3952"/>
    <w:rsid w:val="001D5A61"/>
    <w:rsid w:val="001D6184"/>
    <w:rsid w:val="001D690F"/>
    <w:rsid w:val="001E09FF"/>
    <w:rsid w:val="001E36C0"/>
    <w:rsid w:val="001E5855"/>
    <w:rsid w:val="001F15B7"/>
    <w:rsid w:val="001F47C8"/>
    <w:rsid w:val="001F6B77"/>
    <w:rsid w:val="00202C57"/>
    <w:rsid w:val="00205228"/>
    <w:rsid w:val="002107DC"/>
    <w:rsid w:val="002108BB"/>
    <w:rsid w:val="00212186"/>
    <w:rsid w:val="00214DD1"/>
    <w:rsid w:val="00217DD4"/>
    <w:rsid w:val="00221517"/>
    <w:rsid w:val="002224AD"/>
    <w:rsid w:val="00230346"/>
    <w:rsid w:val="002400EE"/>
    <w:rsid w:val="0024346B"/>
    <w:rsid w:val="002447EF"/>
    <w:rsid w:val="00244D78"/>
    <w:rsid w:val="00252180"/>
    <w:rsid w:val="00252DB3"/>
    <w:rsid w:val="00253655"/>
    <w:rsid w:val="00253867"/>
    <w:rsid w:val="00254644"/>
    <w:rsid w:val="00254961"/>
    <w:rsid w:val="0025610A"/>
    <w:rsid w:val="00257B2B"/>
    <w:rsid w:val="002611D8"/>
    <w:rsid w:val="002654E5"/>
    <w:rsid w:val="00265BAB"/>
    <w:rsid w:val="002672B9"/>
    <w:rsid w:val="00267FEC"/>
    <w:rsid w:val="00273682"/>
    <w:rsid w:val="00275CD2"/>
    <w:rsid w:val="002806C3"/>
    <w:rsid w:val="00280A6F"/>
    <w:rsid w:val="00280FDC"/>
    <w:rsid w:val="00282E2F"/>
    <w:rsid w:val="00286020"/>
    <w:rsid w:val="0029042F"/>
    <w:rsid w:val="00292A73"/>
    <w:rsid w:val="002A1F7A"/>
    <w:rsid w:val="002A2DC6"/>
    <w:rsid w:val="002A36D3"/>
    <w:rsid w:val="002B2AC4"/>
    <w:rsid w:val="002B37DC"/>
    <w:rsid w:val="002B3836"/>
    <w:rsid w:val="002B7F74"/>
    <w:rsid w:val="002C076E"/>
    <w:rsid w:val="002C3755"/>
    <w:rsid w:val="002C7EAF"/>
    <w:rsid w:val="002D348E"/>
    <w:rsid w:val="002D673B"/>
    <w:rsid w:val="002D786B"/>
    <w:rsid w:val="002E0B4A"/>
    <w:rsid w:val="002E2213"/>
    <w:rsid w:val="002E47D7"/>
    <w:rsid w:val="002E51A6"/>
    <w:rsid w:val="002E6D16"/>
    <w:rsid w:val="002F00AB"/>
    <w:rsid w:val="002F44B5"/>
    <w:rsid w:val="0030160C"/>
    <w:rsid w:val="00301CEA"/>
    <w:rsid w:val="00303EEF"/>
    <w:rsid w:val="0030486B"/>
    <w:rsid w:val="00307273"/>
    <w:rsid w:val="003136EB"/>
    <w:rsid w:val="00320260"/>
    <w:rsid w:val="003242D7"/>
    <w:rsid w:val="00324525"/>
    <w:rsid w:val="00331CD9"/>
    <w:rsid w:val="003332F5"/>
    <w:rsid w:val="0033443D"/>
    <w:rsid w:val="00335722"/>
    <w:rsid w:val="00336B63"/>
    <w:rsid w:val="00337A65"/>
    <w:rsid w:val="00343BA0"/>
    <w:rsid w:val="00343EEE"/>
    <w:rsid w:val="003456E4"/>
    <w:rsid w:val="0034758A"/>
    <w:rsid w:val="003505CC"/>
    <w:rsid w:val="00350CB1"/>
    <w:rsid w:val="00360B03"/>
    <w:rsid w:val="0036123A"/>
    <w:rsid w:val="003619AA"/>
    <w:rsid w:val="0036273F"/>
    <w:rsid w:val="0036312B"/>
    <w:rsid w:val="0036470E"/>
    <w:rsid w:val="00365DAA"/>
    <w:rsid w:val="00366447"/>
    <w:rsid w:val="0037033A"/>
    <w:rsid w:val="00371848"/>
    <w:rsid w:val="00372919"/>
    <w:rsid w:val="00372E6C"/>
    <w:rsid w:val="00373002"/>
    <w:rsid w:val="0037396D"/>
    <w:rsid w:val="00374988"/>
    <w:rsid w:val="00376052"/>
    <w:rsid w:val="00376CF0"/>
    <w:rsid w:val="00376ED3"/>
    <w:rsid w:val="00380121"/>
    <w:rsid w:val="00380E53"/>
    <w:rsid w:val="0038448E"/>
    <w:rsid w:val="00384494"/>
    <w:rsid w:val="00385759"/>
    <w:rsid w:val="00385778"/>
    <w:rsid w:val="0038715A"/>
    <w:rsid w:val="003876F1"/>
    <w:rsid w:val="00387C69"/>
    <w:rsid w:val="00390376"/>
    <w:rsid w:val="00391291"/>
    <w:rsid w:val="00391E8C"/>
    <w:rsid w:val="00392C3B"/>
    <w:rsid w:val="0039407C"/>
    <w:rsid w:val="003946B3"/>
    <w:rsid w:val="003A0607"/>
    <w:rsid w:val="003A193B"/>
    <w:rsid w:val="003A65BD"/>
    <w:rsid w:val="003A6637"/>
    <w:rsid w:val="003B2B40"/>
    <w:rsid w:val="003B45D3"/>
    <w:rsid w:val="003B4A66"/>
    <w:rsid w:val="003B504C"/>
    <w:rsid w:val="003C1872"/>
    <w:rsid w:val="003C3F2F"/>
    <w:rsid w:val="003C52B0"/>
    <w:rsid w:val="003C71FE"/>
    <w:rsid w:val="003C7405"/>
    <w:rsid w:val="003D0921"/>
    <w:rsid w:val="003D1784"/>
    <w:rsid w:val="003D284C"/>
    <w:rsid w:val="003D6338"/>
    <w:rsid w:val="003D7D49"/>
    <w:rsid w:val="003E16A4"/>
    <w:rsid w:val="003E28A8"/>
    <w:rsid w:val="003E3DEB"/>
    <w:rsid w:val="003E65E5"/>
    <w:rsid w:val="003F022E"/>
    <w:rsid w:val="003F0E7F"/>
    <w:rsid w:val="003F2C92"/>
    <w:rsid w:val="003F42D5"/>
    <w:rsid w:val="003F4866"/>
    <w:rsid w:val="003F496E"/>
    <w:rsid w:val="003F6D58"/>
    <w:rsid w:val="00401C0E"/>
    <w:rsid w:val="004028E0"/>
    <w:rsid w:val="00402E79"/>
    <w:rsid w:val="00402FAF"/>
    <w:rsid w:val="00403617"/>
    <w:rsid w:val="004049E6"/>
    <w:rsid w:val="0040630F"/>
    <w:rsid w:val="00406CE7"/>
    <w:rsid w:val="00410048"/>
    <w:rsid w:val="00426A55"/>
    <w:rsid w:val="00426F10"/>
    <w:rsid w:val="00432878"/>
    <w:rsid w:val="00432C78"/>
    <w:rsid w:val="00435DC5"/>
    <w:rsid w:val="004365F2"/>
    <w:rsid w:val="00443256"/>
    <w:rsid w:val="00444543"/>
    <w:rsid w:val="00446E32"/>
    <w:rsid w:val="00450B76"/>
    <w:rsid w:val="00454667"/>
    <w:rsid w:val="00457054"/>
    <w:rsid w:val="004609D1"/>
    <w:rsid w:val="00461798"/>
    <w:rsid w:val="0046236D"/>
    <w:rsid w:val="00462F0D"/>
    <w:rsid w:val="0046535B"/>
    <w:rsid w:val="00466514"/>
    <w:rsid w:val="00471B3C"/>
    <w:rsid w:val="00471ED4"/>
    <w:rsid w:val="0047425F"/>
    <w:rsid w:val="00474F6E"/>
    <w:rsid w:val="0047753E"/>
    <w:rsid w:val="00477B51"/>
    <w:rsid w:val="0048002C"/>
    <w:rsid w:val="00483B1D"/>
    <w:rsid w:val="00490CE7"/>
    <w:rsid w:val="00491B2C"/>
    <w:rsid w:val="004920C0"/>
    <w:rsid w:val="004926F7"/>
    <w:rsid w:val="00492863"/>
    <w:rsid w:val="00492BBA"/>
    <w:rsid w:val="00494A94"/>
    <w:rsid w:val="0049592C"/>
    <w:rsid w:val="004970EE"/>
    <w:rsid w:val="004A3C64"/>
    <w:rsid w:val="004A5FC7"/>
    <w:rsid w:val="004B1F45"/>
    <w:rsid w:val="004B2507"/>
    <w:rsid w:val="004B31B6"/>
    <w:rsid w:val="004B5531"/>
    <w:rsid w:val="004C1B25"/>
    <w:rsid w:val="004C2F61"/>
    <w:rsid w:val="004C3F11"/>
    <w:rsid w:val="004C4128"/>
    <w:rsid w:val="004C4759"/>
    <w:rsid w:val="004C498C"/>
    <w:rsid w:val="004C526E"/>
    <w:rsid w:val="004C6528"/>
    <w:rsid w:val="004C67A8"/>
    <w:rsid w:val="004D086D"/>
    <w:rsid w:val="004D1133"/>
    <w:rsid w:val="004D4226"/>
    <w:rsid w:val="004D4B70"/>
    <w:rsid w:val="004E15AC"/>
    <w:rsid w:val="004E19F7"/>
    <w:rsid w:val="004E20A1"/>
    <w:rsid w:val="004E2C1B"/>
    <w:rsid w:val="004E50F3"/>
    <w:rsid w:val="004E7678"/>
    <w:rsid w:val="004F375D"/>
    <w:rsid w:val="004F3897"/>
    <w:rsid w:val="004F5AF1"/>
    <w:rsid w:val="004F6DEA"/>
    <w:rsid w:val="00503561"/>
    <w:rsid w:val="005043E3"/>
    <w:rsid w:val="00504910"/>
    <w:rsid w:val="0050533F"/>
    <w:rsid w:val="00506123"/>
    <w:rsid w:val="005127A0"/>
    <w:rsid w:val="00513ADE"/>
    <w:rsid w:val="00513D98"/>
    <w:rsid w:val="00516736"/>
    <w:rsid w:val="00516EDC"/>
    <w:rsid w:val="005205F0"/>
    <w:rsid w:val="005234E2"/>
    <w:rsid w:val="005238F1"/>
    <w:rsid w:val="00523A09"/>
    <w:rsid w:val="00524A6F"/>
    <w:rsid w:val="00526E17"/>
    <w:rsid w:val="005332E6"/>
    <w:rsid w:val="00535448"/>
    <w:rsid w:val="00540067"/>
    <w:rsid w:val="00540376"/>
    <w:rsid w:val="00540DA0"/>
    <w:rsid w:val="0054144D"/>
    <w:rsid w:val="00541FDE"/>
    <w:rsid w:val="00542C20"/>
    <w:rsid w:val="0054379F"/>
    <w:rsid w:val="005443EF"/>
    <w:rsid w:val="00546351"/>
    <w:rsid w:val="0054715E"/>
    <w:rsid w:val="00547CE9"/>
    <w:rsid w:val="0055000D"/>
    <w:rsid w:val="00551D0D"/>
    <w:rsid w:val="0055215F"/>
    <w:rsid w:val="00553CB2"/>
    <w:rsid w:val="0055476D"/>
    <w:rsid w:val="00557A39"/>
    <w:rsid w:val="005631CA"/>
    <w:rsid w:val="00563576"/>
    <w:rsid w:val="005646B4"/>
    <w:rsid w:val="0056515A"/>
    <w:rsid w:val="0057674A"/>
    <w:rsid w:val="005801B2"/>
    <w:rsid w:val="00580FD1"/>
    <w:rsid w:val="0058255A"/>
    <w:rsid w:val="00583370"/>
    <w:rsid w:val="005858D5"/>
    <w:rsid w:val="00591B5E"/>
    <w:rsid w:val="00591DB5"/>
    <w:rsid w:val="00593614"/>
    <w:rsid w:val="0059619B"/>
    <w:rsid w:val="005A160A"/>
    <w:rsid w:val="005A162C"/>
    <w:rsid w:val="005A209B"/>
    <w:rsid w:val="005A2619"/>
    <w:rsid w:val="005A32A6"/>
    <w:rsid w:val="005A47DD"/>
    <w:rsid w:val="005A6B96"/>
    <w:rsid w:val="005B6FCC"/>
    <w:rsid w:val="005B7525"/>
    <w:rsid w:val="005C0225"/>
    <w:rsid w:val="005C2D66"/>
    <w:rsid w:val="005C33FC"/>
    <w:rsid w:val="005C4DD0"/>
    <w:rsid w:val="005C5D60"/>
    <w:rsid w:val="005C7DAE"/>
    <w:rsid w:val="005D3F19"/>
    <w:rsid w:val="005D4180"/>
    <w:rsid w:val="005D5C9C"/>
    <w:rsid w:val="005D69D9"/>
    <w:rsid w:val="005E28C6"/>
    <w:rsid w:val="005E3839"/>
    <w:rsid w:val="005E3D44"/>
    <w:rsid w:val="005E656E"/>
    <w:rsid w:val="005E6FB5"/>
    <w:rsid w:val="005E73BA"/>
    <w:rsid w:val="005F2503"/>
    <w:rsid w:val="005F310C"/>
    <w:rsid w:val="005F6841"/>
    <w:rsid w:val="006000A1"/>
    <w:rsid w:val="00601460"/>
    <w:rsid w:val="00606B95"/>
    <w:rsid w:val="00615178"/>
    <w:rsid w:val="0061655A"/>
    <w:rsid w:val="006230F1"/>
    <w:rsid w:val="00624DD0"/>
    <w:rsid w:val="00627932"/>
    <w:rsid w:val="0063063B"/>
    <w:rsid w:val="00632B14"/>
    <w:rsid w:val="00632CD9"/>
    <w:rsid w:val="00641056"/>
    <w:rsid w:val="00642105"/>
    <w:rsid w:val="0065047C"/>
    <w:rsid w:val="0065460F"/>
    <w:rsid w:val="00656019"/>
    <w:rsid w:val="00660F7C"/>
    <w:rsid w:val="006665A1"/>
    <w:rsid w:val="006669D3"/>
    <w:rsid w:val="006675EC"/>
    <w:rsid w:val="00672852"/>
    <w:rsid w:val="006728E1"/>
    <w:rsid w:val="00682081"/>
    <w:rsid w:val="00682334"/>
    <w:rsid w:val="00683C2B"/>
    <w:rsid w:val="00683DAB"/>
    <w:rsid w:val="006847BB"/>
    <w:rsid w:val="006902DF"/>
    <w:rsid w:val="006921AD"/>
    <w:rsid w:val="00696AC7"/>
    <w:rsid w:val="00696ACF"/>
    <w:rsid w:val="00696D02"/>
    <w:rsid w:val="00697BFC"/>
    <w:rsid w:val="006A1C1D"/>
    <w:rsid w:val="006A2407"/>
    <w:rsid w:val="006A3903"/>
    <w:rsid w:val="006A3A8E"/>
    <w:rsid w:val="006B0544"/>
    <w:rsid w:val="006B1B8C"/>
    <w:rsid w:val="006B2AA0"/>
    <w:rsid w:val="006C0A23"/>
    <w:rsid w:val="006C41DD"/>
    <w:rsid w:val="006D058F"/>
    <w:rsid w:val="006D0622"/>
    <w:rsid w:val="006D19BF"/>
    <w:rsid w:val="006D2955"/>
    <w:rsid w:val="006E0999"/>
    <w:rsid w:val="006E1D3F"/>
    <w:rsid w:val="006E700B"/>
    <w:rsid w:val="006F251C"/>
    <w:rsid w:val="006F2E33"/>
    <w:rsid w:val="006F3145"/>
    <w:rsid w:val="006F4ED9"/>
    <w:rsid w:val="00701B24"/>
    <w:rsid w:val="0070215D"/>
    <w:rsid w:val="00702FB1"/>
    <w:rsid w:val="0070516E"/>
    <w:rsid w:val="00714545"/>
    <w:rsid w:val="0071596B"/>
    <w:rsid w:val="00716FF6"/>
    <w:rsid w:val="00717211"/>
    <w:rsid w:val="007234C6"/>
    <w:rsid w:val="00724954"/>
    <w:rsid w:val="00726549"/>
    <w:rsid w:val="00726760"/>
    <w:rsid w:val="007267F0"/>
    <w:rsid w:val="00730199"/>
    <w:rsid w:val="0073089F"/>
    <w:rsid w:val="00732722"/>
    <w:rsid w:val="007341C8"/>
    <w:rsid w:val="00735AC2"/>
    <w:rsid w:val="00735FA8"/>
    <w:rsid w:val="00736235"/>
    <w:rsid w:val="0074117B"/>
    <w:rsid w:val="007418D1"/>
    <w:rsid w:val="00745268"/>
    <w:rsid w:val="007465A6"/>
    <w:rsid w:val="00747416"/>
    <w:rsid w:val="007507E6"/>
    <w:rsid w:val="00752C0E"/>
    <w:rsid w:val="007532A7"/>
    <w:rsid w:val="00756B1C"/>
    <w:rsid w:val="007573DA"/>
    <w:rsid w:val="007578D3"/>
    <w:rsid w:val="007615F3"/>
    <w:rsid w:val="00764985"/>
    <w:rsid w:val="00772E17"/>
    <w:rsid w:val="00775570"/>
    <w:rsid w:val="00775A33"/>
    <w:rsid w:val="00777CA3"/>
    <w:rsid w:val="00782404"/>
    <w:rsid w:val="0078620D"/>
    <w:rsid w:val="00786B4D"/>
    <w:rsid w:val="00793F0B"/>
    <w:rsid w:val="0079426A"/>
    <w:rsid w:val="00794B6A"/>
    <w:rsid w:val="007A3334"/>
    <w:rsid w:val="007A41FB"/>
    <w:rsid w:val="007B1B66"/>
    <w:rsid w:val="007B2F3D"/>
    <w:rsid w:val="007B3267"/>
    <w:rsid w:val="007B6CDB"/>
    <w:rsid w:val="007C044C"/>
    <w:rsid w:val="007C14C8"/>
    <w:rsid w:val="007C3513"/>
    <w:rsid w:val="007D15EE"/>
    <w:rsid w:val="007D2DDB"/>
    <w:rsid w:val="007D5D10"/>
    <w:rsid w:val="007D6103"/>
    <w:rsid w:val="007D7A78"/>
    <w:rsid w:val="007E34DC"/>
    <w:rsid w:val="007F0EF4"/>
    <w:rsid w:val="007F10F3"/>
    <w:rsid w:val="007F263E"/>
    <w:rsid w:val="007F3D7E"/>
    <w:rsid w:val="007F7285"/>
    <w:rsid w:val="007F7390"/>
    <w:rsid w:val="007F7AE8"/>
    <w:rsid w:val="00801560"/>
    <w:rsid w:val="00801EC3"/>
    <w:rsid w:val="00803777"/>
    <w:rsid w:val="00803A58"/>
    <w:rsid w:val="008069B2"/>
    <w:rsid w:val="00812E69"/>
    <w:rsid w:val="0081313E"/>
    <w:rsid w:val="0081355F"/>
    <w:rsid w:val="00816790"/>
    <w:rsid w:val="008170E0"/>
    <w:rsid w:val="008176B3"/>
    <w:rsid w:val="00817E22"/>
    <w:rsid w:val="00821DE7"/>
    <w:rsid w:val="008236E9"/>
    <w:rsid w:val="00826D08"/>
    <w:rsid w:val="00827673"/>
    <w:rsid w:val="00827AF1"/>
    <w:rsid w:val="008348A5"/>
    <w:rsid w:val="00840127"/>
    <w:rsid w:val="0084647B"/>
    <w:rsid w:val="00850A25"/>
    <w:rsid w:val="0085797D"/>
    <w:rsid w:val="00861B93"/>
    <w:rsid w:val="00864159"/>
    <w:rsid w:val="00864D40"/>
    <w:rsid w:val="008656BD"/>
    <w:rsid w:val="008729AF"/>
    <w:rsid w:val="00873443"/>
    <w:rsid w:val="00874C4C"/>
    <w:rsid w:val="00875148"/>
    <w:rsid w:val="00876DB2"/>
    <w:rsid w:val="00877345"/>
    <w:rsid w:val="00880E90"/>
    <w:rsid w:val="00881323"/>
    <w:rsid w:val="00884765"/>
    <w:rsid w:val="00891BD7"/>
    <w:rsid w:val="00892CDD"/>
    <w:rsid w:val="008945E9"/>
    <w:rsid w:val="00895A94"/>
    <w:rsid w:val="008A117C"/>
    <w:rsid w:val="008A218B"/>
    <w:rsid w:val="008B271F"/>
    <w:rsid w:val="008B4EA6"/>
    <w:rsid w:val="008B558B"/>
    <w:rsid w:val="008B76C0"/>
    <w:rsid w:val="008D327E"/>
    <w:rsid w:val="008D4AAD"/>
    <w:rsid w:val="008D601C"/>
    <w:rsid w:val="008E05A4"/>
    <w:rsid w:val="008F1359"/>
    <w:rsid w:val="008F1FE4"/>
    <w:rsid w:val="008F2480"/>
    <w:rsid w:val="008F2508"/>
    <w:rsid w:val="008F45A7"/>
    <w:rsid w:val="008F617F"/>
    <w:rsid w:val="00900301"/>
    <w:rsid w:val="009052FA"/>
    <w:rsid w:val="00907920"/>
    <w:rsid w:val="00910AA0"/>
    <w:rsid w:val="00912C52"/>
    <w:rsid w:val="009157F6"/>
    <w:rsid w:val="009215E7"/>
    <w:rsid w:val="00923397"/>
    <w:rsid w:val="009238A2"/>
    <w:rsid w:val="0093141B"/>
    <w:rsid w:val="00932760"/>
    <w:rsid w:val="0093276B"/>
    <w:rsid w:val="00936BC7"/>
    <w:rsid w:val="00946C83"/>
    <w:rsid w:val="00955804"/>
    <w:rsid w:val="00955841"/>
    <w:rsid w:val="009607F0"/>
    <w:rsid w:val="00972155"/>
    <w:rsid w:val="009724D2"/>
    <w:rsid w:val="00973037"/>
    <w:rsid w:val="009737DD"/>
    <w:rsid w:val="00976799"/>
    <w:rsid w:val="009803A2"/>
    <w:rsid w:val="00981EE2"/>
    <w:rsid w:val="009820AE"/>
    <w:rsid w:val="0098282A"/>
    <w:rsid w:val="00983211"/>
    <w:rsid w:val="0098406B"/>
    <w:rsid w:val="009874F7"/>
    <w:rsid w:val="00990696"/>
    <w:rsid w:val="00990CA9"/>
    <w:rsid w:val="00992947"/>
    <w:rsid w:val="0099799F"/>
    <w:rsid w:val="009A176B"/>
    <w:rsid w:val="009A4377"/>
    <w:rsid w:val="009A76F2"/>
    <w:rsid w:val="009B07ED"/>
    <w:rsid w:val="009B6A36"/>
    <w:rsid w:val="009C0A13"/>
    <w:rsid w:val="009C21EF"/>
    <w:rsid w:val="009C4D3D"/>
    <w:rsid w:val="009C7885"/>
    <w:rsid w:val="009D0C95"/>
    <w:rsid w:val="009D1CB3"/>
    <w:rsid w:val="009D1CDB"/>
    <w:rsid w:val="009D27DD"/>
    <w:rsid w:val="009D6444"/>
    <w:rsid w:val="009D6827"/>
    <w:rsid w:val="009D702D"/>
    <w:rsid w:val="009D7CAB"/>
    <w:rsid w:val="009E11FA"/>
    <w:rsid w:val="009E1670"/>
    <w:rsid w:val="009E1D06"/>
    <w:rsid w:val="009E31D9"/>
    <w:rsid w:val="009E55D3"/>
    <w:rsid w:val="009E74F8"/>
    <w:rsid w:val="009F4410"/>
    <w:rsid w:val="009F4E90"/>
    <w:rsid w:val="00A00242"/>
    <w:rsid w:val="00A011FF"/>
    <w:rsid w:val="00A01ABC"/>
    <w:rsid w:val="00A02104"/>
    <w:rsid w:val="00A0249F"/>
    <w:rsid w:val="00A03254"/>
    <w:rsid w:val="00A060CC"/>
    <w:rsid w:val="00A122E5"/>
    <w:rsid w:val="00A13A0C"/>
    <w:rsid w:val="00A14486"/>
    <w:rsid w:val="00A16BDE"/>
    <w:rsid w:val="00A22D1F"/>
    <w:rsid w:val="00A26D97"/>
    <w:rsid w:val="00A2730E"/>
    <w:rsid w:val="00A2795F"/>
    <w:rsid w:val="00A354B0"/>
    <w:rsid w:val="00A36198"/>
    <w:rsid w:val="00A376C9"/>
    <w:rsid w:val="00A409A5"/>
    <w:rsid w:val="00A443C9"/>
    <w:rsid w:val="00A47807"/>
    <w:rsid w:val="00A538BD"/>
    <w:rsid w:val="00A53D4A"/>
    <w:rsid w:val="00A53DCA"/>
    <w:rsid w:val="00A56260"/>
    <w:rsid w:val="00A56B27"/>
    <w:rsid w:val="00A62B19"/>
    <w:rsid w:val="00A676CF"/>
    <w:rsid w:val="00A67C86"/>
    <w:rsid w:val="00A7124D"/>
    <w:rsid w:val="00A71EDC"/>
    <w:rsid w:val="00A73951"/>
    <w:rsid w:val="00A73C27"/>
    <w:rsid w:val="00A74468"/>
    <w:rsid w:val="00A76AB9"/>
    <w:rsid w:val="00A770A0"/>
    <w:rsid w:val="00A8189F"/>
    <w:rsid w:val="00A81C31"/>
    <w:rsid w:val="00A87996"/>
    <w:rsid w:val="00A90718"/>
    <w:rsid w:val="00A91EF3"/>
    <w:rsid w:val="00A932D9"/>
    <w:rsid w:val="00A94001"/>
    <w:rsid w:val="00A97EAC"/>
    <w:rsid w:val="00AA145D"/>
    <w:rsid w:val="00AA35BD"/>
    <w:rsid w:val="00AA6AFC"/>
    <w:rsid w:val="00AB15FA"/>
    <w:rsid w:val="00AB3935"/>
    <w:rsid w:val="00AB7AE3"/>
    <w:rsid w:val="00AC2564"/>
    <w:rsid w:val="00AC2993"/>
    <w:rsid w:val="00AC3AF0"/>
    <w:rsid w:val="00AC505B"/>
    <w:rsid w:val="00AC666E"/>
    <w:rsid w:val="00AD0CDF"/>
    <w:rsid w:val="00AD60AB"/>
    <w:rsid w:val="00AE15A4"/>
    <w:rsid w:val="00AE3AA7"/>
    <w:rsid w:val="00AE4A6C"/>
    <w:rsid w:val="00AF1FFC"/>
    <w:rsid w:val="00B02748"/>
    <w:rsid w:val="00B03D26"/>
    <w:rsid w:val="00B04EC5"/>
    <w:rsid w:val="00B12118"/>
    <w:rsid w:val="00B133BB"/>
    <w:rsid w:val="00B1616D"/>
    <w:rsid w:val="00B175FE"/>
    <w:rsid w:val="00B2219A"/>
    <w:rsid w:val="00B25ACD"/>
    <w:rsid w:val="00B27FC8"/>
    <w:rsid w:val="00B3152A"/>
    <w:rsid w:val="00B31A42"/>
    <w:rsid w:val="00B33BCC"/>
    <w:rsid w:val="00B4009F"/>
    <w:rsid w:val="00B42BF9"/>
    <w:rsid w:val="00B45367"/>
    <w:rsid w:val="00B46428"/>
    <w:rsid w:val="00B464AC"/>
    <w:rsid w:val="00B516E8"/>
    <w:rsid w:val="00B55D3E"/>
    <w:rsid w:val="00B6076F"/>
    <w:rsid w:val="00B6770E"/>
    <w:rsid w:val="00B7495D"/>
    <w:rsid w:val="00B752AE"/>
    <w:rsid w:val="00B7592A"/>
    <w:rsid w:val="00B75AC9"/>
    <w:rsid w:val="00B81041"/>
    <w:rsid w:val="00B81C76"/>
    <w:rsid w:val="00B83777"/>
    <w:rsid w:val="00B8487D"/>
    <w:rsid w:val="00B84B0B"/>
    <w:rsid w:val="00B84CFB"/>
    <w:rsid w:val="00B85A64"/>
    <w:rsid w:val="00B87AA2"/>
    <w:rsid w:val="00B90417"/>
    <w:rsid w:val="00B94BA3"/>
    <w:rsid w:val="00B96BE5"/>
    <w:rsid w:val="00B96FEB"/>
    <w:rsid w:val="00B97DB0"/>
    <w:rsid w:val="00BA085F"/>
    <w:rsid w:val="00BA1A13"/>
    <w:rsid w:val="00BA3CBC"/>
    <w:rsid w:val="00BA3E27"/>
    <w:rsid w:val="00BA3E2C"/>
    <w:rsid w:val="00BB05D5"/>
    <w:rsid w:val="00BB2CEE"/>
    <w:rsid w:val="00BB4B6F"/>
    <w:rsid w:val="00BB563F"/>
    <w:rsid w:val="00BB7023"/>
    <w:rsid w:val="00BB7D95"/>
    <w:rsid w:val="00BC15DA"/>
    <w:rsid w:val="00BD1C70"/>
    <w:rsid w:val="00BD3831"/>
    <w:rsid w:val="00BD54D9"/>
    <w:rsid w:val="00BD770D"/>
    <w:rsid w:val="00BE225B"/>
    <w:rsid w:val="00BE41F7"/>
    <w:rsid w:val="00BF0642"/>
    <w:rsid w:val="00BF114B"/>
    <w:rsid w:val="00BF166B"/>
    <w:rsid w:val="00BF5AF4"/>
    <w:rsid w:val="00C0327B"/>
    <w:rsid w:val="00C04006"/>
    <w:rsid w:val="00C065D3"/>
    <w:rsid w:val="00C06AFC"/>
    <w:rsid w:val="00C079D4"/>
    <w:rsid w:val="00C07DF1"/>
    <w:rsid w:val="00C12996"/>
    <w:rsid w:val="00C139A2"/>
    <w:rsid w:val="00C142F3"/>
    <w:rsid w:val="00C20E03"/>
    <w:rsid w:val="00C21B78"/>
    <w:rsid w:val="00C21FCD"/>
    <w:rsid w:val="00C23C5E"/>
    <w:rsid w:val="00C24E3A"/>
    <w:rsid w:val="00C31F41"/>
    <w:rsid w:val="00C32136"/>
    <w:rsid w:val="00C37848"/>
    <w:rsid w:val="00C41D6A"/>
    <w:rsid w:val="00C41DFE"/>
    <w:rsid w:val="00C44053"/>
    <w:rsid w:val="00C44F63"/>
    <w:rsid w:val="00C45485"/>
    <w:rsid w:val="00C46D10"/>
    <w:rsid w:val="00C521A3"/>
    <w:rsid w:val="00C52980"/>
    <w:rsid w:val="00C52EF3"/>
    <w:rsid w:val="00C5328B"/>
    <w:rsid w:val="00C53427"/>
    <w:rsid w:val="00C53D46"/>
    <w:rsid w:val="00C53F58"/>
    <w:rsid w:val="00C547D3"/>
    <w:rsid w:val="00C604EB"/>
    <w:rsid w:val="00C62663"/>
    <w:rsid w:val="00C64BE2"/>
    <w:rsid w:val="00C67393"/>
    <w:rsid w:val="00C72FBF"/>
    <w:rsid w:val="00C73FFA"/>
    <w:rsid w:val="00C744A8"/>
    <w:rsid w:val="00C74544"/>
    <w:rsid w:val="00C83C6D"/>
    <w:rsid w:val="00C86E48"/>
    <w:rsid w:val="00C9097D"/>
    <w:rsid w:val="00CA7346"/>
    <w:rsid w:val="00CB19B8"/>
    <w:rsid w:val="00CB22AE"/>
    <w:rsid w:val="00CB345A"/>
    <w:rsid w:val="00CB3D7B"/>
    <w:rsid w:val="00CB5162"/>
    <w:rsid w:val="00CB6193"/>
    <w:rsid w:val="00CC0873"/>
    <w:rsid w:val="00CC47BE"/>
    <w:rsid w:val="00CE38A0"/>
    <w:rsid w:val="00CE4DE2"/>
    <w:rsid w:val="00CF0815"/>
    <w:rsid w:val="00CF3682"/>
    <w:rsid w:val="00CF5A87"/>
    <w:rsid w:val="00CF7B0A"/>
    <w:rsid w:val="00D009F5"/>
    <w:rsid w:val="00D03E64"/>
    <w:rsid w:val="00D052E1"/>
    <w:rsid w:val="00D067CA"/>
    <w:rsid w:val="00D06D76"/>
    <w:rsid w:val="00D108A6"/>
    <w:rsid w:val="00D11D9B"/>
    <w:rsid w:val="00D16039"/>
    <w:rsid w:val="00D2505F"/>
    <w:rsid w:val="00D2618A"/>
    <w:rsid w:val="00D27182"/>
    <w:rsid w:val="00D339C4"/>
    <w:rsid w:val="00D33D6A"/>
    <w:rsid w:val="00D350CE"/>
    <w:rsid w:val="00D44305"/>
    <w:rsid w:val="00D50303"/>
    <w:rsid w:val="00D55383"/>
    <w:rsid w:val="00D55B9C"/>
    <w:rsid w:val="00D60280"/>
    <w:rsid w:val="00D6199A"/>
    <w:rsid w:val="00D64440"/>
    <w:rsid w:val="00D64D96"/>
    <w:rsid w:val="00D654B5"/>
    <w:rsid w:val="00D66EA3"/>
    <w:rsid w:val="00D74497"/>
    <w:rsid w:val="00D86B31"/>
    <w:rsid w:val="00D929AC"/>
    <w:rsid w:val="00D92D7E"/>
    <w:rsid w:val="00D953E2"/>
    <w:rsid w:val="00D9700C"/>
    <w:rsid w:val="00D97FF4"/>
    <w:rsid w:val="00DA0B77"/>
    <w:rsid w:val="00DA1AE2"/>
    <w:rsid w:val="00DA35A8"/>
    <w:rsid w:val="00DA3C7C"/>
    <w:rsid w:val="00DA4287"/>
    <w:rsid w:val="00DA512E"/>
    <w:rsid w:val="00DA573B"/>
    <w:rsid w:val="00DA655A"/>
    <w:rsid w:val="00DA658B"/>
    <w:rsid w:val="00DA7C0C"/>
    <w:rsid w:val="00DB0ED6"/>
    <w:rsid w:val="00DB436A"/>
    <w:rsid w:val="00DB7D01"/>
    <w:rsid w:val="00DC0381"/>
    <w:rsid w:val="00DC4843"/>
    <w:rsid w:val="00DD414D"/>
    <w:rsid w:val="00DD510B"/>
    <w:rsid w:val="00DD58C1"/>
    <w:rsid w:val="00DD5E20"/>
    <w:rsid w:val="00DD67DF"/>
    <w:rsid w:val="00DE076F"/>
    <w:rsid w:val="00DE1DF8"/>
    <w:rsid w:val="00DE33F5"/>
    <w:rsid w:val="00DE643D"/>
    <w:rsid w:val="00E004C7"/>
    <w:rsid w:val="00E05A8D"/>
    <w:rsid w:val="00E06CD7"/>
    <w:rsid w:val="00E07972"/>
    <w:rsid w:val="00E12F02"/>
    <w:rsid w:val="00E13028"/>
    <w:rsid w:val="00E131D0"/>
    <w:rsid w:val="00E266AB"/>
    <w:rsid w:val="00E26E53"/>
    <w:rsid w:val="00E30A4A"/>
    <w:rsid w:val="00E333B7"/>
    <w:rsid w:val="00E3418F"/>
    <w:rsid w:val="00E34639"/>
    <w:rsid w:val="00E36072"/>
    <w:rsid w:val="00E40D27"/>
    <w:rsid w:val="00E410EC"/>
    <w:rsid w:val="00E51FF0"/>
    <w:rsid w:val="00E5309A"/>
    <w:rsid w:val="00E54DCE"/>
    <w:rsid w:val="00E5678C"/>
    <w:rsid w:val="00E57C4A"/>
    <w:rsid w:val="00E60B68"/>
    <w:rsid w:val="00E617BE"/>
    <w:rsid w:val="00E63747"/>
    <w:rsid w:val="00E70281"/>
    <w:rsid w:val="00E70A57"/>
    <w:rsid w:val="00E711C6"/>
    <w:rsid w:val="00E8142E"/>
    <w:rsid w:val="00E82F41"/>
    <w:rsid w:val="00E87BBD"/>
    <w:rsid w:val="00E91E94"/>
    <w:rsid w:val="00E92B0A"/>
    <w:rsid w:val="00E952CE"/>
    <w:rsid w:val="00E96CFC"/>
    <w:rsid w:val="00EA0040"/>
    <w:rsid w:val="00EA0860"/>
    <w:rsid w:val="00EA0917"/>
    <w:rsid w:val="00EA1750"/>
    <w:rsid w:val="00EA3017"/>
    <w:rsid w:val="00EA7EBA"/>
    <w:rsid w:val="00EB1E4E"/>
    <w:rsid w:val="00EB7F9F"/>
    <w:rsid w:val="00EC1356"/>
    <w:rsid w:val="00EC55C3"/>
    <w:rsid w:val="00EC649C"/>
    <w:rsid w:val="00EC67EF"/>
    <w:rsid w:val="00EC7367"/>
    <w:rsid w:val="00ED1BDC"/>
    <w:rsid w:val="00EE07AC"/>
    <w:rsid w:val="00EE15A8"/>
    <w:rsid w:val="00EE4034"/>
    <w:rsid w:val="00EE51E9"/>
    <w:rsid w:val="00EE56B8"/>
    <w:rsid w:val="00EE7105"/>
    <w:rsid w:val="00EF3807"/>
    <w:rsid w:val="00EF5450"/>
    <w:rsid w:val="00EF69F7"/>
    <w:rsid w:val="00EF704C"/>
    <w:rsid w:val="00F00502"/>
    <w:rsid w:val="00F026EF"/>
    <w:rsid w:val="00F07481"/>
    <w:rsid w:val="00F107F5"/>
    <w:rsid w:val="00F128E2"/>
    <w:rsid w:val="00F15E47"/>
    <w:rsid w:val="00F1656D"/>
    <w:rsid w:val="00F2205E"/>
    <w:rsid w:val="00F25559"/>
    <w:rsid w:val="00F27E7E"/>
    <w:rsid w:val="00F31291"/>
    <w:rsid w:val="00F3503D"/>
    <w:rsid w:val="00F3515E"/>
    <w:rsid w:val="00F357BC"/>
    <w:rsid w:val="00F37390"/>
    <w:rsid w:val="00F37F09"/>
    <w:rsid w:val="00F41D2D"/>
    <w:rsid w:val="00F42A53"/>
    <w:rsid w:val="00F430F7"/>
    <w:rsid w:val="00F44529"/>
    <w:rsid w:val="00F45A2E"/>
    <w:rsid w:val="00F46A6C"/>
    <w:rsid w:val="00F4748F"/>
    <w:rsid w:val="00F6197D"/>
    <w:rsid w:val="00F61AEA"/>
    <w:rsid w:val="00F63900"/>
    <w:rsid w:val="00F653C1"/>
    <w:rsid w:val="00F66AA6"/>
    <w:rsid w:val="00F67CF6"/>
    <w:rsid w:val="00F7031A"/>
    <w:rsid w:val="00F71768"/>
    <w:rsid w:val="00F75CFF"/>
    <w:rsid w:val="00F76840"/>
    <w:rsid w:val="00F81C98"/>
    <w:rsid w:val="00F82670"/>
    <w:rsid w:val="00F83688"/>
    <w:rsid w:val="00F85E1E"/>
    <w:rsid w:val="00F87BCC"/>
    <w:rsid w:val="00F9334E"/>
    <w:rsid w:val="00FA1DAB"/>
    <w:rsid w:val="00FA1E1C"/>
    <w:rsid w:val="00FA5CE6"/>
    <w:rsid w:val="00FA6DBE"/>
    <w:rsid w:val="00FA703B"/>
    <w:rsid w:val="00FA7394"/>
    <w:rsid w:val="00FB027E"/>
    <w:rsid w:val="00FC0AEF"/>
    <w:rsid w:val="00FC4BDB"/>
    <w:rsid w:val="00FC74A2"/>
    <w:rsid w:val="00FD0CE0"/>
    <w:rsid w:val="00FD24D9"/>
    <w:rsid w:val="00FD5A3E"/>
    <w:rsid w:val="00FD5AA5"/>
    <w:rsid w:val="00FD68F7"/>
    <w:rsid w:val="00FE2542"/>
    <w:rsid w:val="00FE3DD5"/>
    <w:rsid w:val="00FE72F4"/>
    <w:rsid w:val="00FF3B2C"/>
    <w:rsid w:val="00FF5772"/>
    <w:rsid w:val="033CA8F9"/>
    <w:rsid w:val="06F1139B"/>
    <w:rsid w:val="071FD190"/>
    <w:rsid w:val="0AE84B05"/>
    <w:rsid w:val="0B2B4A35"/>
    <w:rsid w:val="0FD4E9A5"/>
    <w:rsid w:val="120CB586"/>
    <w:rsid w:val="13CBC046"/>
    <w:rsid w:val="14F11654"/>
    <w:rsid w:val="15338214"/>
    <w:rsid w:val="157ADB73"/>
    <w:rsid w:val="18297DA6"/>
    <w:rsid w:val="211A1D94"/>
    <w:rsid w:val="28AD1ABD"/>
    <w:rsid w:val="2C23597A"/>
    <w:rsid w:val="2E02C676"/>
    <w:rsid w:val="3044FF2F"/>
    <w:rsid w:val="381057DF"/>
    <w:rsid w:val="415D4811"/>
    <w:rsid w:val="44A24E26"/>
    <w:rsid w:val="462C9B89"/>
    <w:rsid w:val="477BFD1A"/>
    <w:rsid w:val="5117015E"/>
    <w:rsid w:val="514A0F63"/>
    <w:rsid w:val="55E23976"/>
    <w:rsid w:val="68A15941"/>
    <w:rsid w:val="73EF8A44"/>
    <w:rsid w:val="7F968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C6BC2"/>
  <w15:chartTrackingRefBased/>
  <w15:docId w15:val="{4EBE29EF-B5EE-414A-A03A-344ADC5F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D06"/>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96E"/>
    <w:pPr>
      <w:tabs>
        <w:tab w:val="center" w:pos="4320"/>
        <w:tab w:val="right" w:pos="8640"/>
      </w:tabs>
    </w:pPr>
    <w:rPr>
      <w:rFonts w:eastAsia="SimSun"/>
      <w:lang w:eastAsia="en-US"/>
    </w:rPr>
  </w:style>
  <w:style w:type="paragraph" w:styleId="Footer">
    <w:name w:val="footer"/>
    <w:basedOn w:val="Normal"/>
    <w:rsid w:val="003F496E"/>
    <w:pPr>
      <w:tabs>
        <w:tab w:val="center" w:pos="4320"/>
        <w:tab w:val="right" w:pos="8640"/>
      </w:tabs>
    </w:pPr>
    <w:rPr>
      <w:rFonts w:eastAsia="SimSun"/>
      <w:lang w:eastAsia="en-US"/>
    </w:r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rFonts w:eastAsia="SimSun"/>
      <w:sz w:val="20"/>
      <w:szCs w:val="20"/>
      <w:lang w:eastAsia="en-US"/>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eastAsia="SimSun" w:hAnsi="Tahoma" w:cs="Tahoma"/>
      <w:sz w:val="16"/>
      <w:szCs w:val="16"/>
      <w:lang w:eastAsia="en-US"/>
    </w:rPr>
  </w:style>
  <w:style w:type="paragraph" w:styleId="ListParagraph">
    <w:name w:val="List Paragraph"/>
    <w:basedOn w:val="Normal"/>
    <w:uiPriority w:val="34"/>
    <w:qFormat/>
    <w:rsid w:val="0029042F"/>
    <w:pPr>
      <w:ind w:left="720"/>
      <w:contextualSpacing/>
    </w:pPr>
    <w:rPr>
      <w:rFonts w:eastAsia="SimSun"/>
      <w:lang w:eastAsia="en-US"/>
    </w:rPr>
  </w:style>
  <w:style w:type="paragraph" w:styleId="NormalWeb">
    <w:name w:val="Normal (Web)"/>
    <w:basedOn w:val="Normal"/>
    <w:uiPriority w:val="99"/>
    <w:rsid w:val="00192529"/>
    <w:pPr>
      <w:spacing w:before="100" w:beforeAutospacing="1" w:after="100" w:afterAutospacing="1"/>
    </w:pPr>
    <w:rPr>
      <w:rFonts w:ascii="Trebuchet MS" w:eastAsia="SimSun" w:hAnsi="Trebuchet MS"/>
      <w:color w:val="444444"/>
      <w:sz w:val="20"/>
      <w:szCs w:val="20"/>
      <w:lang w:eastAsia="en-US"/>
    </w:rPr>
  </w:style>
  <w:style w:type="character" w:customStyle="1" w:styleId="whuggins">
    <w:name w:val="whuggins"/>
    <w:semiHidden/>
    <w:rsid w:val="005443EF"/>
    <w:rPr>
      <w:rFonts w:ascii="Arial" w:hAnsi="Arial" w:cs="Arial"/>
      <w:color w:val="000080"/>
      <w:sz w:val="20"/>
      <w:szCs w:val="20"/>
    </w:rPr>
  </w:style>
  <w:style w:type="character" w:styleId="Strong">
    <w:name w:val="Strong"/>
    <w:qFormat/>
    <w:rsid w:val="0014724B"/>
    <w:rPr>
      <w:b/>
      <w:bCs/>
    </w:rPr>
  </w:style>
  <w:style w:type="table" w:styleId="TableGrid">
    <w:name w:val="Table Grid"/>
    <w:basedOn w:val="TableNormal"/>
    <w:rsid w:val="00F7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512E"/>
  </w:style>
  <w:style w:type="character" w:styleId="UnresolvedMention">
    <w:name w:val="Unresolved Mention"/>
    <w:uiPriority w:val="99"/>
    <w:unhideWhenUsed/>
    <w:rsid w:val="00B04EC5"/>
    <w:rPr>
      <w:color w:val="605E5C"/>
      <w:shd w:val="clear" w:color="auto" w:fill="E1DFDD"/>
    </w:rPr>
  </w:style>
  <w:style w:type="paragraph" w:styleId="Revision">
    <w:name w:val="Revision"/>
    <w:hidden/>
    <w:uiPriority w:val="99"/>
    <w:semiHidden/>
    <w:rsid w:val="003242D7"/>
    <w:rPr>
      <w:rFonts w:eastAsia="Times New Roman"/>
      <w:sz w:val="24"/>
      <w:szCs w:val="24"/>
      <w:lang w:eastAsia="en-GB"/>
    </w:rPr>
  </w:style>
  <w:style w:type="character" w:styleId="Mention">
    <w:name w:val="Mention"/>
    <w:basedOn w:val="DefaultParagraphFont"/>
    <w:uiPriority w:val="99"/>
    <w:unhideWhenUsed/>
    <w:rsid w:val="003857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104813980">
      <w:bodyDiv w:val="1"/>
      <w:marLeft w:val="0"/>
      <w:marRight w:val="0"/>
      <w:marTop w:val="0"/>
      <w:marBottom w:val="0"/>
      <w:divBdr>
        <w:top w:val="none" w:sz="0" w:space="0" w:color="auto"/>
        <w:left w:val="none" w:sz="0" w:space="0" w:color="auto"/>
        <w:bottom w:val="none" w:sz="0" w:space="0" w:color="auto"/>
        <w:right w:val="none" w:sz="0" w:space="0" w:color="auto"/>
      </w:divBdr>
      <w:divsChild>
        <w:div w:id="614169946">
          <w:marLeft w:val="0"/>
          <w:marRight w:val="0"/>
          <w:marTop w:val="0"/>
          <w:marBottom w:val="0"/>
          <w:divBdr>
            <w:top w:val="none" w:sz="0" w:space="0" w:color="auto"/>
            <w:left w:val="none" w:sz="0" w:space="0" w:color="auto"/>
            <w:bottom w:val="none" w:sz="0" w:space="0" w:color="auto"/>
            <w:right w:val="none" w:sz="0" w:space="0" w:color="auto"/>
          </w:divBdr>
          <w:divsChild>
            <w:div w:id="717822165">
              <w:marLeft w:val="0"/>
              <w:marRight w:val="0"/>
              <w:marTop w:val="0"/>
              <w:marBottom w:val="0"/>
              <w:divBdr>
                <w:top w:val="none" w:sz="0" w:space="0" w:color="auto"/>
                <w:left w:val="none" w:sz="0" w:space="0" w:color="auto"/>
                <w:bottom w:val="none" w:sz="0" w:space="0" w:color="auto"/>
                <w:right w:val="none" w:sz="0" w:space="0" w:color="auto"/>
              </w:divBdr>
              <w:divsChild>
                <w:div w:id="15194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297877703">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328563041">
      <w:bodyDiv w:val="1"/>
      <w:marLeft w:val="0"/>
      <w:marRight w:val="0"/>
      <w:marTop w:val="0"/>
      <w:marBottom w:val="0"/>
      <w:divBdr>
        <w:top w:val="none" w:sz="0" w:space="0" w:color="auto"/>
        <w:left w:val="none" w:sz="0" w:space="0" w:color="auto"/>
        <w:bottom w:val="none" w:sz="0" w:space="0" w:color="auto"/>
        <w:right w:val="none" w:sz="0" w:space="0" w:color="auto"/>
      </w:divBdr>
    </w:div>
    <w:div w:id="330331594">
      <w:bodyDiv w:val="1"/>
      <w:marLeft w:val="0"/>
      <w:marRight w:val="0"/>
      <w:marTop w:val="0"/>
      <w:marBottom w:val="0"/>
      <w:divBdr>
        <w:top w:val="none" w:sz="0" w:space="0" w:color="auto"/>
        <w:left w:val="none" w:sz="0" w:space="0" w:color="auto"/>
        <w:bottom w:val="none" w:sz="0" w:space="0" w:color="auto"/>
        <w:right w:val="none" w:sz="0" w:space="0" w:color="auto"/>
      </w:divBdr>
    </w:div>
    <w:div w:id="479275770">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8926">
      <w:bodyDiv w:val="1"/>
      <w:marLeft w:val="0"/>
      <w:marRight w:val="0"/>
      <w:marTop w:val="0"/>
      <w:marBottom w:val="0"/>
      <w:divBdr>
        <w:top w:val="none" w:sz="0" w:space="0" w:color="auto"/>
        <w:left w:val="none" w:sz="0" w:space="0" w:color="auto"/>
        <w:bottom w:val="none" w:sz="0" w:space="0" w:color="auto"/>
        <w:right w:val="none" w:sz="0" w:space="0" w:color="auto"/>
      </w:divBdr>
      <w:divsChild>
        <w:div w:id="1056591999">
          <w:marLeft w:val="0"/>
          <w:marRight w:val="0"/>
          <w:marTop w:val="0"/>
          <w:marBottom w:val="0"/>
          <w:divBdr>
            <w:top w:val="none" w:sz="0" w:space="0" w:color="auto"/>
            <w:left w:val="none" w:sz="0" w:space="0" w:color="auto"/>
            <w:bottom w:val="none" w:sz="0" w:space="0" w:color="auto"/>
            <w:right w:val="none" w:sz="0" w:space="0" w:color="auto"/>
          </w:divBdr>
          <w:divsChild>
            <w:div w:id="1820682933">
              <w:marLeft w:val="0"/>
              <w:marRight w:val="0"/>
              <w:marTop w:val="0"/>
              <w:marBottom w:val="0"/>
              <w:divBdr>
                <w:top w:val="none" w:sz="0" w:space="0" w:color="auto"/>
                <w:left w:val="none" w:sz="0" w:space="0" w:color="auto"/>
                <w:bottom w:val="none" w:sz="0" w:space="0" w:color="auto"/>
                <w:right w:val="none" w:sz="0" w:space="0" w:color="auto"/>
              </w:divBdr>
              <w:divsChild>
                <w:div w:id="5334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6158">
      <w:bodyDiv w:val="1"/>
      <w:marLeft w:val="0"/>
      <w:marRight w:val="0"/>
      <w:marTop w:val="0"/>
      <w:marBottom w:val="0"/>
      <w:divBdr>
        <w:top w:val="none" w:sz="0" w:space="0" w:color="auto"/>
        <w:left w:val="none" w:sz="0" w:space="0" w:color="auto"/>
        <w:bottom w:val="none" w:sz="0" w:space="0" w:color="auto"/>
        <w:right w:val="none" w:sz="0" w:space="0" w:color="auto"/>
      </w:divBdr>
      <w:divsChild>
        <w:div w:id="756826007">
          <w:marLeft w:val="-225"/>
          <w:marRight w:val="-225"/>
          <w:marTop w:val="0"/>
          <w:marBottom w:val="0"/>
          <w:divBdr>
            <w:top w:val="none" w:sz="0" w:space="0" w:color="auto"/>
            <w:left w:val="none" w:sz="0" w:space="0" w:color="auto"/>
            <w:bottom w:val="none" w:sz="0" w:space="0" w:color="auto"/>
            <w:right w:val="none" w:sz="0" w:space="0" w:color="auto"/>
          </w:divBdr>
          <w:divsChild>
            <w:div w:id="979380722">
              <w:marLeft w:val="0"/>
              <w:marRight w:val="0"/>
              <w:marTop w:val="0"/>
              <w:marBottom w:val="0"/>
              <w:divBdr>
                <w:top w:val="none" w:sz="0" w:space="0" w:color="auto"/>
                <w:left w:val="none" w:sz="0" w:space="0" w:color="auto"/>
                <w:bottom w:val="none" w:sz="0" w:space="0" w:color="auto"/>
                <w:right w:val="none" w:sz="0" w:space="0" w:color="auto"/>
              </w:divBdr>
              <w:divsChild>
                <w:div w:id="1001737139">
                  <w:marLeft w:val="0"/>
                  <w:marRight w:val="0"/>
                  <w:marTop w:val="0"/>
                  <w:marBottom w:val="0"/>
                  <w:divBdr>
                    <w:top w:val="none" w:sz="0" w:space="0" w:color="auto"/>
                    <w:left w:val="none" w:sz="0" w:space="0" w:color="auto"/>
                    <w:bottom w:val="none" w:sz="0" w:space="0" w:color="auto"/>
                    <w:right w:val="none" w:sz="0" w:space="0" w:color="auto"/>
                  </w:divBdr>
                  <w:divsChild>
                    <w:div w:id="1941255580">
                      <w:marLeft w:val="0"/>
                      <w:marRight w:val="0"/>
                      <w:marTop w:val="0"/>
                      <w:marBottom w:val="0"/>
                      <w:divBdr>
                        <w:top w:val="none" w:sz="0" w:space="0" w:color="auto"/>
                        <w:left w:val="none" w:sz="0" w:space="0" w:color="auto"/>
                        <w:bottom w:val="none" w:sz="0" w:space="0" w:color="auto"/>
                        <w:right w:val="none" w:sz="0" w:space="0" w:color="auto"/>
                      </w:divBdr>
                      <w:divsChild>
                        <w:div w:id="1787236089">
                          <w:marLeft w:val="0"/>
                          <w:marRight w:val="0"/>
                          <w:marTop w:val="0"/>
                          <w:marBottom w:val="0"/>
                          <w:divBdr>
                            <w:top w:val="none" w:sz="0" w:space="0" w:color="auto"/>
                            <w:left w:val="none" w:sz="0" w:space="0" w:color="auto"/>
                            <w:bottom w:val="none" w:sz="0" w:space="0" w:color="auto"/>
                            <w:right w:val="none" w:sz="0" w:space="0" w:color="auto"/>
                          </w:divBdr>
                          <w:divsChild>
                            <w:div w:id="1197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308524">
      <w:bodyDiv w:val="1"/>
      <w:marLeft w:val="0"/>
      <w:marRight w:val="0"/>
      <w:marTop w:val="0"/>
      <w:marBottom w:val="0"/>
      <w:divBdr>
        <w:top w:val="none" w:sz="0" w:space="0" w:color="auto"/>
        <w:left w:val="none" w:sz="0" w:space="0" w:color="auto"/>
        <w:bottom w:val="none" w:sz="0" w:space="0" w:color="auto"/>
        <w:right w:val="none" w:sz="0" w:space="0" w:color="auto"/>
      </w:divBdr>
      <w:divsChild>
        <w:div w:id="949750349">
          <w:marLeft w:val="0"/>
          <w:marRight w:val="0"/>
          <w:marTop w:val="0"/>
          <w:marBottom w:val="0"/>
          <w:divBdr>
            <w:top w:val="none" w:sz="0" w:space="0" w:color="auto"/>
            <w:left w:val="none" w:sz="0" w:space="0" w:color="auto"/>
            <w:bottom w:val="none" w:sz="0" w:space="0" w:color="auto"/>
            <w:right w:val="none" w:sz="0" w:space="0" w:color="auto"/>
          </w:divBdr>
          <w:divsChild>
            <w:div w:id="2114394339">
              <w:marLeft w:val="0"/>
              <w:marRight w:val="0"/>
              <w:marTop w:val="0"/>
              <w:marBottom w:val="0"/>
              <w:divBdr>
                <w:top w:val="none" w:sz="0" w:space="0" w:color="auto"/>
                <w:left w:val="none" w:sz="0" w:space="0" w:color="auto"/>
                <w:bottom w:val="none" w:sz="0" w:space="0" w:color="auto"/>
                <w:right w:val="none" w:sz="0" w:space="0" w:color="auto"/>
              </w:divBdr>
              <w:divsChild>
                <w:div w:id="176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02557">
      <w:bodyDiv w:val="1"/>
      <w:marLeft w:val="0"/>
      <w:marRight w:val="0"/>
      <w:marTop w:val="0"/>
      <w:marBottom w:val="0"/>
      <w:divBdr>
        <w:top w:val="none" w:sz="0" w:space="0" w:color="auto"/>
        <w:left w:val="none" w:sz="0" w:space="0" w:color="auto"/>
        <w:bottom w:val="none" w:sz="0" w:space="0" w:color="auto"/>
        <w:right w:val="none" w:sz="0" w:space="0" w:color="auto"/>
      </w:divBdr>
      <w:divsChild>
        <w:div w:id="2034308103">
          <w:marLeft w:val="0"/>
          <w:marRight w:val="0"/>
          <w:marTop w:val="0"/>
          <w:marBottom w:val="0"/>
          <w:divBdr>
            <w:top w:val="none" w:sz="0" w:space="0" w:color="auto"/>
            <w:left w:val="none" w:sz="0" w:space="0" w:color="auto"/>
            <w:bottom w:val="none" w:sz="0" w:space="0" w:color="auto"/>
            <w:right w:val="none" w:sz="0" w:space="0" w:color="auto"/>
          </w:divBdr>
          <w:divsChild>
            <w:div w:id="538929916">
              <w:marLeft w:val="0"/>
              <w:marRight w:val="0"/>
              <w:marTop w:val="0"/>
              <w:marBottom w:val="0"/>
              <w:divBdr>
                <w:top w:val="none" w:sz="0" w:space="0" w:color="auto"/>
                <w:left w:val="none" w:sz="0" w:space="0" w:color="auto"/>
                <w:bottom w:val="none" w:sz="0" w:space="0" w:color="auto"/>
                <w:right w:val="none" w:sz="0" w:space="0" w:color="auto"/>
              </w:divBdr>
              <w:divsChild>
                <w:div w:id="8195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1905">
      <w:bodyDiv w:val="1"/>
      <w:marLeft w:val="0"/>
      <w:marRight w:val="0"/>
      <w:marTop w:val="0"/>
      <w:marBottom w:val="0"/>
      <w:divBdr>
        <w:top w:val="none" w:sz="0" w:space="0" w:color="auto"/>
        <w:left w:val="none" w:sz="0" w:space="0" w:color="auto"/>
        <w:bottom w:val="none" w:sz="0" w:space="0" w:color="auto"/>
        <w:right w:val="none" w:sz="0" w:space="0" w:color="auto"/>
      </w:divBdr>
    </w:div>
    <w:div w:id="1531530232">
      <w:bodyDiv w:val="1"/>
      <w:marLeft w:val="0"/>
      <w:marRight w:val="0"/>
      <w:marTop w:val="0"/>
      <w:marBottom w:val="0"/>
      <w:divBdr>
        <w:top w:val="none" w:sz="0" w:space="0" w:color="auto"/>
        <w:left w:val="none" w:sz="0" w:space="0" w:color="auto"/>
        <w:bottom w:val="none" w:sz="0" w:space="0" w:color="auto"/>
        <w:right w:val="none" w:sz="0" w:space="0" w:color="auto"/>
      </w:divBdr>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11034784">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 w:id="1867059817">
      <w:bodyDiv w:val="1"/>
      <w:marLeft w:val="0"/>
      <w:marRight w:val="0"/>
      <w:marTop w:val="0"/>
      <w:marBottom w:val="0"/>
      <w:divBdr>
        <w:top w:val="none" w:sz="0" w:space="0" w:color="auto"/>
        <w:left w:val="none" w:sz="0" w:space="0" w:color="auto"/>
        <w:bottom w:val="none" w:sz="0" w:space="0" w:color="auto"/>
        <w:right w:val="none" w:sz="0" w:space="0" w:color="auto"/>
      </w:divBdr>
      <w:divsChild>
        <w:div w:id="2070809961">
          <w:marLeft w:val="0"/>
          <w:marRight w:val="0"/>
          <w:marTop w:val="0"/>
          <w:marBottom w:val="0"/>
          <w:divBdr>
            <w:top w:val="none" w:sz="0" w:space="0" w:color="auto"/>
            <w:left w:val="none" w:sz="0" w:space="0" w:color="auto"/>
            <w:bottom w:val="none" w:sz="0" w:space="0" w:color="auto"/>
            <w:right w:val="none" w:sz="0" w:space="0" w:color="auto"/>
          </w:divBdr>
          <w:divsChild>
            <w:div w:id="2004316461">
              <w:marLeft w:val="0"/>
              <w:marRight w:val="0"/>
              <w:marTop w:val="0"/>
              <w:marBottom w:val="0"/>
              <w:divBdr>
                <w:top w:val="none" w:sz="0" w:space="0" w:color="auto"/>
                <w:left w:val="none" w:sz="0" w:space="0" w:color="auto"/>
                <w:bottom w:val="none" w:sz="0" w:space="0" w:color="auto"/>
                <w:right w:val="none" w:sz="0" w:space="0" w:color="auto"/>
              </w:divBdr>
              <w:divsChild>
                <w:div w:id="1622999060">
                  <w:marLeft w:val="0"/>
                  <w:marRight w:val="0"/>
                  <w:marTop w:val="0"/>
                  <w:marBottom w:val="0"/>
                  <w:divBdr>
                    <w:top w:val="none" w:sz="0" w:space="0" w:color="auto"/>
                    <w:left w:val="none" w:sz="0" w:space="0" w:color="auto"/>
                    <w:bottom w:val="none" w:sz="0" w:space="0" w:color="auto"/>
                    <w:right w:val="none" w:sz="0" w:space="0" w:color="auto"/>
                  </w:divBdr>
                  <w:divsChild>
                    <w:div w:id="615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1860">
      <w:bodyDiv w:val="1"/>
      <w:marLeft w:val="0"/>
      <w:marRight w:val="0"/>
      <w:marTop w:val="0"/>
      <w:marBottom w:val="0"/>
      <w:divBdr>
        <w:top w:val="none" w:sz="0" w:space="0" w:color="auto"/>
        <w:left w:val="none" w:sz="0" w:space="0" w:color="auto"/>
        <w:bottom w:val="none" w:sz="0" w:space="0" w:color="auto"/>
        <w:right w:val="none" w:sz="0" w:space="0" w:color="auto"/>
      </w:divBdr>
    </w:div>
    <w:div w:id="20700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hm@cdc.gov" TargetMode="External"/><Relationship Id="rId5" Type="http://schemas.openxmlformats.org/officeDocument/2006/relationships/styles" Target="styles.xml"/><Relationship Id="rId10" Type="http://schemas.openxmlformats.org/officeDocument/2006/relationships/hyperlink" Target="https://www.cdc.gov/drugoverdose/resources/dat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6324B1502EA478B8D0C18B27BF31A" ma:contentTypeVersion="4" ma:contentTypeDescription="Create a new document." ma:contentTypeScope="" ma:versionID="4080927751836517caee861c6db28373">
  <xsd:schema xmlns:xsd="http://www.w3.org/2001/XMLSchema" xmlns:xs="http://www.w3.org/2001/XMLSchema" xmlns:p="http://schemas.microsoft.com/office/2006/metadata/properties" xmlns:ns2="1f1d4c41-2a32-44a6-8dcc-6bb7bf9484dd" targetNamespace="http://schemas.microsoft.com/office/2006/metadata/properties" ma:root="true" ma:fieldsID="c9a6e2534f338235aa3c4d0b7e68834b" ns2:_="">
    <xsd:import namespace="1f1d4c41-2a32-44a6-8dcc-6bb7bf948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d4c41-2a32-44a6-8dcc-6bb7bf948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DF5DE-BE11-4411-BADC-059977ABCB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70A28B-3808-4585-B06F-2F80E68B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d4c41-2a32-44a6-8dcc-6bb7bf94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16742-5BB4-4495-A8BC-9BDFC6636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Birthplace</vt:lpstr>
    </vt:vector>
  </TitlesOfParts>
  <Company>RTI International</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Response: Medication Use</dc:title>
  <dc:subject/>
  <dc:creator>mjp</dc:creator>
  <cp:keywords/>
  <cp:lastModifiedBy>Nelms, Mark</cp:lastModifiedBy>
  <cp:revision>4</cp:revision>
  <cp:lastPrinted>2016-11-18T13:56:00Z</cp:lastPrinted>
  <dcterms:created xsi:type="dcterms:W3CDTF">2022-06-02T15:38:00Z</dcterms:created>
  <dcterms:modified xsi:type="dcterms:W3CDTF">2022-06-02T15:40:00Z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0x0101006946324B1502EA478B8D0C18B27BF31A</vt:lpwstr>
  </property>
</Properties>
</file>