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ind w:left="-720" w:right="-432" w:hanging="0"/>
        <w:contextualSpacing/>
        <w:rPr>
          <w:b/>
          <w:b/>
        </w:rPr>
      </w:pPr>
      <w:r>
        <w:rPr>
          <w:b/>
        </w:rPr>
      </w:r>
    </w:p>
    <w:tbl>
      <w:tblPr>
        <w:tblW w:w="9360" w:type="dxa"/>
        <w:jc w:val="center"/>
        <w:tblInd w:w="0" w:type="dxa"/>
        <w:tblLayout w:type="fixed"/>
        <w:tblCellMar>
          <w:top w:w="115" w:type="dxa"/>
          <w:left w:w="115" w:type="dxa"/>
          <w:bottom w:w="115" w:type="dxa"/>
          <w:right w:w="115" w:type="dxa"/>
        </w:tblCellMar>
      </w:tblPr>
      <w:tblGrid>
        <w:gridCol w:w="2304"/>
        <w:gridCol w:w="7056"/>
      </w:tblGrid>
      <w:tr>
        <w:trPr/>
        <w:tc>
          <w:tcPr>
            <w:tcW w:w="936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0"/>
              <w:ind w:left="120" w:hanging="0"/>
              <w:contextualSpacing/>
              <w:jc w:val="center"/>
              <w:rPr>
                <w:rFonts w:ascii="Arial" w:hAnsi="Arial" w:cs="Arial"/>
                <w:b/>
                <w:b/>
                <w:sz w:val="22"/>
                <w:szCs w:val="22"/>
              </w:rPr>
            </w:pPr>
            <w:r>
              <w:rPr>
                <w:rFonts w:cs="Arial" w:ascii="Arial" w:hAnsi="Arial"/>
                <w:b/>
                <w:sz w:val="22"/>
                <w:szCs w:val="22"/>
              </w:rPr>
              <w:t xml:space="preserve">About the Measure </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14"/>
                <w:szCs w:val="14"/>
              </w:rPr>
            </w:pPr>
            <w:r>
              <w:rPr>
                <w:rFonts w:cs="Arial" w:ascii="Arial" w:hAnsi="Arial"/>
                <w:b/>
                <w:sz w:val="22"/>
                <w:szCs w:val="22"/>
              </w:rPr>
              <w:t>Domain</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sz w:val="22"/>
                <w:szCs w:val="22"/>
              </w:rPr>
            </w:pPr>
            <w:r>
              <w:rPr>
                <w:rFonts w:cs="Arial" w:ascii="Arial" w:hAnsi="Arial"/>
                <w:sz w:val="22"/>
                <w:szCs w:val="22"/>
              </w:rPr>
              <w:t>Social Environments</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Measure</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sz w:val="22"/>
                <w:szCs w:val="22"/>
              </w:rPr>
            </w:pPr>
            <w:r>
              <w:rPr>
                <w:rFonts w:cs="Arial" w:ascii="Arial" w:hAnsi="Arial"/>
                <w:sz w:val="22"/>
                <w:szCs w:val="22"/>
              </w:rPr>
              <w:t>Time Use - Child</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Definition</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sz w:val="22"/>
                <w:szCs w:val="22"/>
              </w:rPr>
            </w:pPr>
            <w:r>
              <w:rPr>
                <w:rFonts w:cs="Arial" w:ascii="Arial" w:hAnsi="Arial"/>
                <w:sz w:val="22"/>
                <w:szCs w:val="22"/>
              </w:rPr>
              <w:t>This measure is a time diary which allows researchers to consider the social context of a respondent’s activities by capturing the chronology of events on a particular day. It measures exposure to specific components of the social environment (e.g., how much time is actually spent in the home or in the residential neighborhood).</w:t>
            </w:r>
          </w:p>
        </w:tc>
      </w:tr>
    </w:tbl>
    <w:p>
      <w:pPr>
        <w:pStyle w:val="Normal"/>
        <w:spacing w:before="0" w:after="0"/>
        <w:contextualSpacing/>
        <w:rPr>
          <w:rFonts w:ascii="Arial" w:hAnsi="Arial" w:cs="Arial"/>
          <w:b/>
          <w:b/>
          <w:sz w:val="22"/>
          <w:szCs w:val="22"/>
        </w:rPr>
      </w:pPr>
      <w:r>
        <w:rPr>
          <w:rFonts w:cs="Arial" w:ascii="Arial" w:hAnsi="Arial"/>
          <w:b/>
          <w:sz w:val="22"/>
          <w:szCs w:val="22"/>
        </w:rPr>
      </w:r>
    </w:p>
    <w:tbl>
      <w:tblPr>
        <w:tblW w:w="9360" w:type="dxa"/>
        <w:jc w:val="center"/>
        <w:tblInd w:w="0" w:type="dxa"/>
        <w:tblLayout w:type="fixed"/>
        <w:tblCellMar>
          <w:top w:w="115" w:type="dxa"/>
          <w:left w:w="115" w:type="dxa"/>
          <w:bottom w:w="115" w:type="dxa"/>
          <w:right w:w="115" w:type="dxa"/>
        </w:tblCellMar>
      </w:tblPr>
      <w:tblGrid>
        <w:gridCol w:w="2304"/>
        <w:gridCol w:w="7056"/>
      </w:tblGrid>
      <w:tr>
        <w:trPr/>
        <w:tc>
          <w:tcPr>
            <w:tcW w:w="936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0"/>
              <w:ind w:left="120" w:hanging="0"/>
              <w:contextualSpacing/>
              <w:jc w:val="center"/>
              <w:rPr>
                <w:rFonts w:ascii="Arial" w:hAnsi="Arial" w:cs="Arial"/>
                <w:b/>
                <w:b/>
                <w:sz w:val="22"/>
                <w:szCs w:val="22"/>
              </w:rPr>
            </w:pPr>
            <w:r>
              <w:rPr>
                <w:rFonts w:cs="Arial" w:ascii="Arial" w:hAnsi="Arial"/>
                <w:b/>
                <w:sz w:val="22"/>
                <w:szCs w:val="22"/>
              </w:rPr>
              <w:t>About the Protocol</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Description of Protocol</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sz w:val="22"/>
                <w:szCs w:val="22"/>
              </w:rPr>
            </w:pPr>
            <w:r>
              <w:rPr>
                <w:rFonts w:cs="Arial" w:ascii="Arial" w:hAnsi="Arial"/>
                <w:sz w:val="22"/>
                <w:szCs w:val="22"/>
              </w:rPr>
              <w:t>The Panel Study of Income Dynamics (PSID) Time Diary is a self-administered questionnaire that captures a 24-hour detailed accounting of time use for one randomly selected weekday and one randomly selected weekend day. The questionnaire collects information on type, number, duration, and location of activities. In addition, the questionnaire collects detailed information about who participated in the activity with the respondent, the relationship of that individual to the respondent (e.g., mother, sister), and who else was there but was not directly engaged in the activity.</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Protocol text</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b/>
                <w:b/>
              </w:rPr>
            </w:pPr>
            <w:r>
              <w:rPr>
                <w:b/>
              </w:rPr>
              <w:drawing>
                <wp:inline distT="0" distB="0" distL="0" distR="0">
                  <wp:extent cx="4390390" cy="361950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4" t="-5" r="-4" b="-5"/>
                          <a:stretch>
                            <a:fillRect/>
                          </a:stretch>
                        </pic:blipFill>
                        <pic:spPr bwMode="auto">
                          <a:xfrm>
                            <a:off x="0" y="0"/>
                            <a:ext cx="4390390" cy="3619500"/>
                          </a:xfrm>
                          <a:prstGeom prst="rect">
                            <a:avLst/>
                          </a:prstGeom>
                        </pic:spPr>
                      </pic:pic>
                    </a:graphicData>
                  </a:graphic>
                </wp:inline>
              </w:drawing>
            </w:r>
          </w:p>
          <w:p>
            <w:pPr>
              <w:pStyle w:val="Normal"/>
              <w:spacing w:before="0" w:after="0"/>
              <w:contextualSpacing/>
              <w:rPr>
                <w:rFonts w:ascii="Arial" w:hAnsi="Arial" w:cs="Arial"/>
                <w:b/>
                <w:b/>
                <w:sz w:val="22"/>
                <w:szCs w:val="22"/>
              </w:rPr>
            </w:pPr>
            <w:r>
              <w:rPr>
                <w:rFonts w:cs="Arial" w:ascii="Arial" w:hAnsi="Arial"/>
                <w:b/>
                <w:sz w:val="22"/>
                <w:szCs w:val="22"/>
              </w:rPr>
            </w:r>
          </w:p>
          <w:p>
            <w:pPr>
              <w:pStyle w:val="Normal"/>
              <w:autoSpaceDE w:val="false"/>
              <w:rPr>
                <w:rFonts w:ascii="Helvetica-Bold" w:hAnsi="Helvetica-Bold" w:cs="Helvetica-Bold"/>
                <w:b/>
                <w:b/>
                <w:bCs/>
                <w:sz w:val="22"/>
                <w:szCs w:val="22"/>
              </w:rPr>
            </w:pPr>
            <w:r>
              <w:rPr>
                <w:rFonts w:cs="Helvetica-Bold" w:ascii="Helvetica-Bold" w:hAnsi="Helvetica-Bold"/>
                <w:b/>
                <w:bCs/>
                <w:sz w:val="22"/>
                <w:szCs w:val="22"/>
              </w:rPr>
              <w:t>A day in the life of Brian, a 16-year-old teenager . . .</w:t>
            </w:r>
          </w:p>
          <w:p>
            <w:pPr>
              <w:pStyle w:val="Normal"/>
              <w:autoSpaceDE w:val="false"/>
              <w:rPr/>
            </w:pPr>
            <w:r>
              <w:rPr>
                <w:rFonts w:cs="Times-Roman" w:ascii="Times-Roman" w:hAnsi="Times-Roman"/>
                <w:sz w:val="22"/>
                <w:szCs w:val="22"/>
              </w:rPr>
              <w:t xml:space="preserve">1. Brian’s weekday begins at 7:10 a.m., when he wakes up to get ready for school. Since the Time Diary day began at midnight, Brian records that he was “Sleeping” from midnight until 7:10 a.m. in Column A, the primary activity column. After pressing snooze twice, Brian finally gets out of bed at 7:20 a.m. and hops in the shower. </w:t>
            </w:r>
            <w:r>
              <w:rPr>
                <w:rFonts w:cs="Times-Italic" w:ascii="Times-Italic" w:hAnsi="Times-Italic"/>
                <w:i/>
                <w:iCs/>
                <w:sz w:val="22"/>
                <w:szCs w:val="22"/>
              </w:rPr>
              <w:t>For personal or private activities, such as sleeping, showering, using the bathroom, etc., Columns H</w:t>
            </w:r>
            <w:r>
              <w:rPr>
                <w:rFonts w:cs="Arial" w:ascii="Arial" w:hAnsi="Arial"/>
                <w:i/>
                <w:iCs/>
                <w:sz w:val="22"/>
                <w:szCs w:val="22"/>
              </w:rPr>
              <w:t>–</w:t>
            </w:r>
            <w:r>
              <w:rPr>
                <w:rFonts w:cs="Times-Italic" w:ascii="Times-Italic" w:hAnsi="Times-Italic"/>
                <w:i/>
                <w:iCs/>
                <w:sz w:val="22"/>
                <w:szCs w:val="22"/>
              </w:rPr>
              <w:t>J do not need to be completed</w:t>
            </w:r>
            <w:r>
              <w:rPr>
                <w:rFonts w:cs="Times-Roman" w:ascii="Times-Roman" w:hAnsi="Times-Roman"/>
                <w:sz w:val="22"/>
                <w:szCs w:val="22"/>
              </w:rPr>
              <w:t>. After a quick shower, Brian gets dressed and goes to the kitchen for breakfast.</w:t>
            </w:r>
          </w:p>
          <w:p>
            <w:pPr>
              <w:pStyle w:val="Normal"/>
              <w:autoSpaceDE w:val="false"/>
              <w:rPr>
                <w:rFonts w:ascii="Times-Roman" w:hAnsi="Times-Roman" w:cs="Times-Roman"/>
                <w:sz w:val="22"/>
                <w:szCs w:val="22"/>
              </w:rPr>
            </w:pPr>
            <w:r>
              <w:rPr>
                <w:rFonts w:cs="Times-Roman" w:ascii="Times-Roman" w:hAnsi="Times-Roman"/>
                <w:sz w:val="22"/>
                <w:szCs w:val="22"/>
              </w:rPr>
            </w:r>
          </w:p>
          <w:p>
            <w:pPr>
              <w:pStyle w:val="Normal"/>
              <w:autoSpaceDE w:val="false"/>
              <w:rPr/>
            </w:pPr>
            <w:r>
              <w:rPr>
                <w:rFonts w:cs="Arial" w:ascii="Arial" w:hAnsi="Arial"/>
                <w:sz w:val="22"/>
                <w:szCs w:val="22"/>
              </w:rPr>
              <w:t xml:space="preserve">2. From 7:40 a.m. until 7:55 a.m., Brian joins his mother and his sister, Liz, for breakfast. Notice that he records the word “Sister” in Column H rather than writing “Liz.” </w:t>
            </w:r>
            <w:r>
              <w:rPr>
                <w:rFonts w:cs="Arial" w:ascii="Arial" w:hAnsi="Arial"/>
                <w:i/>
                <w:iCs/>
                <w:sz w:val="22"/>
                <w:szCs w:val="22"/>
              </w:rPr>
              <w:t xml:space="preserve">To ensure accuracy and avoid any confusion, you should </w:t>
            </w:r>
            <w:r>
              <w:rPr>
                <w:rFonts w:cs="Arial" w:ascii="Arial" w:hAnsi="Arial"/>
                <w:b/>
                <w:bCs/>
                <w:i/>
                <w:iCs/>
                <w:sz w:val="22"/>
                <w:szCs w:val="22"/>
              </w:rPr>
              <w:t xml:space="preserve">always record the relationship you have with the person(s) you are </w:t>
            </w:r>
          </w:p>
          <w:p>
            <w:pPr>
              <w:pStyle w:val="Normal"/>
              <w:autoSpaceDE w:val="false"/>
              <w:rPr/>
            </w:pPr>
            <w:r>
              <w:rPr>
                <w:rFonts w:cs="Arial" w:ascii="Arial" w:hAnsi="Arial"/>
                <w:b/>
                <w:bCs/>
                <w:i/>
                <w:iCs/>
                <w:sz w:val="22"/>
                <w:szCs w:val="22"/>
              </w:rPr>
              <w:t xml:space="preserve">talking about rather than his or her name. </w:t>
            </w:r>
            <w:r>
              <w:rPr>
                <w:rFonts w:cs="Arial" w:ascii="Arial" w:hAnsi="Arial"/>
                <w:sz w:val="22"/>
                <w:szCs w:val="22"/>
              </w:rPr>
              <w:t xml:space="preserve">Since his family also uses this time to catch up on the news, he is sure to record “watching TV” as his secondary activity (Column J). Brian primarily is involved in eating breakfast and is only watching TV as an activity to do while eating. He also writes in the name of the news show they are watching, </w:t>
            </w:r>
            <w:r>
              <w:rPr>
                <w:rFonts w:cs="Arial" w:ascii="Arial" w:hAnsi="Arial"/>
                <w:i/>
                <w:iCs/>
                <w:sz w:val="22"/>
                <w:szCs w:val="22"/>
              </w:rPr>
              <w:t>Good Morning America,</w:t>
            </w:r>
            <w:r>
              <w:rPr>
                <w:rFonts w:cs="Arial" w:ascii="Arial" w:hAnsi="Arial"/>
                <w:sz w:val="22"/>
                <w:szCs w:val="22"/>
              </w:rPr>
              <w:t xml:space="preserve"> and says where he is. Since nobody else is in the house with them, Column I is crossed out.</w:t>
            </w:r>
          </w:p>
          <w:p>
            <w:pPr>
              <w:pStyle w:val="Normal"/>
              <w:autoSpaceDE w:val="false"/>
              <w:rPr>
                <w:rFonts w:ascii="Arial" w:hAnsi="Arial" w:cs="Arial"/>
                <w:sz w:val="22"/>
                <w:szCs w:val="22"/>
              </w:rPr>
            </w:pPr>
            <w:r>
              <w:rPr>
                <w:rFonts w:cs="Arial" w:ascii="Arial" w:hAnsi="Arial"/>
                <w:sz w:val="22"/>
                <w:szCs w:val="22"/>
              </w:rPr>
            </w:r>
          </w:p>
          <w:p>
            <w:pPr>
              <w:pStyle w:val="Normal"/>
              <w:autoSpaceDE w:val="false"/>
              <w:rPr/>
            </w:pPr>
            <w:r>
              <w:rPr>
                <w:rFonts w:cs="Arial" w:ascii="Arial" w:hAnsi="Arial"/>
                <w:sz w:val="22"/>
                <w:szCs w:val="22"/>
              </w:rPr>
              <w:t xml:space="preserve">3. At 7:55 a.m., Brian drives himself to school. </w:t>
            </w:r>
            <w:r>
              <w:rPr>
                <w:rFonts w:cs="Arial" w:ascii="Arial" w:hAnsi="Arial"/>
                <w:i/>
                <w:iCs/>
                <w:sz w:val="22"/>
                <w:szCs w:val="22"/>
              </w:rPr>
              <w:t xml:space="preserve">As mentioned before, </w:t>
            </w:r>
            <w:r>
              <w:rPr>
                <w:rFonts w:cs="Arial" w:ascii="Arial" w:hAnsi="Arial"/>
                <w:b/>
                <w:bCs/>
                <w:i/>
                <w:iCs/>
                <w:sz w:val="22"/>
                <w:szCs w:val="22"/>
              </w:rPr>
              <w:t>travel time MUST be recorded when going from one place to another.</w:t>
            </w:r>
            <w:r>
              <w:rPr>
                <w:rFonts w:cs="Arial" w:ascii="Arial" w:hAnsi="Arial"/>
                <w:i/>
                <w:iCs/>
                <w:sz w:val="22"/>
                <w:szCs w:val="22"/>
              </w:rPr>
              <w:t xml:space="preserve"> The only time this is not necessary is when the two</w:t>
            </w:r>
            <w:r>
              <w:rPr>
                <w:rFonts w:cs="Times-Italic" w:ascii="Times-Italic" w:hAnsi="Times-Italic"/>
                <w:i/>
                <w:iCs/>
                <w:sz w:val="22"/>
                <w:szCs w:val="22"/>
              </w:rPr>
              <w:t xml:space="preserve"> locations are within the same structure. For example, Brian did not record travel time from his bedroom to his kitchen and will not record travel time from the Oriental Express restaurant in the mall to the Abercrombie &amp; Fitch store in the same mall. </w:t>
            </w:r>
            <w:r>
              <w:rPr>
                <w:rFonts w:cs="Times-Roman" w:ascii="Times-Roman" w:hAnsi="Times-Roman"/>
                <w:sz w:val="22"/>
                <w:szCs w:val="22"/>
              </w:rPr>
              <w:t>While he is driving, he listens to a CD and records this as a secondary activity.</w:t>
            </w:r>
          </w:p>
          <w:p>
            <w:pPr>
              <w:pStyle w:val="Normal"/>
              <w:autoSpaceDE w:val="false"/>
              <w:rPr>
                <w:rFonts w:ascii="Times-Roman" w:hAnsi="Times-Roman" w:cs="Times-Roman"/>
                <w:sz w:val="22"/>
                <w:szCs w:val="22"/>
              </w:rPr>
            </w:pPr>
            <w:r>
              <w:rPr>
                <w:rFonts w:cs="Times-Roman" w:ascii="Times-Roman" w:hAnsi="Times-Roman"/>
                <w:sz w:val="22"/>
                <w:szCs w:val="22"/>
              </w:rPr>
            </w:r>
          </w:p>
          <w:p>
            <w:pPr>
              <w:pStyle w:val="Normal"/>
              <w:autoSpaceDE w:val="false"/>
              <w:rPr/>
            </w:pPr>
            <w:r>
              <w:rPr>
                <w:rFonts w:cs="Times-Roman" w:ascii="Times-Roman" w:hAnsi="Times-Roman"/>
                <w:sz w:val="22"/>
                <w:szCs w:val="22"/>
              </w:rPr>
              <w:t xml:space="preserve">4. Brian arrives at high school at 8:05 a.m. and has classes until 2:35 p.m. </w:t>
            </w:r>
            <w:r>
              <w:rPr>
                <w:rFonts w:cs="Times-Italic" w:ascii="Times-Italic" w:hAnsi="Times-Italic"/>
                <w:i/>
                <w:iCs/>
                <w:sz w:val="22"/>
                <w:szCs w:val="22"/>
              </w:rPr>
              <w:t>As with personal/private activities, Columns H</w:t>
            </w:r>
            <w:r>
              <w:rPr>
                <w:rFonts w:cs="Arial" w:ascii="Arial" w:hAnsi="Arial"/>
                <w:i/>
                <w:iCs/>
                <w:sz w:val="22"/>
                <w:szCs w:val="22"/>
              </w:rPr>
              <w:t>–</w:t>
            </w:r>
            <w:r>
              <w:rPr>
                <w:rFonts w:cs="Times-Italic" w:ascii="Times-Italic" w:hAnsi="Times-Italic"/>
                <w:i/>
                <w:iCs/>
                <w:sz w:val="22"/>
                <w:szCs w:val="22"/>
              </w:rPr>
              <w:t xml:space="preserve">J do not need to be completed when the primary activity is </w:t>
            </w:r>
            <w:r>
              <w:rPr>
                <w:rFonts w:cs="Times-Italic" w:ascii="Times-Italic" w:hAnsi="Times-Italic"/>
                <w:sz w:val="22"/>
                <w:szCs w:val="22"/>
              </w:rPr>
              <w:t>“</w:t>
            </w:r>
            <w:r>
              <w:rPr>
                <w:rFonts w:cs="Times-Italic" w:ascii="Times-Italic" w:hAnsi="Times-Italic"/>
                <w:i/>
                <w:iCs/>
                <w:sz w:val="22"/>
                <w:szCs w:val="22"/>
              </w:rPr>
              <w:t>In school</w:t>
            </w:r>
            <w:r>
              <w:rPr>
                <w:rFonts w:cs="Times-Italic" w:ascii="Times-Italic" w:hAnsi="Times-Italic"/>
                <w:sz w:val="22"/>
                <w:szCs w:val="22"/>
              </w:rPr>
              <w:t>,” “</w:t>
            </w:r>
            <w:r>
              <w:rPr>
                <w:rFonts w:cs="Times-Italic" w:ascii="Times-Italic" w:hAnsi="Times-Italic"/>
                <w:i/>
                <w:iCs/>
                <w:sz w:val="22"/>
                <w:szCs w:val="22"/>
              </w:rPr>
              <w:t>Attending classes</w:t>
            </w:r>
            <w:r>
              <w:rPr>
                <w:rFonts w:cs="Times-Italic" w:ascii="Times-Italic" w:hAnsi="Times-Italic"/>
                <w:sz w:val="22"/>
                <w:szCs w:val="22"/>
              </w:rPr>
              <w:t>,”</w:t>
            </w:r>
            <w:r>
              <w:rPr>
                <w:rFonts w:cs="Times-Italic" w:ascii="Times-Italic" w:hAnsi="Times-Italic"/>
                <w:i/>
                <w:iCs/>
                <w:sz w:val="22"/>
                <w:szCs w:val="22"/>
              </w:rPr>
              <w:t xml:space="preserve"> </w:t>
            </w:r>
            <w:r>
              <w:rPr>
                <w:rFonts w:cs="Times-Italic" w:ascii="Times-Italic" w:hAnsi="Times-Italic"/>
                <w:sz w:val="22"/>
                <w:szCs w:val="22"/>
              </w:rPr>
              <w:t>“</w:t>
            </w:r>
            <w:r>
              <w:rPr>
                <w:rFonts w:cs="Times-Italic" w:ascii="Times-Italic" w:hAnsi="Times-Italic"/>
                <w:i/>
                <w:iCs/>
                <w:sz w:val="22"/>
                <w:szCs w:val="22"/>
              </w:rPr>
              <w:t>Working</w:t>
            </w:r>
            <w:r>
              <w:rPr>
                <w:rFonts w:cs="Times-Italic" w:ascii="Times-Italic" w:hAnsi="Times-Italic"/>
                <w:sz w:val="22"/>
                <w:szCs w:val="22"/>
              </w:rPr>
              <w:t>,”</w:t>
            </w:r>
            <w:r>
              <w:rPr>
                <w:rFonts w:cs="Times-Italic" w:ascii="Times-Italic" w:hAnsi="Times-Italic"/>
                <w:i/>
                <w:iCs/>
                <w:sz w:val="22"/>
                <w:szCs w:val="22"/>
              </w:rPr>
              <w:t xml:space="preserve"> or </w:t>
            </w:r>
            <w:r>
              <w:rPr>
                <w:rFonts w:cs="Times-Italic" w:ascii="Times-Italic" w:hAnsi="Times-Italic"/>
                <w:sz w:val="22"/>
                <w:szCs w:val="22"/>
              </w:rPr>
              <w:t>“</w:t>
            </w:r>
            <w:r>
              <w:rPr>
                <w:rFonts w:cs="Times-Italic" w:ascii="Times-Italic" w:hAnsi="Times-Italic"/>
                <w:i/>
                <w:iCs/>
                <w:sz w:val="22"/>
                <w:szCs w:val="22"/>
              </w:rPr>
              <w:t>At work</w:t>
            </w:r>
            <w:r>
              <w:rPr>
                <w:rFonts w:cs="Times-Italic" w:ascii="Times-Italic" w:hAnsi="Times-Italic"/>
                <w:sz w:val="22"/>
                <w:szCs w:val="22"/>
              </w:rPr>
              <w:t>.”</w:t>
            </w:r>
            <w:r>
              <w:rPr>
                <w:rFonts w:cs="Times-Italic" w:ascii="Times-Italic" w:hAnsi="Times-Italic"/>
                <w:i/>
                <w:iCs/>
                <w:sz w:val="22"/>
                <w:szCs w:val="22"/>
              </w:rPr>
              <w:t xml:space="preserve"> </w:t>
            </w:r>
            <w:r>
              <w:rPr>
                <w:rFonts w:cs="Times-Roman" w:ascii="Times-Roman" w:hAnsi="Times-Roman"/>
                <w:sz w:val="22"/>
                <w:szCs w:val="22"/>
              </w:rPr>
              <w:t>Once school is over, he runs over to the track field with some of his teammates to change and get ready for practice. Practice starts at 3:00 p.m. and lasts until 4:15 p.m. Because his coaches are strict, Brian is not allowed to do anything else during practice, so his secondary activity is crossed out. After practice, he drives home to eat and shower.</w:t>
            </w:r>
          </w:p>
          <w:p>
            <w:pPr>
              <w:pStyle w:val="Normal"/>
              <w:autoSpaceDE w:val="false"/>
              <w:rPr>
                <w:rFonts w:ascii="Times-Roman" w:hAnsi="Times-Roman" w:cs="Times-Roman"/>
                <w:sz w:val="22"/>
                <w:szCs w:val="22"/>
              </w:rPr>
            </w:pPr>
            <w:r>
              <w:rPr>
                <w:rFonts w:cs="Times-Roman" w:ascii="Times-Roman" w:hAnsi="Times-Roman"/>
                <w:sz w:val="22"/>
                <w:szCs w:val="22"/>
              </w:rPr>
            </w:r>
          </w:p>
          <w:p>
            <w:pPr>
              <w:pStyle w:val="Normal"/>
              <w:autoSpaceDE w:val="false"/>
              <w:rPr>
                <w:b/>
                <w:b/>
              </w:rPr>
            </w:pPr>
            <w:r>
              <w:rPr>
                <w:rFonts w:cs="Times-Roman" w:ascii="Times-Roman" w:hAnsi="Times-Roman"/>
                <w:sz w:val="22"/>
                <w:szCs w:val="22"/>
              </w:rPr>
              <w:t>5. Brian arrives home to an empty house at 4:25 p.m. He fixes himself a quick meal and also uses his Blackberry to chat with his friends and check his e-mails while he eats. He records the software he uses, AIM (AOL Instant Messenger). When he is done eating, his sister comes home, and he stays on his Blackberry to keep chatting and to play a couple computer games online. At 5:20 p.m., he gets in the shower to clean up. After his shower, his mom comes home, and he gets a phone call from one of his friends, Emily; they are deciding to meet up at the mall in a few hours, and she needs a ride. Brian records “Talking on Phone” as his primary activity, and although his friend Emily was not there in his house, she was still part of the activity because he was talking to her, and this is recorded in Column H. He also puts his secondary activity as “Making plans” to make it more clear what the phone conversation was about. Brian starts on his homework, using his computer to help him with a presentation, and quits around 7:05 p.m. to go and pick up Emily.</w:t>
            </w:r>
          </w:p>
          <w:p>
            <w:pPr>
              <w:pStyle w:val="Normal"/>
              <w:rPr>
                <w:b/>
                <w:b/>
              </w:rPr>
            </w:pPr>
            <w:r>
              <w:rPr>
                <w:b/>
              </w:rPr>
            </w:r>
          </w:p>
          <w:p>
            <w:pPr>
              <w:pStyle w:val="Normal"/>
              <w:autoSpaceDE w:val="false"/>
              <w:rPr/>
            </w:pPr>
            <w:r>
              <w:rPr>
                <w:rFonts w:cs="Times-Roman" w:ascii="Times-Roman" w:hAnsi="Times-Roman"/>
                <w:sz w:val="22"/>
                <w:szCs w:val="22"/>
              </w:rPr>
              <w:t>6. Since Brian makes two separate trips</w:t>
            </w:r>
            <w:r>
              <w:rPr>
                <w:rFonts w:cs="Arial" w:ascii="Arial" w:hAnsi="Arial"/>
                <w:sz w:val="22"/>
                <w:szCs w:val="22"/>
              </w:rPr>
              <w:t>—</w:t>
            </w:r>
            <w:r>
              <w:rPr>
                <w:rFonts w:cs="Times-Roman" w:ascii="Times-Roman" w:hAnsi="Times-Roman"/>
                <w:sz w:val="22"/>
                <w:szCs w:val="22"/>
              </w:rPr>
              <w:t>one to go get Emily, and one to go to the mall</w:t>
            </w:r>
            <w:r>
              <w:rPr>
                <w:rFonts w:cs="Arial" w:ascii="Arial" w:hAnsi="Arial"/>
                <w:sz w:val="22"/>
                <w:szCs w:val="22"/>
              </w:rPr>
              <w:t>—</w:t>
            </w:r>
            <w:r>
              <w:rPr>
                <w:rFonts w:cs="Times-Roman" w:ascii="Times-Roman" w:hAnsi="Times-Roman"/>
                <w:sz w:val="22"/>
                <w:szCs w:val="22"/>
              </w:rPr>
              <w:t>he records each separately. Again, Brian specifies he is picking up a “Friend,” not “Emily.” They arrive at the mall at 7:25 p.m. and stay until 9:00 p.m. Although Brian and his friends do many different things at the mall, including shopping and eating, the primary purpose of the entire trip was to serve as a social event, so he records “Socializing” as his primary activity and lists the more-specific activities as secondary. Then, Brian records the two trips home</w:t>
            </w:r>
            <w:r>
              <w:rPr>
                <w:rFonts w:cs="Arial" w:ascii="Arial" w:hAnsi="Arial"/>
                <w:sz w:val="22"/>
                <w:szCs w:val="22"/>
              </w:rPr>
              <w:t>—</w:t>
            </w:r>
            <w:r>
              <w:rPr>
                <w:rFonts w:cs="Times-Roman" w:ascii="Times-Roman" w:hAnsi="Times-Roman"/>
                <w:sz w:val="22"/>
                <w:szCs w:val="22"/>
              </w:rPr>
              <w:t>one to drop off Emily, and then one to drive to his house.</w:t>
            </w:r>
          </w:p>
          <w:p>
            <w:pPr>
              <w:pStyle w:val="Normal"/>
              <w:autoSpaceDE w:val="false"/>
              <w:rPr>
                <w:rFonts w:ascii="Times-Roman" w:hAnsi="Times-Roman" w:cs="Times-Roman"/>
                <w:sz w:val="22"/>
                <w:szCs w:val="22"/>
              </w:rPr>
            </w:pPr>
            <w:r>
              <w:rPr>
                <w:rFonts w:cs="Times-Roman" w:ascii="Times-Roman" w:hAnsi="Times-Roman"/>
                <w:sz w:val="22"/>
                <w:szCs w:val="22"/>
              </w:rPr>
            </w:r>
          </w:p>
          <w:p>
            <w:pPr>
              <w:pStyle w:val="Normal"/>
              <w:autoSpaceDE w:val="false"/>
              <w:rPr>
                <w:rFonts w:ascii="Times-Roman" w:hAnsi="Times-Roman" w:cs="Times-Roman"/>
                <w:sz w:val="22"/>
                <w:szCs w:val="22"/>
              </w:rPr>
            </w:pPr>
            <w:r>
              <w:rPr>
                <w:rFonts w:cs="Times-Roman" w:ascii="Times-Roman" w:hAnsi="Times-Roman"/>
                <w:sz w:val="22"/>
                <w:szCs w:val="22"/>
              </w:rPr>
              <w:t>7. When he gets home, he talks with his mom about their days. Brian tells her about his homework presentation, and she gives him some advice and agrees to help him a bit with his project. They move to the computer room and work together for the next hour. Brian records that his mom was doing the activity with him (Column H) and writes down the software they used. Once they decide the presentation is OK, Brian decides to watch a little television before bed.</w:t>
            </w:r>
          </w:p>
          <w:p>
            <w:pPr>
              <w:pStyle w:val="Normal"/>
              <w:autoSpaceDE w:val="false"/>
              <w:rPr>
                <w:rFonts w:ascii="Times-Roman" w:hAnsi="Times-Roman" w:cs="Times-Roman"/>
                <w:sz w:val="22"/>
                <w:szCs w:val="22"/>
              </w:rPr>
            </w:pPr>
            <w:r>
              <w:rPr>
                <w:rFonts w:cs="Times-Roman" w:ascii="Times-Roman" w:hAnsi="Times-Roman"/>
                <w:sz w:val="22"/>
                <w:szCs w:val="22"/>
              </w:rPr>
            </w:r>
          </w:p>
          <w:p>
            <w:pPr>
              <w:pStyle w:val="Normal"/>
              <w:spacing w:before="0" w:after="0"/>
              <w:contextualSpacing/>
              <w:rPr>
                <w:rFonts w:ascii="Times-Roman" w:hAnsi="Times-Roman" w:cs="Times-Roman"/>
                <w:sz w:val="22"/>
                <w:szCs w:val="22"/>
              </w:rPr>
            </w:pPr>
            <w:r>
              <w:rPr>
                <w:rFonts w:cs="Times-Roman" w:ascii="Times-Roman" w:hAnsi="Times-Roman"/>
                <w:sz w:val="22"/>
                <w:szCs w:val="22"/>
              </w:rPr>
              <w:t>8. At 11 p.m., Brian decides it’s time to go to bed, and “Sleeping” is recorded for the remainder of the day. The day is over at midnight.</w:t>
            </w:r>
          </w:p>
          <w:p>
            <w:pPr>
              <w:pStyle w:val="Normal"/>
              <w:spacing w:before="0" w:after="0"/>
              <w:contextualSpacing/>
              <w:rPr>
                <w:rFonts w:ascii="Times-Roman" w:hAnsi="Times-Roman" w:cs="Times-Roman"/>
                <w:sz w:val="22"/>
                <w:szCs w:val="22"/>
              </w:rPr>
            </w:pPr>
            <w:r>
              <w:rPr>
                <w:rFonts w:cs="Times-Roman" w:ascii="Times-Roman" w:hAnsi="Times-Roman"/>
                <w:sz w:val="22"/>
                <w:szCs w:val="22"/>
              </w:rPr>
            </w:r>
          </w:p>
          <w:p>
            <w:pPr>
              <w:pStyle w:val="Normal"/>
              <w:spacing w:before="0" w:after="0"/>
              <w:contextualSpacing/>
              <w:rPr>
                <w:rFonts w:ascii="Times-Roman" w:hAnsi="Times-Roman" w:cs="Times-Roman"/>
                <w:sz w:val="22"/>
                <w:szCs w:val="22"/>
              </w:rPr>
            </w:pPr>
            <w:r>
              <w:rPr>
                <w:b/>
              </w:rPr>
              <w:drawing>
                <wp:inline distT="0" distB="0" distL="0" distR="0">
                  <wp:extent cx="4391660" cy="303403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4" t="-6" r="-4" b="-6"/>
                          <a:stretch>
                            <a:fillRect/>
                          </a:stretch>
                        </pic:blipFill>
                        <pic:spPr bwMode="auto">
                          <a:xfrm>
                            <a:off x="0" y="0"/>
                            <a:ext cx="4391660" cy="3034030"/>
                          </a:xfrm>
                          <a:prstGeom prst="rect">
                            <a:avLst/>
                          </a:prstGeom>
                        </pic:spPr>
                      </pic:pic>
                    </a:graphicData>
                  </a:graphic>
                </wp:inline>
              </w:drawing>
            </w:r>
          </w:p>
          <w:p>
            <w:pPr>
              <w:pStyle w:val="Normal"/>
              <w:spacing w:before="0" w:after="0"/>
              <w:contextualSpacing/>
              <w:rPr>
                <w:rFonts w:ascii="Arial" w:hAnsi="Arial" w:cs="Arial"/>
                <w:sz w:val="22"/>
                <w:szCs w:val="22"/>
              </w:rPr>
            </w:pPr>
            <w:r>
              <w:rPr>
                <w:rFonts w:cs="Arial" w:ascii="Arial" w:hAnsi="Arial"/>
                <w:sz w:val="22"/>
                <w:szCs w:val="22"/>
              </w:rPr>
            </w:r>
          </w:p>
          <w:p>
            <w:pPr>
              <w:pStyle w:val="Normal"/>
              <w:spacing w:before="0" w:after="0"/>
              <w:contextualSpacing/>
              <w:rPr>
                <w:rFonts w:ascii="Arial" w:hAnsi="Arial" w:cs="Arial"/>
                <w:sz w:val="22"/>
                <w:szCs w:val="22"/>
              </w:rPr>
            </w:pPr>
            <w:r>
              <w:rPr>
                <w:b/>
              </w:rPr>
              <w:drawing>
                <wp:inline distT="0" distB="0" distL="0" distR="0">
                  <wp:extent cx="4387850" cy="309753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4" t="-6" r="-4" b="-6"/>
                          <a:stretch>
                            <a:fillRect/>
                          </a:stretch>
                        </pic:blipFill>
                        <pic:spPr bwMode="auto">
                          <a:xfrm>
                            <a:off x="0" y="0"/>
                            <a:ext cx="4387850" cy="3097530"/>
                          </a:xfrm>
                          <a:prstGeom prst="rect">
                            <a:avLst/>
                          </a:prstGeom>
                        </pic:spPr>
                      </pic:pic>
                    </a:graphicData>
                  </a:graphic>
                </wp:inline>
              </w:drawing>
            </w:r>
          </w:p>
          <w:p>
            <w:pPr>
              <w:pStyle w:val="Normal"/>
              <w:spacing w:before="0" w:after="0"/>
              <w:contextualSpacing/>
              <w:rPr>
                <w:rFonts w:ascii="Arial" w:hAnsi="Arial" w:cs="Arial"/>
                <w:sz w:val="22"/>
                <w:szCs w:val="22"/>
              </w:rPr>
            </w:pPr>
            <w:r>
              <w:rPr>
                <w:rFonts w:cs="Arial" w:ascii="Arial" w:hAnsi="Arial"/>
                <w:sz w:val="22"/>
                <w:szCs w:val="22"/>
              </w:rPr>
            </w:r>
          </w:p>
          <w:p>
            <w:pPr>
              <w:pStyle w:val="Normal"/>
              <w:spacing w:before="0" w:after="0"/>
              <w:contextualSpacing/>
              <w:rPr>
                <w:rFonts w:ascii="Arial" w:hAnsi="Arial" w:cs="Arial"/>
                <w:sz w:val="22"/>
                <w:szCs w:val="22"/>
              </w:rPr>
            </w:pPr>
            <w:r>
              <w:rPr/>
              <w:drawing>
                <wp:inline distT="0" distB="0" distL="0" distR="0">
                  <wp:extent cx="4387850" cy="326072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4" t="-5" r="-4" b="-5"/>
                          <a:stretch>
                            <a:fillRect/>
                          </a:stretch>
                        </pic:blipFill>
                        <pic:spPr bwMode="auto">
                          <a:xfrm>
                            <a:off x="0" y="0"/>
                            <a:ext cx="4387850" cy="3260725"/>
                          </a:xfrm>
                          <a:prstGeom prst="rect">
                            <a:avLst/>
                          </a:prstGeom>
                        </pic:spPr>
                      </pic:pic>
                    </a:graphicData>
                  </a:graphic>
                </wp:inline>
              </w:drawing>
            </w:r>
          </w:p>
          <w:p>
            <w:pPr>
              <w:pStyle w:val="Normal"/>
              <w:spacing w:before="0" w:after="0"/>
              <w:contextualSpacing/>
              <w:rPr>
                <w:rFonts w:ascii="Arial" w:hAnsi="Arial" w:cs="Arial"/>
                <w:sz w:val="22"/>
                <w:szCs w:val="22"/>
              </w:rPr>
            </w:pPr>
            <w:r>
              <w:rPr>
                <w:rFonts w:cs="Arial" w:ascii="Arial" w:hAnsi="Arial"/>
                <w:sz w:val="22"/>
                <w:szCs w:val="22"/>
              </w:rPr>
            </w:r>
          </w:p>
          <w:p>
            <w:pPr>
              <w:pStyle w:val="Normal"/>
              <w:spacing w:before="0" w:after="0"/>
              <w:contextualSpacing/>
              <w:rPr>
                <w:rFonts w:ascii="Arial" w:hAnsi="Arial" w:cs="Arial"/>
                <w:sz w:val="22"/>
                <w:szCs w:val="22"/>
              </w:rPr>
            </w:pPr>
            <w:r>
              <w:rPr/>
              <w:drawing>
                <wp:inline distT="0" distB="0" distL="0" distR="0">
                  <wp:extent cx="4387850" cy="327279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4" t="-5" r="-4" b="-5"/>
                          <a:stretch>
                            <a:fillRect/>
                          </a:stretch>
                        </pic:blipFill>
                        <pic:spPr bwMode="auto">
                          <a:xfrm>
                            <a:off x="0" y="0"/>
                            <a:ext cx="4387850" cy="3272790"/>
                          </a:xfrm>
                          <a:prstGeom prst="rect">
                            <a:avLst/>
                          </a:prstGeom>
                        </pic:spPr>
                      </pic:pic>
                    </a:graphicData>
                  </a:graphic>
                </wp:inline>
              </w:drawing>
            </w:r>
          </w:p>
          <w:p>
            <w:pPr>
              <w:pStyle w:val="Normal"/>
              <w:spacing w:before="0" w:after="0"/>
              <w:contextualSpacing/>
              <w:rPr>
                <w:rFonts w:ascii="Arial" w:hAnsi="Arial" w:cs="Arial"/>
                <w:sz w:val="22"/>
                <w:szCs w:val="22"/>
              </w:rPr>
            </w:pPr>
            <w:r>
              <w:rPr>
                <w:rFonts w:cs="Arial" w:ascii="Arial" w:hAnsi="Arial"/>
                <w:sz w:val="22"/>
                <w:szCs w:val="22"/>
              </w:rPr>
            </w:r>
          </w:p>
          <w:p>
            <w:pPr>
              <w:pStyle w:val="Normal"/>
              <w:spacing w:before="0" w:after="0"/>
              <w:contextualSpacing/>
              <w:rPr>
                <w:rFonts w:ascii="Arial" w:hAnsi="Arial" w:cs="Arial"/>
                <w:sz w:val="22"/>
                <w:szCs w:val="22"/>
              </w:rPr>
            </w:pPr>
            <w:r>
              <w:rPr/>
              <w:drawing>
                <wp:inline distT="0" distB="0" distL="0" distR="0">
                  <wp:extent cx="4387850" cy="327723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4" t="-5" r="-4" b="-5"/>
                          <a:stretch>
                            <a:fillRect/>
                          </a:stretch>
                        </pic:blipFill>
                        <pic:spPr bwMode="auto">
                          <a:xfrm>
                            <a:off x="0" y="0"/>
                            <a:ext cx="4387850" cy="3277235"/>
                          </a:xfrm>
                          <a:prstGeom prst="rect">
                            <a:avLst/>
                          </a:prstGeom>
                        </pic:spPr>
                      </pic:pic>
                    </a:graphicData>
                  </a:graphic>
                </wp:inline>
              </w:drawing>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Participant</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Style w:val="DefaultChar"/>
                <w:sz w:val="22"/>
                <w:szCs w:val="22"/>
                <w:highlight w:val="yellow"/>
              </w:rPr>
            </w:pPr>
            <w:r>
              <w:rPr>
                <w:rFonts w:cs="Arial" w:ascii="Arial" w:hAnsi="Arial"/>
                <w:sz w:val="22"/>
                <w:szCs w:val="22"/>
              </w:rPr>
              <w:t>Children, aged 5–18 years old</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pPr>
            <w:r>
              <w:rPr>
                <w:rFonts w:cs="Arial" w:ascii="Arial" w:hAnsi="Arial"/>
                <w:b/>
                <w:sz w:val="22"/>
                <w:szCs w:val="22"/>
              </w:rPr>
              <w:t>Source</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sz w:val="22"/>
                <w:szCs w:val="22"/>
                <w:highlight w:val="yellow"/>
              </w:rPr>
            </w:pPr>
            <w:r>
              <w:rPr>
                <w:rFonts w:cs="Arial" w:ascii="Arial" w:hAnsi="Arial"/>
                <w:sz w:val="22"/>
                <w:szCs w:val="22"/>
              </w:rPr>
              <w:t>Institute for Social Research, University of Michigan. Panel Study of Income Dynamics. Time Diary.</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Language of Source</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sz w:val="22"/>
                <w:szCs w:val="22"/>
              </w:rPr>
            </w:pPr>
            <w:r>
              <w:rPr>
                <w:rFonts w:cs="Arial" w:ascii="Arial" w:hAnsi="Arial"/>
                <w:sz w:val="22"/>
                <w:szCs w:val="22"/>
              </w:rPr>
              <w:t>English</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Personnel and Training Required</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Style w:val="DefaultChar"/>
                <w:sz w:val="22"/>
                <w:szCs w:val="22"/>
              </w:rPr>
            </w:pPr>
            <w:r>
              <w:rPr>
                <w:rFonts w:cs="Arial" w:ascii="Arial" w:hAnsi="Arial"/>
                <w:sz w:val="22"/>
                <w:szCs w:val="22"/>
              </w:rPr>
              <w:t>None</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Equipment Needs</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Style w:val="DefaultChar"/>
                <w:sz w:val="22"/>
                <w:szCs w:val="22"/>
              </w:rPr>
            </w:pPr>
            <w:r>
              <w:rPr>
                <w:rFonts w:cs="Arial" w:ascii="Arial" w:hAnsi="Arial"/>
                <w:sz w:val="22"/>
                <w:szCs w:val="22"/>
              </w:rPr>
              <w:t>The respondent will need copies of the Time Diary (one for each day).</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Protocol Type</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sz w:val="22"/>
                <w:szCs w:val="22"/>
              </w:rPr>
            </w:pPr>
            <w:r>
              <w:rPr>
                <w:rFonts w:cs="Arial" w:ascii="Arial" w:hAnsi="Arial"/>
                <w:sz w:val="22"/>
                <w:szCs w:val="22"/>
              </w:rPr>
              <w:t>Self-administered questionnaire</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General References</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lineRule="atLeast" w:line="270"/>
              <w:ind w:left="-2" w:hanging="0"/>
              <w:rPr>
                <w:rFonts w:ascii="Arial" w:hAnsi="Arial" w:cs="Arial"/>
                <w:sz w:val="22"/>
                <w:szCs w:val="22"/>
              </w:rPr>
            </w:pPr>
            <w:r>
              <w:rPr>
                <w:rFonts w:cs="Arial" w:ascii="Arial" w:hAnsi="Arial"/>
                <w:sz w:val="22"/>
                <w:szCs w:val="22"/>
              </w:rPr>
              <w:t xml:space="preserve">Belli, R. F., Stafford, F. P., &amp; Alwin, D. F. (2009). </w:t>
            </w:r>
            <w:r>
              <w:rPr>
                <w:rFonts w:cs="Arial" w:ascii="Arial" w:hAnsi="Arial"/>
                <w:i/>
                <w:iCs/>
                <w:sz w:val="22"/>
                <w:szCs w:val="22"/>
              </w:rPr>
              <w:t>Calendar and Time Diary: Methods in life course research.</w:t>
            </w:r>
            <w:r>
              <w:rPr>
                <w:rFonts w:cs="Arial" w:ascii="Arial" w:hAnsi="Arial"/>
                <w:sz w:val="22"/>
                <w:szCs w:val="22"/>
              </w:rPr>
              <w:t xml:space="preserve"> Thousand Oaks, CA: Sage.</w:t>
            </w:r>
          </w:p>
          <w:p>
            <w:pPr>
              <w:pStyle w:val="Normal"/>
              <w:spacing w:lineRule="atLeast" w:line="270"/>
              <w:ind w:left="-2" w:hanging="0"/>
              <w:rPr>
                <w:rFonts w:ascii="Arial" w:hAnsi="Arial" w:cs="Arial"/>
                <w:sz w:val="22"/>
                <w:szCs w:val="22"/>
              </w:rPr>
            </w:pPr>
            <w:r>
              <w:rPr>
                <w:rFonts w:cs="Arial" w:ascii="Arial" w:hAnsi="Arial"/>
                <w:sz w:val="22"/>
                <w:szCs w:val="22"/>
              </w:rPr>
            </w:r>
          </w:p>
          <w:p>
            <w:pPr>
              <w:pStyle w:val="Normal"/>
              <w:spacing w:lineRule="atLeast" w:line="270"/>
              <w:ind w:left="-2" w:hanging="0"/>
              <w:rPr>
                <w:rFonts w:ascii="Arial" w:hAnsi="Arial" w:cs="Arial"/>
                <w:sz w:val="22"/>
                <w:szCs w:val="22"/>
              </w:rPr>
            </w:pPr>
            <w:r>
              <w:rPr>
                <w:rFonts w:cs="Arial" w:ascii="Arial" w:hAnsi="Arial"/>
                <w:sz w:val="22"/>
                <w:szCs w:val="22"/>
              </w:rPr>
              <w:t xml:space="preserve">Boone, J. E., Gordon-Larsen, P., Adair, L. S., &amp; Popkin, B. M. (2007). Screen time and physical activity during adolescence: Longitudinal effects on obesity in young adulthood. </w:t>
            </w:r>
            <w:r>
              <w:rPr>
                <w:rFonts w:cs="Arial" w:ascii="Arial" w:hAnsi="Arial"/>
                <w:i/>
                <w:iCs/>
                <w:sz w:val="22"/>
                <w:szCs w:val="22"/>
              </w:rPr>
              <w:t>International Journal of Behavioral Nutrition and Physical Activity, 4,</w:t>
            </w:r>
            <w:r>
              <w:rPr>
                <w:rFonts w:cs="Arial" w:ascii="Arial" w:hAnsi="Arial"/>
                <w:sz w:val="22"/>
                <w:szCs w:val="22"/>
              </w:rPr>
              <w:t xml:space="preserve"> 26.</w:t>
            </w:r>
          </w:p>
          <w:p>
            <w:pPr>
              <w:pStyle w:val="Normal"/>
              <w:spacing w:lineRule="atLeast" w:line="270"/>
              <w:ind w:left="-2" w:hanging="0"/>
              <w:rPr>
                <w:rFonts w:ascii="Arial" w:hAnsi="Arial" w:cs="Arial"/>
                <w:sz w:val="22"/>
                <w:szCs w:val="22"/>
              </w:rPr>
            </w:pPr>
            <w:r>
              <w:rPr>
                <w:rFonts w:cs="Arial" w:ascii="Arial" w:hAnsi="Arial"/>
                <w:sz w:val="22"/>
                <w:szCs w:val="22"/>
              </w:rPr>
            </w:r>
          </w:p>
          <w:p>
            <w:pPr>
              <w:pStyle w:val="Normal"/>
              <w:spacing w:lineRule="atLeast" w:line="270"/>
              <w:ind w:left="-2" w:hanging="0"/>
              <w:rPr/>
            </w:pPr>
            <w:r>
              <w:rPr>
                <w:rFonts w:cs="Arial" w:ascii="Arial" w:hAnsi="Arial"/>
                <w:sz w:val="22"/>
                <w:szCs w:val="22"/>
              </w:rPr>
              <w:t xml:space="preserve">Carlstein, T., Parks, D., &amp; Thrift, N. (Eds.). (1978). </w:t>
            </w:r>
            <w:r>
              <w:rPr>
                <w:rFonts w:cs="Arial" w:ascii="Arial" w:hAnsi="Arial"/>
                <w:i/>
                <w:iCs/>
                <w:sz w:val="22"/>
                <w:szCs w:val="22"/>
              </w:rPr>
              <w:t xml:space="preserve">Timing space and spacing time: Human activity and time geography </w:t>
            </w:r>
            <w:r>
              <w:rPr>
                <w:rFonts w:cs="Arial" w:ascii="Arial" w:hAnsi="Arial"/>
                <w:sz w:val="22"/>
                <w:szCs w:val="22"/>
              </w:rPr>
              <w:t>(Vol. 2). New York: John Wiley and Sons.</w:t>
            </w:r>
          </w:p>
          <w:p>
            <w:pPr>
              <w:pStyle w:val="Normal"/>
              <w:spacing w:lineRule="atLeast" w:line="270"/>
              <w:ind w:left="-2" w:hanging="0"/>
              <w:rPr>
                <w:rFonts w:ascii="Arial" w:hAnsi="Arial" w:cs="Arial"/>
                <w:sz w:val="22"/>
                <w:szCs w:val="22"/>
              </w:rPr>
            </w:pPr>
            <w:r>
              <w:rPr>
                <w:rFonts w:cs="Arial" w:ascii="Arial" w:hAnsi="Arial"/>
                <w:sz w:val="22"/>
                <w:szCs w:val="22"/>
              </w:rPr>
            </w:r>
          </w:p>
          <w:p>
            <w:pPr>
              <w:pStyle w:val="Normal"/>
              <w:spacing w:lineRule="atLeast" w:line="270"/>
              <w:ind w:left="-2" w:hanging="0"/>
              <w:rPr/>
            </w:pPr>
            <w:r>
              <w:rPr>
                <w:rFonts w:cs="Arial" w:ascii="Arial" w:hAnsi="Arial"/>
                <w:sz w:val="22"/>
                <w:szCs w:val="22"/>
              </w:rPr>
              <w:t xml:space="preserve">Golledge, R. G., &amp; Egenhofer, M. (Eds.). GIS and disaggregate behavioral travel modeling [Special issue]. </w:t>
            </w:r>
            <w:r>
              <w:rPr>
                <w:rFonts w:cs="Arial" w:ascii="Arial" w:hAnsi="Arial"/>
                <w:i/>
                <w:iCs/>
                <w:sz w:val="22"/>
                <w:szCs w:val="22"/>
              </w:rPr>
              <w:t>Geographical Systems: The International Journal of Geographical Information, Analysis, Theory and Decision, 5</w:t>
            </w:r>
            <w:r>
              <w:rPr>
                <w:rFonts w:cs="Arial" w:ascii="Arial" w:hAnsi="Arial"/>
                <w:sz w:val="22"/>
                <w:szCs w:val="22"/>
              </w:rPr>
              <w:t>(1–2).</w:t>
            </w:r>
          </w:p>
          <w:p>
            <w:pPr>
              <w:pStyle w:val="Normal"/>
              <w:spacing w:lineRule="atLeast" w:line="270"/>
              <w:ind w:left="-2" w:hanging="0"/>
              <w:rPr>
                <w:rFonts w:ascii="Arial" w:hAnsi="Arial" w:cs="Arial"/>
                <w:sz w:val="22"/>
                <w:szCs w:val="22"/>
              </w:rPr>
            </w:pPr>
            <w:r>
              <w:rPr>
                <w:rFonts w:cs="Arial" w:ascii="Arial" w:hAnsi="Arial"/>
                <w:sz w:val="22"/>
                <w:szCs w:val="22"/>
              </w:rPr>
            </w:r>
          </w:p>
          <w:p>
            <w:pPr>
              <w:pStyle w:val="Normal"/>
              <w:spacing w:lineRule="atLeast" w:line="270"/>
              <w:ind w:left="-2" w:hanging="0"/>
              <w:rPr/>
            </w:pPr>
            <w:r>
              <w:rPr>
                <w:rFonts w:cs="Arial" w:ascii="Arial" w:hAnsi="Arial"/>
                <w:sz w:val="22"/>
                <w:szCs w:val="22"/>
              </w:rPr>
              <w:t xml:space="preserve">Goodchild, M. F., &amp; Janelle, D. G. (1984). The city around the clock: Space-time patterns of urban ecological structure. </w:t>
            </w:r>
            <w:r>
              <w:rPr>
                <w:rFonts w:cs="Arial" w:ascii="Arial" w:hAnsi="Arial"/>
                <w:i/>
                <w:iCs/>
                <w:sz w:val="22"/>
                <w:szCs w:val="22"/>
              </w:rPr>
              <w:t>Environment and Planning A, 16,</w:t>
            </w:r>
            <w:r>
              <w:rPr>
                <w:rFonts w:cs="Arial" w:ascii="Arial" w:hAnsi="Arial"/>
                <w:sz w:val="22"/>
                <w:szCs w:val="22"/>
              </w:rPr>
              <w:t xml:space="preserve"> 807–820. </w:t>
            </w:r>
          </w:p>
          <w:p>
            <w:pPr>
              <w:pStyle w:val="Normal"/>
              <w:spacing w:lineRule="atLeast" w:line="270"/>
              <w:ind w:left="-2" w:hanging="0"/>
              <w:rPr>
                <w:rFonts w:ascii="Arial" w:hAnsi="Arial" w:cs="Arial"/>
                <w:sz w:val="22"/>
                <w:szCs w:val="22"/>
              </w:rPr>
            </w:pPr>
            <w:r>
              <w:rPr>
                <w:rFonts w:cs="Arial" w:ascii="Arial" w:hAnsi="Arial"/>
                <w:sz w:val="22"/>
                <w:szCs w:val="22"/>
              </w:rPr>
            </w:r>
          </w:p>
          <w:p>
            <w:pPr>
              <w:pStyle w:val="Normal"/>
              <w:spacing w:lineRule="atLeast" w:line="270"/>
              <w:ind w:left="-2" w:hanging="0"/>
              <w:rPr>
                <w:rFonts w:ascii="Arial" w:hAnsi="Arial" w:cs="Arial"/>
                <w:sz w:val="22"/>
                <w:szCs w:val="22"/>
              </w:rPr>
            </w:pPr>
            <w:r>
              <w:rPr>
                <w:rFonts w:cs="Arial" w:ascii="Arial" w:hAnsi="Arial"/>
                <w:sz w:val="22"/>
                <w:szCs w:val="22"/>
              </w:rPr>
              <w:t xml:space="preserve">Guo, G., North, K. E., Gordon-Larsen, P., Bulik, C. M., &amp; Choi, S. (2007). Body mass, DRD4, physical activity, sedentary behavior, and family socioeconomic status: The Add Health study. </w:t>
            </w:r>
            <w:r>
              <w:rPr>
                <w:rFonts w:cs="Arial" w:ascii="Arial" w:hAnsi="Arial"/>
                <w:i/>
                <w:iCs/>
                <w:sz w:val="22"/>
                <w:szCs w:val="22"/>
              </w:rPr>
              <w:t>Obesity, 15,</w:t>
            </w:r>
            <w:r>
              <w:rPr>
                <w:rFonts w:cs="Arial" w:ascii="Arial" w:hAnsi="Arial"/>
                <w:sz w:val="22"/>
                <w:szCs w:val="22"/>
              </w:rPr>
              <w:t xml:space="preserve"> 1199–1206.</w:t>
            </w:r>
          </w:p>
          <w:p>
            <w:pPr>
              <w:pStyle w:val="Normal"/>
              <w:spacing w:lineRule="atLeast" w:line="270"/>
              <w:ind w:left="-2" w:hanging="0"/>
              <w:rPr>
                <w:rFonts w:ascii="Arial" w:hAnsi="Arial" w:cs="Arial"/>
                <w:sz w:val="22"/>
                <w:szCs w:val="22"/>
              </w:rPr>
            </w:pPr>
            <w:r>
              <w:rPr>
                <w:rFonts w:cs="Arial" w:ascii="Arial" w:hAnsi="Arial"/>
                <w:sz w:val="22"/>
                <w:szCs w:val="22"/>
              </w:rPr>
            </w:r>
          </w:p>
          <w:p>
            <w:pPr>
              <w:pStyle w:val="Normal"/>
              <w:spacing w:lineRule="atLeast" w:line="270"/>
              <w:ind w:left="-2" w:hanging="0"/>
              <w:rPr/>
            </w:pPr>
            <w:r>
              <w:rPr>
                <w:rFonts w:cs="Arial" w:ascii="Arial" w:hAnsi="Arial"/>
                <w:sz w:val="22"/>
                <w:szCs w:val="22"/>
              </w:rPr>
              <w:t xml:space="preserve">Janelle, D. G., Goodchild, M. F., &amp; Klinkenberg, B. (1998). The temporal ordering of urban space and daily activity patterns for population role groups. </w:t>
            </w:r>
            <w:r>
              <w:rPr>
                <w:rFonts w:cs="Arial" w:ascii="Arial" w:hAnsi="Arial"/>
                <w:i/>
                <w:iCs/>
                <w:sz w:val="22"/>
                <w:szCs w:val="22"/>
              </w:rPr>
              <w:t>Geographical Systems: The International Journal of Geographical Information, Analysis, Theory and Decision, 5</w:t>
            </w:r>
            <w:r>
              <w:rPr>
                <w:rFonts w:cs="Arial" w:ascii="Arial" w:hAnsi="Arial"/>
                <w:sz w:val="22"/>
                <w:szCs w:val="22"/>
              </w:rPr>
              <w:t xml:space="preserve">(1–2), 117–137. </w:t>
            </w:r>
          </w:p>
          <w:p>
            <w:pPr>
              <w:pStyle w:val="Normal"/>
              <w:spacing w:lineRule="atLeast" w:line="270"/>
              <w:ind w:left="-2" w:hanging="0"/>
              <w:rPr>
                <w:rFonts w:ascii="Arial" w:hAnsi="Arial" w:cs="Arial"/>
                <w:sz w:val="22"/>
                <w:szCs w:val="22"/>
              </w:rPr>
            </w:pPr>
            <w:r>
              <w:rPr>
                <w:rFonts w:cs="Arial" w:ascii="Arial" w:hAnsi="Arial"/>
                <w:sz w:val="22"/>
                <w:szCs w:val="22"/>
              </w:rPr>
            </w:r>
          </w:p>
          <w:p>
            <w:pPr>
              <w:pStyle w:val="Normal"/>
              <w:spacing w:lineRule="atLeast" w:line="270"/>
              <w:ind w:left="-2" w:hanging="0"/>
              <w:rPr/>
            </w:pPr>
            <w:r>
              <w:rPr>
                <w:rFonts w:cs="Arial" w:ascii="Arial" w:hAnsi="Arial"/>
                <w:sz w:val="22"/>
                <w:szCs w:val="22"/>
              </w:rPr>
              <w:t xml:space="preserve">Kwan, M.-P. (1999). Gender and individual access to urban opportunities: A study using space-time measures. </w:t>
            </w:r>
            <w:r>
              <w:rPr>
                <w:rFonts w:cs="Arial" w:ascii="Arial" w:hAnsi="Arial"/>
                <w:i/>
                <w:iCs/>
                <w:sz w:val="22"/>
                <w:szCs w:val="22"/>
              </w:rPr>
              <w:t>Professional Geographer, 51,</w:t>
            </w:r>
            <w:r>
              <w:rPr>
                <w:rFonts w:cs="Arial" w:ascii="Arial" w:hAnsi="Arial"/>
                <w:sz w:val="22"/>
                <w:szCs w:val="22"/>
              </w:rPr>
              <w:t xml:space="preserve"> 210–227. </w:t>
            </w:r>
          </w:p>
          <w:p>
            <w:pPr>
              <w:pStyle w:val="Normal"/>
              <w:spacing w:lineRule="atLeast" w:line="270"/>
              <w:ind w:left="-2" w:hanging="0"/>
              <w:rPr>
                <w:rFonts w:ascii="Arial" w:hAnsi="Arial" w:cs="Arial"/>
                <w:sz w:val="22"/>
                <w:szCs w:val="22"/>
              </w:rPr>
            </w:pPr>
            <w:r>
              <w:rPr>
                <w:rFonts w:cs="Arial" w:ascii="Arial" w:hAnsi="Arial"/>
                <w:sz w:val="22"/>
                <w:szCs w:val="22"/>
              </w:rPr>
            </w:r>
          </w:p>
          <w:p>
            <w:pPr>
              <w:pStyle w:val="Normal"/>
              <w:spacing w:lineRule="atLeast" w:line="270"/>
              <w:ind w:left="-2" w:hanging="0"/>
              <w:rPr/>
            </w:pPr>
            <w:r>
              <w:rPr>
                <w:rFonts w:cs="Arial" w:ascii="Arial" w:hAnsi="Arial"/>
                <w:sz w:val="22"/>
                <w:szCs w:val="22"/>
              </w:rPr>
              <w:t xml:space="preserve">Kwan, M.-P. (2000). Analysis of human spatial behavior in a GIS environment: Recent developments and future prospects. </w:t>
            </w:r>
            <w:r>
              <w:rPr>
                <w:rFonts w:cs="Arial" w:ascii="Arial" w:hAnsi="Arial"/>
                <w:i/>
                <w:iCs/>
                <w:sz w:val="22"/>
                <w:szCs w:val="22"/>
              </w:rPr>
              <w:t>Journal of Geographical Systems, 2</w:t>
            </w:r>
            <w:r>
              <w:rPr>
                <w:rFonts w:cs="Arial" w:ascii="Arial" w:hAnsi="Arial"/>
                <w:sz w:val="22"/>
                <w:szCs w:val="22"/>
              </w:rPr>
              <w:t>(1), 85.</w:t>
            </w:r>
          </w:p>
          <w:p>
            <w:pPr>
              <w:pStyle w:val="Normal"/>
              <w:spacing w:lineRule="atLeast" w:line="270"/>
              <w:ind w:left="-2" w:hanging="0"/>
              <w:rPr>
                <w:rFonts w:ascii="Arial" w:hAnsi="Arial" w:cs="Arial"/>
                <w:sz w:val="22"/>
                <w:szCs w:val="22"/>
              </w:rPr>
            </w:pPr>
            <w:r>
              <w:rPr>
                <w:rFonts w:cs="Arial" w:ascii="Arial" w:hAnsi="Arial"/>
                <w:sz w:val="22"/>
                <w:szCs w:val="22"/>
              </w:rPr>
            </w:r>
          </w:p>
          <w:p>
            <w:pPr>
              <w:pStyle w:val="Normal"/>
              <w:spacing w:before="0" w:after="0"/>
              <w:contextualSpacing/>
              <w:rPr>
                <w:rFonts w:ascii="Arial" w:hAnsi="Arial" w:cs="Arial"/>
                <w:sz w:val="22"/>
                <w:szCs w:val="22"/>
              </w:rPr>
            </w:pPr>
            <w:r>
              <w:rPr>
                <w:rFonts w:cs="Arial" w:ascii="Arial" w:hAnsi="Arial"/>
                <w:sz w:val="22"/>
                <w:szCs w:val="22"/>
              </w:rPr>
              <w:t xml:space="preserve">Nelson, M. C., &amp; Gordon-Larsen, P. (2006). Physical activity and sedentary behavior patterns are associated with selected adolescent health risk behaviors. </w:t>
            </w:r>
            <w:r>
              <w:rPr>
                <w:rFonts w:cs="Arial" w:ascii="Arial" w:hAnsi="Arial"/>
                <w:i/>
                <w:iCs/>
                <w:sz w:val="22"/>
                <w:szCs w:val="22"/>
              </w:rPr>
              <w:t>Pediatrics, 117,</w:t>
            </w:r>
            <w:r>
              <w:rPr>
                <w:rFonts w:cs="Arial" w:ascii="Arial" w:hAnsi="Arial"/>
                <w:sz w:val="22"/>
                <w:szCs w:val="22"/>
              </w:rPr>
              <w:t xml:space="preserve"> 1281–1290.</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Process and Review</w:t>
            </w:r>
          </w:p>
        </w:tc>
        <w:tc>
          <w:tcPr>
            <w:tcW w:w="7056" w:type="dxa"/>
            <w:tcBorders>
              <w:top w:val="single" w:sz="4" w:space="0" w:color="000000"/>
              <w:left w:val="single" w:sz="4" w:space="0" w:color="000000"/>
              <w:bottom w:val="single" w:sz="4" w:space="0" w:color="000000"/>
              <w:right w:val="single" w:sz="4" w:space="0" w:color="000000"/>
            </w:tcBorders>
          </w:tcPr>
          <w:p>
            <w:pPr>
              <w:pStyle w:val="NormalWeb"/>
              <w:spacing w:before="0" w:after="280"/>
              <w:rPr/>
            </w:pPr>
            <w:r>
              <w:rPr>
                <w:rFonts w:cs="Arial" w:ascii="Arial" w:hAnsi="Arial"/>
                <w:sz w:val="22"/>
                <w:szCs w:val="22"/>
              </w:rPr>
              <w:t xml:space="preserve">The </w:t>
            </w:r>
            <w:hyperlink r:id="rId8" w:tgtFrame="_blank">
              <w:r>
                <w:rPr>
                  <w:rStyle w:val="InternetLink"/>
                  <w:rFonts w:cs="Arial" w:ascii="Arial" w:hAnsi="Arial"/>
                  <w:sz w:val="22"/>
                  <w:szCs w:val="22"/>
                </w:rPr>
                <w:t>Expert Review Panel #2</w:t>
              </w:r>
            </w:hyperlink>
            <w:r>
              <w:rPr>
                <w:rFonts w:cs="Arial" w:ascii="Arial" w:hAnsi="Arial"/>
                <w:sz w:val="22"/>
                <w:szCs w:val="22"/>
              </w:rPr>
              <w:t xml:space="preserve"> (ERP 2) reviewed the measures in the Demographics, Environmental Exposures, and Social Environments domains. </w:t>
            </w:r>
          </w:p>
          <w:p>
            <w:pPr>
              <w:pStyle w:val="NormalWeb"/>
              <w:rPr>
                <w:rFonts w:ascii="Arial" w:hAnsi="Arial" w:cs="Arial"/>
                <w:sz w:val="22"/>
                <w:szCs w:val="22"/>
              </w:rPr>
            </w:pPr>
            <w:r>
              <w:rPr>
                <w:rFonts w:cs="Arial" w:ascii="Arial" w:hAnsi="Arial"/>
                <w:sz w:val="22"/>
                <w:szCs w:val="22"/>
              </w:rPr>
              <w:t>Guidance from ERP 2 includes:</w:t>
            </w:r>
          </w:p>
          <w:p>
            <w:pPr>
              <w:pStyle w:val="NormalWeb"/>
              <w:ind w:left="720" w:hanging="0"/>
              <w:rPr/>
            </w:pPr>
            <w:r>
              <w:rPr>
                <w:rFonts w:cs="Arial" w:ascii="Arial" w:hAnsi="Arial"/>
                <w:sz w:val="22"/>
                <w:szCs w:val="22"/>
              </w:rPr>
              <w:t>•</w:t>
            </w:r>
            <w:r>
              <w:rPr>
                <w:rFonts w:eastAsia="Arial" w:cs="Arial" w:ascii="Arial" w:hAnsi="Arial"/>
                <w:sz w:val="22"/>
                <w:szCs w:val="22"/>
              </w:rPr>
              <w:t xml:space="preserve"> </w:t>
            </w:r>
            <w:r>
              <w:rPr>
                <w:rFonts w:cs="Arial" w:ascii="Arial" w:hAnsi="Arial"/>
                <w:sz w:val="22"/>
                <w:szCs w:val="22"/>
              </w:rPr>
              <w:t>No significant changes to measure</w:t>
            </w:r>
          </w:p>
          <w:p>
            <w:pPr>
              <w:pStyle w:val="Normal"/>
              <w:rPr>
                <w:rFonts w:ascii="Arial" w:hAnsi="Arial" w:cs="Arial"/>
                <w:sz w:val="22"/>
                <w:szCs w:val="22"/>
              </w:rPr>
            </w:pPr>
            <w:r>
              <w:rPr>
                <w:rFonts w:cs="Arial" w:ascii="Arial" w:hAnsi="Arial"/>
                <w:sz w:val="22"/>
                <w:szCs w:val="22"/>
              </w:rPr>
            </w:r>
          </w:p>
        </w:tc>
      </w:tr>
    </w:tbl>
    <w:p>
      <w:pPr>
        <w:pStyle w:val="Normal"/>
        <w:spacing w:before="0" w:after="0"/>
        <w:contextualSpacing/>
        <w:rPr/>
      </w:pPr>
      <w:r>
        <w:rPr/>
      </w:r>
    </w:p>
    <w:sectPr>
      <w:headerReference w:type="default" r:id="rId9"/>
      <w:footerReference w:type="default" r:id="rId10"/>
      <w:type w:val="nextPage"/>
      <w:pgSz w:w="12240" w:h="15840"/>
      <w:pgMar w:left="1296" w:right="1296" w:gutter="0" w:header="720" w:top="776" w:footer="720" w:bottom="1152"/>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ourier New">
    <w:charset w:val="00"/>
    <w:family w:val="modern"/>
    <w:pitch w:val="default"/>
  </w:font>
  <w:font w:name="Wingdings">
    <w:charset w:val="02"/>
    <w:family w:val="auto"/>
    <w:pitch w:val="variable"/>
  </w:font>
  <w:font w:name="Liberation Sans">
    <w:altName w:val="Arial"/>
    <w:charset w:val="01"/>
    <w:family w:val="swiss"/>
    <w:pitch w:val="variable"/>
  </w:font>
  <w:font w:name="Tahoma">
    <w:charset w:val="00"/>
    <w:family w:val="swiss"/>
    <w:pitch w:val="variable"/>
  </w:font>
  <w:font w:name="Helvetica-Bold">
    <w:charset w:val="00"/>
    <w:family w:val="swiss"/>
    <w:pitch w:val="default"/>
  </w:font>
  <w:font w:name="Times-Roman">
    <w:altName w:val="Times New Roman"/>
    <w:charset w:val="00"/>
    <w:family w:val="auto"/>
    <w:pitch w:val="default"/>
  </w:font>
  <w:font w:name="Times-Italic">
    <w:charset w:val="00"/>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center"/>
      <w:rPr>
        <w:rFonts w:ascii="Arial" w:hAnsi="Arial" w:cs="Arial"/>
        <w:b/>
        <w:b/>
        <w:sz w:val="20"/>
        <w:szCs w:val="20"/>
      </w:rPr>
    </w:pPr>
    <w:r>
      <w:rPr>
        <w:rFonts w:cs="Arial" w:ascii="Arial" w:hAnsi="Arial"/>
        <w:b/>
        <w:sz w:val="20"/>
        <w:szCs w:val="20"/>
      </w:rPr>
      <w:t>PhenX Toolkit Supplemental Information</w:t>
    </w:r>
  </w:p>
  <w:p>
    <w:pPr>
      <w:pStyle w:val="Normal"/>
      <w:jc w:val="center"/>
      <w:rPr>
        <w:rFonts w:ascii="Arial" w:hAnsi="Arial" w:cs="Arial"/>
        <w:b/>
        <w:b/>
        <w:sz w:val="20"/>
        <w:szCs w:val="20"/>
      </w:rPr>
    </w:pPr>
    <w:r>
      <w:rPr>
        <w:rFonts w:cs="Arial" w:ascii="Arial" w:hAnsi="Arial"/>
        <w:b/>
        <w:sz w:val="20"/>
        <w:szCs w:val="20"/>
      </w:rPr>
      <w:t>Time Use – Child</w:t>
    </w:r>
  </w:p>
  <w:p>
    <w:pPr>
      <w:pStyle w:val="Footer"/>
      <w:jc w:val="right"/>
      <w:rPr>
        <w:rFonts w:ascii="Arial" w:hAnsi="Arial" w:cs="Arial"/>
        <w:b/>
        <w:b/>
        <w:sz w:val="18"/>
        <w:szCs w:val="18"/>
      </w:rPr>
    </w:pPr>
    <w:r>
      <w:rPr>
        <w:rFonts w:cs="Arial" w:ascii="Arial" w:hAnsi="Arial"/>
        <w:b/>
        <w:sz w:val="18"/>
        <w:szCs w:val="18"/>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rFonts w:ascii="Arial" w:hAnsi="Arial" w:cs="Arial"/>
        <w:b/>
        <w:b/>
        <w:sz w:val="20"/>
        <w:szCs w:val="20"/>
      </w:rPr>
    </w:pPr>
    <w:r>
      <w:rPr>
        <w:rFonts w:cs="Arial" w:ascii="Arial" w:hAnsi="Arial"/>
        <w:b/>
        <w:sz w:val="20"/>
        <w:szCs w:val="20"/>
      </w:rPr>
      <w:t>PhenX Toolkit Supplemental Information</w:t>
      <w:tab/>
      <w:tab/>
      <w:tab/>
      <w:tab/>
    </w:r>
  </w:p>
  <w:p>
    <w:pPr>
      <w:pStyle w:val="Normal"/>
      <w:rPr>
        <w:rFonts w:ascii="Arial" w:hAnsi="Arial" w:cs="Arial"/>
        <w:b/>
        <w:b/>
        <w:sz w:val="20"/>
        <w:szCs w:val="20"/>
      </w:rPr>
    </w:pPr>
    <w:r>
      <w:rPr>
        <w:rFonts w:cs="Arial" w:ascii="Arial" w:hAnsi="Arial"/>
        <w:b/>
        <w:sz w:val="20"/>
        <w:szCs w:val="20"/>
      </w:rPr>
      <w:t xml:space="preserve">Domain: Social Environments </w:t>
    </w:r>
  </w:p>
  <w:p>
    <w:pPr>
      <w:pStyle w:val="Normal"/>
      <w:rPr>
        <w:rFonts w:ascii="Arial" w:hAnsi="Arial" w:cs="Arial"/>
        <w:b/>
        <w:b/>
        <w:sz w:val="20"/>
        <w:szCs w:val="20"/>
      </w:rPr>
    </w:pPr>
    <w:r>
      <w:rPr>
        <w:rFonts w:cs="Arial" w:ascii="Arial" w:hAnsi="Arial"/>
        <w:b/>
        <w:sz w:val="20"/>
        <w:szCs w:val="20"/>
      </w:rPr>
      <w:t xml:space="preserve">Release Date: May 31, 2016 </w:t>
    </w:r>
  </w:p>
  <w:p>
    <w:pPr>
      <w:pStyle w:val="Normal"/>
      <w:rPr/>
    </w:pPr>
    <w:r>
      <w:rPr>
        <w:rFonts w:cs="Arial" w:ascii="Arial" w:hAnsi="Arial"/>
        <w:b/>
        <w:sz w:val="20"/>
        <w:szCs w:val="20"/>
      </w:rPr>
      <w:t>Time Use – Child</w:t>
      <w:tab/>
      <w:tab/>
      <w:tab/>
      <w:tab/>
      <w:tab/>
    </w:r>
  </w:p>
  <w:p>
    <w:pPr>
      <w:pStyle w:val="Header"/>
      <w:rPr>
        <w:rFonts w:ascii="Arial" w:hAnsi="Arial" w:cs="Arial"/>
        <w:b/>
        <w:b/>
        <w:sz w:val="20"/>
        <w:szCs w:val="20"/>
      </w:rPr>
    </w:pPr>
    <w:r>
      <w:rPr>
        <w:rFonts w:cs="Arial" w:ascii="Arial" w:hAnsi="Arial"/>
        <w:b/>
        <w:sz w:val="20"/>
        <w:szCs w:val="20"/>
      </w:rPr>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Noto Sans Devanagari"/>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WW8Num1z0">
    <w:name w:val="WW8Num1z0"/>
    <w:qFormat/>
    <w:rPr/>
  </w:style>
  <w:style w:type="character" w:styleId="WW8Num2z0">
    <w:name w:val="WW8Num2z0"/>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DefaultParagraphFont">
    <w:name w:val="Default Paragraph Font"/>
    <w:qFormat/>
    <w:rPr/>
  </w:style>
  <w:style w:type="character" w:styleId="InternetLink">
    <w:name w:val="Hyperlink"/>
    <w:rPr>
      <w:color w:val="0000FF"/>
      <w:u w:val="single"/>
    </w:rPr>
  </w:style>
  <w:style w:type="character" w:styleId="VisitedInternetLink">
    <w:name w:val="FollowedHyperlink"/>
    <w:rPr>
      <w:color w:val="800080"/>
      <w:u w:val="single"/>
    </w:rPr>
  </w:style>
  <w:style w:type="character" w:styleId="CommentReference">
    <w:name w:val="Comment Reference"/>
    <w:qFormat/>
    <w:rPr>
      <w:sz w:val="16"/>
      <w:szCs w:val="16"/>
    </w:rPr>
  </w:style>
  <w:style w:type="character" w:styleId="StrongEmphasis">
    <w:name w:val="Strong Emphasis"/>
    <w:qFormat/>
    <w:rPr>
      <w:b/>
      <w:bCs/>
    </w:rPr>
  </w:style>
  <w:style w:type="character" w:styleId="HeaderChar">
    <w:name w:val="Header Char"/>
    <w:qFormat/>
    <w:rPr>
      <w:sz w:val="24"/>
      <w:szCs w:val="24"/>
    </w:rPr>
  </w:style>
  <w:style w:type="character" w:styleId="DefaultChar">
    <w:name w:val="Default Char"/>
    <w:qFormat/>
    <w:rPr>
      <w:rFonts w:ascii="Arial" w:hAnsi="Arial" w:cs="Arial"/>
      <w:color w:val="000000"/>
      <w:sz w:val="24"/>
      <w:szCs w:val="24"/>
      <w:lang w:val="en-US" w:bidi="ar-SA"/>
    </w:rPr>
  </w:style>
  <w:style w:type="character" w:styleId="CommentTextChar">
    <w:name w:val="Comment Text Char"/>
    <w:basedOn w:val="DefaultParagraphFont"/>
    <w:qFormat/>
    <w:rPr/>
  </w:style>
  <w:style w:type="paragraph" w:styleId="Heading">
    <w:name w:val="Heading"/>
    <w:basedOn w:val="Normal"/>
    <w:next w:val="TextBody"/>
    <w:qFormat/>
    <w:pPr>
      <w:keepNext w:val="true"/>
      <w:spacing w:before="240" w:after="120"/>
    </w:pPr>
    <w:rPr>
      <w:rFonts w:ascii="Liberation Sans" w:hAnsi="Liberation Sans" w:eastAsia="DejaVu Sans" w:cs="Noto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CommentText">
    <w:name w:val="Comment Text"/>
    <w:basedOn w:val="Normal"/>
    <w:qFormat/>
    <w:pPr/>
    <w:rPr>
      <w:sz w:val="20"/>
      <w:szCs w:val="20"/>
    </w:rPr>
  </w:style>
  <w:style w:type="paragraph" w:styleId="CommentSubject">
    <w:name w:val="Comment Subject"/>
    <w:basedOn w:val="CommentText"/>
    <w:next w:val="CommentText"/>
    <w:qFormat/>
    <w:pPr/>
    <w:rPr>
      <w:b/>
      <w:bCs/>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left="720" w:hanging="0"/>
      <w:contextualSpacing/>
    </w:pPr>
    <w:rPr/>
  </w:style>
  <w:style w:type="paragraph" w:styleId="Default">
    <w:name w:val="Default"/>
    <w:qFormat/>
    <w:pPr>
      <w:widowControl/>
      <w:autoSpaceDE w:val="false"/>
      <w:bidi w:val="0"/>
    </w:pPr>
    <w:rPr>
      <w:rFonts w:ascii="Arial" w:hAnsi="Arial" w:eastAsia="Times New Roman" w:cs="Arial"/>
      <w:color w:val="000000"/>
      <w:sz w:val="24"/>
      <w:szCs w:val="24"/>
      <w:lang w:val="en-US" w:bidi="ar-SA" w:eastAsia="zh-CN"/>
    </w:rPr>
  </w:style>
  <w:style w:type="paragraph" w:styleId="Revision">
    <w:name w:val="Revision"/>
    <w:qFormat/>
    <w:pPr>
      <w:widowControl/>
      <w:bidi w:val="0"/>
    </w:pPr>
    <w:rPr>
      <w:rFonts w:ascii="Times New Roman" w:hAnsi="Times New Roman" w:eastAsia="Times New Roman" w:cs="Times New Roman"/>
      <w:color w:val="auto"/>
      <w:sz w:val="24"/>
      <w:szCs w:val="24"/>
      <w:lang w:val="en-US" w:bidi="ar-SA" w:eastAsia="zh-CN"/>
    </w:rPr>
  </w:style>
  <w:style w:type="paragraph" w:styleId="NormalWeb">
    <w:name w:val="Normal (Web)"/>
    <w:basedOn w:val="Normal"/>
    <w:qFormat/>
    <w:pPr>
      <w:spacing w:before="280" w:after="28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https://phenx.org/Default.aspx?tabid=1010" TargetMode="Externa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TotalTime>
  <Application>LibreOffice/7.3.7.2$Linux_X86_64 LibreOffice_project/30$Build-2</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2016-04-14T16:17:00Z</dcterms:created>
  <dc:creator>whuggins</dc:creator>
  <dc:description/>
  <cp:keywords/>
  <dc:language>en-US</dc:language>
  <cp:lastModifiedBy>Hwang, Stephen</cp:lastModifiedBy>
  <cp:lastPrinted>2009-03-24T15:13:00Z</cp:lastPrinted>
  <dcterms:modified xsi:type="dcterms:W3CDTF">2016-05-11T18:33:00Z</dcterms:modified>
  <cp:revision>4</cp:revision>
  <dc:subject/>
  <dc:title/>
</cp:coreProperties>
</file>